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BAAF54" w14:textId="0B0D4A75" w:rsidR="002275CF" w:rsidRPr="00E46FB0" w:rsidRDefault="00FB5F42" w:rsidP="000A2586">
      <w:pPr>
        <w:pStyle w:val="Documenttitle"/>
        <w:rPr>
          <w:rFonts w:ascii="Arial" w:hAnsi="Arial"/>
        </w:rPr>
      </w:pPr>
      <w:bookmarkStart w:id="0" w:name="_Toc65760458"/>
      <w:r w:rsidRPr="00ED2279">
        <w:rPr>
          <w:rFonts w:ascii="Arial" w:hAnsi="Arial"/>
        </w:rPr>
        <w:t>Internet of Thin</w:t>
      </w:r>
      <w:bookmarkStart w:id="1" w:name="_Hlk17811918"/>
      <w:bookmarkEnd w:id="1"/>
      <w:r w:rsidRPr="00ED2279">
        <w:rPr>
          <w:rFonts w:ascii="Arial" w:hAnsi="Arial"/>
        </w:rPr>
        <w:t>gs (IoT) Policy</w:t>
      </w:r>
      <w:r w:rsidR="001F4A1E" w:rsidRPr="00ED2279">
        <w:rPr>
          <w:rFonts w:ascii="Arial" w:hAnsi="Arial"/>
        </w:rPr>
        <w:t xml:space="preserve"> </w:t>
      </w:r>
      <w:r w:rsidR="00A97087" w:rsidRPr="00ED2279">
        <w:rPr>
          <w:rFonts w:ascii="Arial" w:hAnsi="Arial"/>
        </w:rPr>
        <w:t>Guidance</w:t>
      </w:r>
      <w:bookmarkEnd w:id="0"/>
      <w:r w:rsidR="00EB15D4" w:rsidRPr="00E46FB0">
        <w:rPr>
          <w:rFonts w:ascii="Arial" w:hAnsi="Arial"/>
        </w:rPr>
        <w:fldChar w:fldCharType="begin"/>
      </w:r>
      <w:r w:rsidR="00EB15D4" w:rsidRPr="00ED2279">
        <w:rPr>
          <w:rFonts w:ascii="Arial" w:hAnsi="Arial"/>
        </w:rPr>
        <w:instrText xml:space="preserve"> TITLE   \* MERGEFORMAT </w:instrText>
      </w:r>
      <w:r w:rsidR="00EB15D4" w:rsidRPr="00ED2279">
        <w:rPr>
          <w:rFonts w:ascii="Arial" w:hAnsi="Arial"/>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08"/>
      </w:tblGrid>
      <w:tr w:rsidR="002275CF" w:rsidRPr="00ED2279" w14:paraId="12347DAB" w14:textId="77777777" w:rsidTr="009F4F62">
        <w:tc>
          <w:tcPr>
            <w:tcW w:w="5068" w:type="dxa"/>
            <w:shd w:val="clear" w:color="auto" w:fill="auto"/>
            <w:tcMar>
              <w:top w:w="113" w:type="dxa"/>
              <w:bottom w:w="113" w:type="dxa"/>
            </w:tcMar>
          </w:tcPr>
          <w:p w14:paraId="20E51B1C" w14:textId="77777777" w:rsidR="002275CF" w:rsidRPr="00E46FB0" w:rsidRDefault="002275CF" w:rsidP="00AC64F2">
            <w:pPr>
              <w:pStyle w:val="DCStablebodytext"/>
            </w:pPr>
            <w:r w:rsidRPr="00E46FB0">
              <w:t xml:space="preserve">Document number: </w:t>
            </w:r>
          </w:p>
        </w:tc>
        <w:tc>
          <w:tcPr>
            <w:tcW w:w="5069" w:type="dxa"/>
            <w:shd w:val="clear" w:color="auto" w:fill="auto"/>
            <w:tcMar>
              <w:top w:w="113" w:type="dxa"/>
              <w:bottom w:w="113" w:type="dxa"/>
            </w:tcMar>
          </w:tcPr>
          <w:p w14:paraId="104DC2BD" w14:textId="67264152" w:rsidR="002275CF" w:rsidRPr="00ED2279" w:rsidRDefault="002275CF" w:rsidP="00AC64F2">
            <w:pPr>
              <w:pStyle w:val="DCStablebodytext"/>
            </w:pPr>
            <w:r w:rsidRPr="00ED2279">
              <w:t>Version number:</w:t>
            </w:r>
            <w:r w:rsidR="00FB5F42" w:rsidRPr="00ED2279">
              <w:t xml:space="preserve"> 1.</w:t>
            </w:r>
            <w:r w:rsidR="00F312FB" w:rsidRPr="00ED2279">
              <w:t>2</w:t>
            </w:r>
          </w:p>
        </w:tc>
      </w:tr>
      <w:tr w:rsidR="002275CF" w:rsidRPr="00ED2279" w14:paraId="75B058F6" w14:textId="77777777" w:rsidTr="009F4F62">
        <w:tc>
          <w:tcPr>
            <w:tcW w:w="10137" w:type="dxa"/>
            <w:gridSpan w:val="2"/>
            <w:shd w:val="clear" w:color="auto" w:fill="auto"/>
            <w:tcMar>
              <w:top w:w="113" w:type="dxa"/>
              <w:bottom w:w="113" w:type="dxa"/>
            </w:tcMar>
          </w:tcPr>
          <w:p w14:paraId="02C5B4A9" w14:textId="16DB76D0" w:rsidR="002275CF" w:rsidRPr="00E46FB0" w:rsidRDefault="002275CF" w:rsidP="00AC64F2">
            <w:pPr>
              <w:pStyle w:val="DCStablebodytext"/>
            </w:pPr>
            <w:r w:rsidRPr="00ED2279">
              <w:t>Date:</w:t>
            </w:r>
            <w:r w:rsidR="00AC7634" w:rsidRPr="00ED2279">
              <w:t xml:space="preserve"> </w:t>
            </w:r>
            <w:r w:rsidRPr="00E46FB0">
              <w:fldChar w:fldCharType="begin"/>
            </w:r>
            <w:r w:rsidRPr="00ED2279">
              <w:instrText xml:space="preserve"> DATE \@ "dddd, MMMM dd, yyyy" </w:instrText>
            </w:r>
            <w:r w:rsidRPr="00ED2279">
              <w:fldChar w:fldCharType="separate"/>
            </w:r>
            <w:r w:rsidR="00E46FB0" w:rsidRPr="00E46FB0">
              <w:rPr>
                <w:noProof/>
              </w:rPr>
              <w:t>Monday, March 08, 2021</w:t>
            </w:r>
            <w:r w:rsidRPr="00E46FB0">
              <w:fldChar w:fldCharType="end"/>
            </w:r>
          </w:p>
        </w:tc>
      </w:tr>
    </w:tbl>
    <w:p w14:paraId="0951BD99" w14:textId="77777777" w:rsidR="00FB3D54" w:rsidRPr="00ED2279" w:rsidRDefault="00FB3D54" w:rsidP="005222AC">
      <w:pPr>
        <w:pStyle w:val="DCStablebodytext"/>
      </w:pPr>
    </w:p>
    <w:p w14:paraId="1FE3541A" w14:textId="77777777" w:rsidR="002275CF" w:rsidRPr="00ED2279" w:rsidRDefault="002275CF" w:rsidP="005F2E08">
      <w:pPr>
        <w:pStyle w:val="DCScontactdetailsheading"/>
      </w:pPr>
      <w:r w:rsidRPr="00ED2279">
        <w:t>Contact</w:t>
      </w:r>
      <w:r w:rsidR="000F35DC" w:rsidRPr="00ED2279">
        <w:t xml:space="preserve"> details</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275CF" w:rsidRPr="00ED2279" w14:paraId="7FC86123" w14:textId="77777777" w:rsidTr="35D530D1">
        <w:tc>
          <w:tcPr>
            <w:tcW w:w="9628" w:type="dxa"/>
            <w:shd w:val="clear" w:color="auto" w:fill="auto"/>
            <w:tcMar>
              <w:top w:w="113" w:type="dxa"/>
              <w:bottom w:w="113" w:type="dxa"/>
            </w:tcMar>
          </w:tcPr>
          <w:p w14:paraId="6F1E21CA" w14:textId="4254AD08" w:rsidR="002275CF" w:rsidRPr="00ED2279" w:rsidRDefault="35D530D1" w:rsidP="00AC64F2">
            <w:pPr>
              <w:pStyle w:val="DCStablebodytext"/>
            </w:pPr>
            <w:r w:rsidRPr="00ED2279">
              <w:t>Name: Office of the Secretary</w:t>
            </w:r>
            <w:r w:rsidR="00346132" w:rsidRPr="00ED2279">
              <w:t>, Department of Customer Service</w:t>
            </w:r>
          </w:p>
        </w:tc>
      </w:tr>
      <w:tr w:rsidR="007242A7" w:rsidRPr="00ED2279" w14:paraId="54204822" w14:textId="77777777" w:rsidTr="35D530D1">
        <w:tc>
          <w:tcPr>
            <w:tcW w:w="9628" w:type="dxa"/>
            <w:shd w:val="clear" w:color="auto" w:fill="auto"/>
            <w:tcMar>
              <w:top w:w="113" w:type="dxa"/>
              <w:bottom w:w="113" w:type="dxa"/>
            </w:tcMar>
          </w:tcPr>
          <w:p w14:paraId="65A3B33E" w14:textId="6A47C6B2" w:rsidR="007242A7" w:rsidRPr="00ED2279" w:rsidRDefault="35D530D1" w:rsidP="00AC64F2">
            <w:pPr>
              <w:pStyle w:val="DCStablebodytext"/>
            </w:pPr>
            <w:r w:rsidRPr="00ED2279">
              <w:t xml:space="preserve">Email: </w:t>
            </w:r>
            <w:r w:rsidR="00A57652" w:rsidRPr="00ED2279">
              <w:t>iotproject@customerservice.nsw.gov.au</w:t>
            </w:r>
          </w:p>
        </w:tc>
      </w:tr>
    </w:tbl>
    <w:p w14:paraId="4D71AE94" w14:textId="77777777" w:rsidR="00AC6B1A" w:rsidRDefault="00AC6B1A" w:rsidP="007F1BCA">
      <w:pPr>
        <w:rPr>
          <w:rFonts w:ascii="Arial" w:hAnsi="Arial" w:cs="Arial"/>
        </w:rPr>
      </w:pPr>
    </w:p>
    <w:p w14:paraId="4957B1D5" w14:textId="77777777" w:rsidR="00AE1209" w:rsidRDefault="00AE1209" w:rsidP="00AE1209">
      <w:pPr>
        <w:jc w:val="center"/>
        <w:rPr>
          <w:rFonts w:ascii="Arial" w:hAnsi="Arial" w:cs="Arial"/>
        </w:rPr>
      </w:pPr>
    </w:p>
    <w:p w14:paraId="757C2ECB" w14:textId="0B5412A6" w:rsidR="00AE1209" w:rsidRPr="00AE1209" w:rsidRDefault="00AE1209" w:rsidP="00AE1209">
      <w:pPr>
        <w:tabs>
          <w:tab w:val="center" w:pos="4819"/>
        </w:tabs>
        <w:rPr>
          <w:rFonts w:ascii="Arial" w:hAnsi="Arial" w:cs="Arial"/>
        </w:rPr>
        <w:sectPr w:rsidR="00AE1209" w:rsidRPr="00AE1209" w:rsidSect="002771AA">
          <w:footerReference w:type="default" r:id="rId11"/>
          <w:headerReference w:type="first" r:id="rId12"/>
          <w:footerReference w:type="first" r:id="rId13"/>
          <w:pgSz w:w="11906" w:h="16838"/>
          <w:pgMar w:top="3402" w:right="1134" w:bottom="1134" w:left="1134" w:header="851" w:footer="425" w:gutter="0"/>
          <w:cols w:space="708"/>
          <w:titlePg/>
          <w:docGrid w:linePitch="360"/>
        </w:sectPr>
      </w:pPr>
      <w:r>
        <w:rPr>
          <w:rFonts w:ascii="Arial" w:hAnsi="Arial" w:cs="Arial"/>
        </w:rPr>
        <w:tab/>
      </w:r>
    </w:p>
    <w:p w14:paraId="381C17E9" w14:textId="30B10C97" w:rsidR="009F54FD" w:rsidRPr="00E46FB0" w:rsidRDefault="009F54FD" w:rsidP="00971F74">
      <w:pPr>
        <w:pStyle w:val="DCSTOCHeading"/>
        <w:rPr>
          <w:rFonts w:ascii="Arial" w:hAnsi="Arial"/>
        </w:rPr>
      </w:pPr>
      <w:bookmarkStart w:id="2" w:name="_Toc141695596"/>
      <w:bookmarkStart w:id="3" w:name="_Toc141770720"/>
      <w:bookmarkStart w:id="4" w:name="_Toc144186855"/>
      <w:bookmarkStart w:id="5" w:name="_Toc144186934"/>
      <w:bookmarkStart w:id="6" w:name="_Toc144197254"/>
      <w:bookmarkStart w:id="7" w:name="_Toc144198005"/>
      <w:bookmarkStart w:id="8" w:name="_Toc144532310"/>
      <w:bookmarkStart w:id="9" w:name="_Toc144540644"/>
      <w:bookmarkStart w:id="10" w:name="_Toc144605397"/>
      <w:bookmarkStart w:id="11" w:name="_Toc144868209"/>
      <w:bookmarkStart w:id="12" w:name="_Toc144881588"/>
      <w:bookmarkStart w:id="13" w:name="_Toc144882238"/>
      <w:bookmarkStart w:id="14" w:name="_Toc145903591"/>
      <w:bookmarkStart w:id="15" w:name="_Toc145904044"/>
      <w:bookmarkStart w:id="16" w:name="_Toc145904114"/>
      <w:bookmarkStart w:id="17" w:name="_Toc145913889"/>
      <w:bookmarkStart w:id="18" w:name="_Toc146358416"/>
      <w:bookmarkStart w:id="19" w:name="_Toc146360522"/>
      <w:bookmarkStart w:id="20" w:name="_Toc146360618"/>
      <w:bookmarkStart w:id="21" w:name="_Toc146429431"/>
      <w:bookmarkStart w:id="22" w:name="_Toc146444635"/>
      <w:bookmarkStart w:id="23" w:name="_Toc146446941"/>
      <w:bookmarkStart w:id="24" w:name="_Toc146446971"/>
      <w:bookmarkStart w:id="25" w:name="_Toc146530782"/>
      <w:bookmarkStart w:id="26" w:name="_Toc146531233"/>
      <w:bookmarkStart w:id="27" w:name="_Toc147641233"/>
      <w:bookmarkStart w:id="28" w:name="_Toc147657489"/>
      <w:bookmarkStart w:id="29" w:name="_Toc149451049"/>
      <w:r w:rsidRPr="00E46FB0">
        <w:rPr>
          <w:rFonts w:ascii="Arial" w:hAnsi="Arial"/>
        </w:rPr>
        <w:lastRenderedPageBreak/>
        <w:t>Table of Contents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36405292" w14:textId="5E12AC10" w:rsidR="00AF4812" w:rsidRPr="00E46FB0" w:rsidRDefault="002141C0">
      <w:pPr>
        <w:pStyle w:val="TOC1"/>
        <w:rPr>
          <w:rFonts w:asciiTheme="minorHAnsi" w:eastAsiaTheme="minorEastAsia" w:hAnsiTheme="minorHAnsi" w:cstheme="minorBidi"/>
          <w:b w:val="0"/>
          <w:szCs w:val="22"/>
          <w:lang w:val="en-AU" w:eastAsia="en-AU"/>
        </w:rPr>
      </w:pPr>
      <w:r w:rsidRPr="00E46FB0">
        <w:fldChar w:fldCharType="begin"/>
      </w:r>
      <w:r w:rsidRPr="00ED2279">
        <w:instrText xml:space="preserve"> TOC \h \z \t "Heading 1,1,Heading 2,2,Heading 3,3,Heading no Numbers,1,Document title,1,OFS Title,1,OFS Contact Details Heading,2,URL,1" </w:instrText>
      </w:r>
      <w:r w:rsidRPr="00ED2279">
        <w:fldChar w:fldCharType="separate"/>
      </w:r>
      <w:hyperlink w:anchor="_Toc65760457" w:history="1">
        <w:r w:rsidR="00AF4812" w:rsidRPr="00ED2279">
          <w:rPr>
            <w:rStyle w:val="Hyperlink"/>
          </w:rPr>
          <w:t>CONSULTATION DRAFT:</w:t>
        </w:r>
        <w:r w:rsidR="00AF4812" w:rsidRPr="00ED2279">
          <w:rPr>
            <w:webHidden/>
          </w:rPr>
          <w:tab/>
        </w:r>
        <w:r w:rsidR="00AF4812" w:rsidRPr="00ED2279">
          <w:rPr>
            <w:webHidden/>
          </w:rPr>
          <w:fldChar w:fldCharType="begin"/>
        </w:r>
        <w:r w:rsidR="00AF4812" w:rsidRPr="00ED2279">
          <w:rPr>
            <w:webHidden/>
          </w:rPr>
          <w:instrText xml:space="preserve"> PAGEREF _Toc65760457 \h </w:instrText>
        </w:r>
        <w:r w:rsidR="00AF4812" w:rsidRPr="00ED2279">
          <w:rPr>
            <w:webHidden/>
          </w:rPr>
        </w:r>
        <w:r w:rsidR="00AF4812" w:rsidRPr="00ED2279">
          <w:rPr>
            <w:webHidden/>
          </w:rPr>
          <w:fldChar w:fldCharType="separate"/>
        </w:r>
        <w:r w:rsidR="00AF4812" w:rsidRPr="00ED2279">
          <w:rPr>
            <w:webHidden/>
          </w:rPr>
          <w:t>1</w:t>
        </w:r>
        <w:r w:rsidR="00AF4812" w:rsidRPr="00ED2279">
          <w:rPr>
            <w:webHidden/>
          </w:rPr>
          <w:fldChar w:fldCharType="end"/>
        </w:r>
      </w:hyperlink>
    </w:p>
    <w:p w14:paraId="5CAC7D9C" w14:textId="1F240D84" w:rsidR="00AF4812" w:rsidRPr="00E46FB0" w:rsidRDefault="00084371">
      <w:pPr>
        <w:pStyle w:val="TOC1"/>
        <w:rPr>
          <w:rFonts w:asciiTheme="minorHAnsi" w:eastAsiaTheme="minorEastAsia" w:hAnsiTheme="minorHAnsi" w:cstheme="minorBidi"/>
          <w:b w:val="0"/>
          <w:szCs w:val="22"/>
          <w:lang w:val="en-AU" w:eastAsia="en-AU"/>
        </w:rPr>
      </w:pPr>
      <w:hyperlink w:anchor="_Toc65760458" w:history="1">
        <w:r w:rsidR="00AF4812" w:rsidRPr="00ED2279">
          <w:rPr>
            <w:rStyle w:val="Hyperlink"/>
          </w:rPr>
          <w:t>Internet of Things (IoT) Policy Guidance</w:t>
        </w:r>
        <w:r w:rsidR="00AF4812" w:rsidRPr="00ED2279">
          <w:rPr>
            <w:webHidden/>
          </w:rPr>
          <w:tab/>
        </w:r>
        <w:r w:rsidR="00AF4812" w:rsidRPr="00ED2279">
          <w:rPr>
            <w:webHidden/>
          </w:rPr>
          <w:fldChar w:fldCharType="begin"/>
        </w:r>
        <w:r w:rsidR="00AF4812" w:rsidRPr="00ED2279">
          <w:rPr>
            <w:webHidden/>
          </w:rPr>
          <w:instrText xml:space="preserve"> PAGEREF _Toc65760458 \h </w:instrText>
        </w:r>
        <w:r w:rsidR="00AF4812" w:rsidRPr="00ED2279">
          <w:rPr>
            <w:webHidden/>
          </w:rPr>
        </w:r>
        <w:r w:rsidR="00AF4812" w:rsidRPr="00ED2279">
          <w:rPr>
            <w:webHidden/>
          </w:rPr>
          <w:fldChar w:fldCharType="separate"/>
        </w:r>
        <w:r w:rsidR="00AF4812" w:rsidRPr="00ED2279">
          <w:rPr>
            <w:webHidden/>
          </w:rPr>
          <w:t>1</w:t>
        </w:r>
        <w:r w:rsidR="00AF4812" w:rsidRPr="00ED2279">
          <w:rPr>
            <w:webHidden/>
          </w:rPr>
          <w:fldChar w:fldCharType="end"/>
        </w:r>
      </w:hyperlink>
    </w:p>
    <w:p w14:paraId="605BA9F4" w14:textId="1C1372B2" w:rsidR="00AF4812" w:rsidRPr="00E46FB0" w:rsidRDefault="00084371">
      <w:pPr>
        <w:pStyle w:val="TOC1"/>
        <w:rPr>
          <w:rFonts w:asciiTheme="minorHAnsi" w:eastAsiaTheme="minorEastAsia" w:hAnsiTheme="minorHAnsi" w:cstheme="minorBidi"/>
          <w:b w:val="0"/>
          <w:szCs w:val="22"/>
          <w:lang w:val="en-AU" w:eastAsia="en-AU"/>
        </w:rPr>
      </w:pPr>
      <w:hyperlink w:anchor="_Toc65760459" w:history="1">
        <w:r w:rsidR="00AF4812" w:rsidRPr="00ED2279">
          <w:rPr>
            <w:rStyle w:val="Hyperlink"/>
          </w:rPr>
          <w:t>1.</w:t>
        </w:r>
        <w:r w:rsidR="00AF4812" w:rsidRPr="00ED2279">
          <w:rPr>
            <w:rFonts w:asciiTheme="minorHAnsi" w:eastAsiaTheme="minorEastAsia" w:hAnsiTheme="minorHAnsi" w:cstheme="minorBidi"/>
            <w:b w:val="0"/>
            <w:szCs w:val="22"/>
            <w:lang w:val="en-AU" w:eastAsia="en-AU"/>
          </w:rPr>
          <w:tab/>
        </w:r>
        <w:r w:rsidR="00AF4812" w:rsidRPr="00ED2279">
          <w:rPr>
            <w:rStyle w:val="Hyperlink"/>
          </w:rPr>
          <w:t>The Internet of Things in NSW</w:t>
        </w:r>
        <w:r w:rsidR="00AF4812" w:rsidRPr="00ED2279">
          <w:rPr>
            <w:webHidden/>
          </w:rPr>
          <w:tab/>
        </w:r>
        <w:r w:rsidR="00AF4812" w:rsidRPr="00ED2279">
          <w:rPr>
            <w:webHidden/>
          </w:rPr>
          <w:fldChar w:fldCharType="begin"/>
        </w:r>
        <w:r w:rsidR="00AF4812" w:rsidRPr="00ED2279">
          <w:rPr>
            <w:webHidden/>
          </w:rPr>
          <w:instrText xml:space="preserve"> PAGEREF _Toc65760459 \h </w:instrText>
        </w:r>
        <w:r w:rsidR="00AF4812" w:rsidRPr="00ED2279">
          <w:rPr>
            <w:webHidden/>
          </w:rPr>
        </w:r>
        <w:r w:rsidR="00AF4812" w:rsidRPr="00ED2279">
          <w:rPr>
            <w:webHidden/>
          </w:rPr>
          <w:fldChar w:fldCharType="separate"/>
        </w:r>
        <w:r w:rsidR="00AF4812" w:rsidRPr="00ED2279">
          <w:rPr>
            <w:webHidden/>
          </w:rPr>
          <w:t>1</w:t>
        </w:r>
        <w:r w:rsidR="00AF4812" w:rsidRPr="00ED2279">
          <w:rPr>
            <w:webHidden/>
          </w:rPr>
          <w:fldChar w:fldCharType="end"/>
        </w:r>
      </w:hyperlink>
    </w:p>
    <w:p w14:paraId="3793DF24" w14:textId="4F24AF2C" w:rsidR="00AF4812" w:rsidRPr="00E46FB0" w:rsidRDefault="00084371">
      <w:pPr>
        <w:pStyle w:val="TOC2"/>
        <w:rPr>
          <w:rFonts w:asciiTheme="minorHAnsi" w:eastAsiaTheme="minorEastAsia" w:hAnsiTheme="minorHAnsi" w:cstheme="minorBidi"/>
          <w:szCs w:val="22"/>
          <w:lang w:val="en-AU" w:eastAsia="en-AU"/>
        </w:rPr>
      </w:pPr>
      <w:hyperlink w:anchor="_Toc65760460" w:history="1">
        <w:r w:rsidR="00AF4812" w:rsidRPr="00ED2279">
          <w:rPr>
            <w:rStyle w:val="Hyperlink"/>
            <w14:scene3d>
              <w14:camera w14:prst="orthographicFront"/>
              <w14:lightRig w14:rig="threePt" w14:dir="t">
                <w14:rot w14:lat="0" w14:lon="0" w14:rev="0"/>
              </w14:lightRig>
            </w14:scene3d>
          </w:rPr>
          <w:t>1.1</w:t>
        </w:r>
        <w:r w:rsidR="00AF4812" w:rsidRPr="00ED2279">
          <w:rPr>
            <w:rFonts w:asciiTheme="minorHAnsi" w:eastAsiaTheme="minorEastAsia" w:hAnsiTheme="minorHAnsi" w:cstheme="minorBidi"/>
            <w:szCs w:val="22"/>
            <w:lang w:val="en-AU" w:eastAsia="en-AU"/>
          </w:rPr>
          <w:tab/>
        </w:r>
        <w:r w:rsidR="00AF4812" w:rsidRPr="00ED2279">
          <w:rPr>
            <w:rStyle w:val="Hyperlink"/>
          </w:rPr>
          <w:t>Introduction to IoT</w:t>
        </w:r>
        <w:r w:rsidR="00AF4812" w:rsidRPr="00ED2279">
          <w:rPr>
            <w:webHidden/>
          </w:rPr>
          <w:tab/>
        </w:r>
        <w:r w:rsidR="00AF4812" w:rsidRPr="00ED2279">
          <w:rPr>
            <w:webHidden/>
          </w:rPr>
          <w:fldChar w:fldCharType="begin"/>
        </w:r>
        <w:r w:rsidR="00AF4812" w:rsidRPr="00ED2279">
          <w:rPr>
            <w:webHidden/>
          </w:rPr>
          <w:instrText xml:space="preserve"> PAGEREF _Toc65760460 \h </w:instrText>
        </w:r>
        <w:r w:rsidR="00AF4812" w:rsidRPr="00ED2279">
          <w:rPr>
            <w:webHidden/>
          </w:rPr>
        </w:r>
        <w:r w:rsidR="00AF4812" w:rsidRPr="00ED2279">
          <w:rPr>
            <w:webHidden/>
          </w:rPr>
          <w:fldChar w:fldCharType="separate"/>
        </w:r>
        <w:r w:rsidR="00AF4812" w:rsidRPr="00ED2279">
          <w:rPr>
            <w:webHidden/>
          </w:rPr>
          <w:t>1</w:t>
        </w:r>
        <w:r w:rsidR="00AF4812" w:rsidRPr="00ED2279">
          <w:rPr>
            <w:webHidden/>
          </w:rPr>
          <w:fldChar w:fldCharType="end"/>
        </w:r>
      </w:hyperlink>
    </w:p>
    <w:p w14:paraId="3EE43854" w14:textId="73F4345F" w:rsidR="00AF4812" w:rsidRPr="00E46FB0" w:rsidRDefault="00084371">
      <w:pPr>
        <w:pStyle w:val="TOC3"/>
        <w:rPr>
          <w:rFonts w:asciiTheme="minorHAnsi" w:eastAsiaTheme="minorEastAsia" w:hAnsiTheme="minorHAnsi" w:cstheme="minorBidi"/>
          <w:szCs w:val="22"/>
          <w:lang w:val="en-AU" w:eastAsia="en-AU"/>
        </w:rPr>
      </w:pPr>
      <w:hyperlink w:anchor="_Toc65760461" w:history="1">
        <w:r w:rsidR="00AF4812" w:rsidRPr="00ED2279">
          <w:rPr>
            <w:rStyle w:val="Hyperlink"/>
            <w14:scene3d>
              <w14:camera w14:prst="orthographicFront"/>
              <w14:lightRig w14:rig="threePt" w14:dir="t">
                <w14:rot w14:lat="0" w14:lon="0" w14:rev="0"/>
              </w14:lightRig>
            </w14:scene3d>
          </w:rPr>
          <w:t>1.1.1</w:t>
        </w:r>
        <w:r w:rsidR="00AF4812" w:rsidRPr="00ED2279">
          <w:rPr>
            <w:rFonts w:asciiTheme="minorHAnsi" w:eastAsiaTheme="minorEastAsia" w:hAnsiTheme="minorHAnsi" w:cstheme="minorBidi"/>
            <w:szCs w:val="22"/>
            <w:lang w:val="en-AU" w:eastAsia="en-AU"/>
          </w:rPr>
          <w:tab/>
        </w:r>
        <w:r w:rsidR="00AF4812" w:rsidRPr="00ED2279">
          <w:rPr>
            <w:rStyle w:val="Hyperlink"/>
          </w:rPr>
          <w:t>What is IoT?</w:t>
        </w:r>
        <w:r w:rsidR="00AF4812" w:rsidRPr="00ED2279">
          <w:rPr>
            <w:webHidden/>
          </w:rPr>
          <w:tab/>
        </w:r>
        <w:r w:rsidR="00AF4812" w:rsidRPr="00ED2279">
          <w:rPr>
            <w:webHidden/>
          </w:rPr>
          <w:fldChar w:fldCharType="begin"/>
        </w:r>
        <w:r w:rsidR="00AF4812" w:rsidRPr="00ED2279">
          <w:rPr>
            <w:webHidden/>
          </w:rPr>
          <w:instrText xml:space="preserve"> PAGEREF _Toc65760461 \h </w:instrText>
        </w:r>
        <w:r w:rsidR="00AF4812" w:rsidRPr="00ED2279">
          <w:rPr>
            <w:webHidden/>
          </w:rPr>
        </w:r>
        <w:r w:rsidR="00AF4812" w:rsidRPr="00ED2279">
          <w:rPr>
            <w:webHidden/>
          </w:rPr>
          <w:fldChar w:fldCharType="separate"/>
        </w:r>
        <w:r w:rsidR="00AF4812" w:rsidRPr="00ED2279">
          <w:rPr>
            <w:webHidden/>
          </w:rPr>
          <w:t>1</w:t>
        </w:r>
        <w:r w:rsidR="00AF4812" w:rsidRPr="00ED2279">
          <w:rPr>
            <w:webHidden/>
          </w:rPr>
          <w:fldChar w:fldCharType="end"/>
        </w:r>
      </w:hyperlink>
    </w:p>
    <w:p w14:paraId="5451B699" w14:textId="08CE8C50" w:rsidR="00AF4812" w:rsidRPr="00E46FB0" w:rsidRDefault="00084371">
      <w:pPr>
        <w:pStyle w:val="TOC3"/>
        <w:rPr>
          <w:rFonts w:asciiTheme="minorHAnsi" w:eastAsiaTheme="minorEastAsia" w:hAnsiTheme="minorHAnsi" w:cstheme="minorBidi"/>
          <w:szCs w:val="22"/>
          <w:lang w:val="en-AU" w:eastAsia="en-AU"/>
        </w:rPr>
      </w:pPr>
      <w:hyperlink w:anchor="_Toc65760462" w:history="1">
        <w:r w:rsidR="00AF4812" w:rsidRPr="00ED2279">
          <w:rPr>
            <w:rStyle w:val="Hyperlink"/>
            <w14:scene3d>
              <w14:camera w14:prst="orthographicFront"/>
              <w14:lightRig w14:rig="threePt" w14:dir="t">
                <w14:rot w14:lat="0" w14:lon="0" w14:rev="0"/>
              </w14:lightRig>
            </w14:scene3d>
          </w:rPr>
          <w:t>1.1.2</w:t>
        </w:r>
        <w:r w:rsidR="00AF4812" w:rsidRPr="00ED2279">
          <w:rPr>
            <w:rFonts w:asciiTheme="minorHAnsi" w:eastAsiaTheme="minorEastAsia" w:hAnsiTheme="minorHAnsi" w:cstheme="minorBidi"/>
            <w:szCs w:val="22"/>
            <w:lang w:val="en-AU" w:eastAsia="en-AU"/>
          </w:rPr>
          <w:tab/>
        </w:r>
        <w:r w:rsidR="00AF4812" w:rsidRPr="00ED2279">
          <w:rPr>
            <w:rStyle w:val="Hyperlink"/>
          </w:rPr>
          <w:t>Why use IoT?</w:t>
        </w:r>
        <w:r w:rsidR="00AF4812" w:rsidRPr="00ED2279">
          <w:rPr>
            <w:webHidden/>
          </w:rPr>
          <w:tab/>
        </w:r>
        <w:r w:rsidR="00AF4812" w:rsidRPr="00ED2279">
          <w:rPr>
            <w:webHidden/>
          </w:rPr>
          <w:fldChar w:fldCharType="begin"/>
        </w:r>
        <w:r w:rsidR="00AF4812" w:rsidRPr="00ED2279">
          <w:rPr>
            <w:webHidden/>
          </w:rPr>
          <w:instrText xml:space="preserve"> PAGEREF _Toc65760462 \h </w:instrText>
        </w:r>
        <w:r w:rsidR="00AF4812" w:rsidRPr="00ED2279">
          <w:rPr>
            <w:webHidden/>
          </w:rPr>
        </w:r>
        <w:r w:rsidR="00AF4812" w:rsidRPr="00ED2279">
          <w:rPr>
            <w:webHidden/>
          </w:rPr>
          <w:fldChar w:fldCharType="separate"/>
        </w:r>
        <w:r w:rsidR="00AF4812" w:rsidRPr="00ED2279">
          <w:rPr>
            <w:webHidden/>
          </w:rPr>
          <w:t>2</w:t>
        </w:r>
        <w:r w:rsidR="00AF4812" w:rsidRPr="00ED2279">
          <w:rPr>
            <w:webHidden/>
          </w:rPr>
          <w:fldChar w:fldCharType="end"/>
        </w:r>
      </w:hyperlink>
    </w:p>
    <w:p w14:paraId="5DD6DB61" w14:textId="56B9BE3E" w:rsidR="00AF4812" w:rsidRPr="00E46FB0" w:rsidRDefault="00084371">
      <w:pPr>
        <w:pStyle w:val="TOC3"/>
        <w:rPr>
          <w:rFonts w:asciiTheme="minorHAnsi" w:eastAsiaTheme="minorEastAsia" w:hAnsiTheme="minorHAnsi" w:cstheme="minorBidi"/>
          <w:szCs w:val="22"/>
          <w:lang w:val="en-AU" w:eastAsia="en-AU"/>
        </w:rPr>
      </w:pPr>
      <w:hyperlink w:anchor="_Toc65760463" w:history="1">
        <w:r w:rsidR="00AF4812" w:rsidRPr="00ED2279">
          <w:rPr>
            <w:rStyle w:val="Hyperlink"/>
            <w14:scene3d>
              <w14:camera w14:prst="orthographicFront"/>
              <w14:lightRig w14:rig="threePt" w14:dir="t">
                <w14:rot w14:lat="0" w14:lon="0" w14:rev="0"/>
              </w14:lightRig>
            </w14:scene3d>
          </w:rPr>
          <w:t>1.1.3</w:t>
        </w:r>
        <w:r w:rsidR="00AF4812" w:rsidRPr="00ED2279">
          <w:rPr>
            <w:rFonts w:asciiTheme="minorHAnsi" w:eastAsiaTheme="minorEastAsia" w:hAnsiTheme="minorHAnsi" w:cstheme="minorBidi"/>
            <w:szCs w:val="22"/>
            <w:lang w:val="en-AU" w:eastAsia="en-AU"/>
          </w:rPr>
          <w:tab/>
        </w:r>
        <w:r w:rsidR="00AF4812" w:rsidRPr="00ED2279">
          <w:rPr>
            <w:rStyle w:val="Hyperlink"/>
          </w:rPr>
          <w:t>Applications of IoT</w:t>
        </w:r>
        <w:r w:rsidR="00AF4812" w:rsidRPr="00ED2279">
          <w:rPr>
            <w:webHidden/>
          </w:rPr>
          <w:tab/>
        </w:r>
        <w:r w:rsidR="00AF4812" w:rsidRPr="00ED2279">
          <w:rPr>
            <w:webHidden/>
          </w:rPr>
          <w:fldChar w:fldCharType="begin"/>
        </w:r>
        <w:r w:rsidR="00AF4812" w:rsidRPr="00ED2279">
          <w:rPr>
            <w:webHidden/>
          </w:rPr>
          <w:instrText xml:space="preserve"> PAGEREF _Toc65760463 \h </w:instrText>
        </w:r>
        <w:r w:rsidR="00AF4812" w:rsidRPr="00ED2279">
          <w:rPr>
            <w:webHidden/>
          </w:rPr>
        </w:r>
        <w:r w:rsidR="00AF4812" w:rsidRPr="00ED2279">
          <w:rPr>
            <w:webHidden/>
          </w:rPr>
          <w:fldChar w:fldCharType="separate"/>
        </w:r>
        <w:r w:rsidR="00AF4812" w:rsidRPr="00ED2279">
          <w:rPr>
            <w:webHidden/>
          </w:rPr>
          <w:t>2</w:t>
        </w:r>
        <w:r w:rsidR="00AF4812" w:rsidRPr="00ED2279">
          <w:rPr>
            <w:webHidden/>
          </w:rPr>
          <w:fldChar w:fldCharType="end"/>
        </w:r>
      </w:hyperlink>
    </w:p>
    <w:p w14:paraId="16AB033D" w14:textId="1069BD0F" w:rsidR="00AF4812" w:rsidRPr="00E46FB0" w:rsidRDefault="00084371">
      <w:pPr>
        <w:pStyle w:val="TOC3"/>
        <w:rPr>
          <w:rFonts w:asciiTheme="minorHAnsi" w:eastAsiaTheme="minorEastAsia" w:hAnsiTheme="minorHAnsi" w:cstheme="minorBidi"/>
          <w:szCs w:val="22"/>
          <w:lang w:val="en-AU" w:eastAsia="en-AU"/>
        </w:rPr>
      </w:pPr>
      <w:hyperlink w:anchor="_Toc65760464" w:history="1">
        <w:r w:rsidR="00AF4812" w:rsidRPr="00ED2279">
          <w:rPr>
            <w:rStyle w:val="Hyperlink"/>
            <w14:scene3d>
              <w14:camera w14:prst="orthographicFront"/>
              <w14:lightRig w14:rig="threePt" w14:dir="t">
                <w14:rot w14:lat="0" w14:lon="0" w14:rev="0"/>
              </w14:lightRig>
            </w14:scene3d>
          </w:rPr>
          <w:t>1.1.4</w:t>
        </w:r>
        <w:r w:rsidR="00AF4812" w:rsidRPr="00ED2279">
          <w:rPr>
            <w:rFonts w:asciiTheme="minorHAnsi" w:eastAsiaTheme="minorEastAsia" w:hAnsiTheme="minorHAnsi" w:cstheme="minorBidi"/>
            <w:szCs w:val="22"/>
            <w:lang w:val="en-AU" w:eastAsia="en-AU"/>
          </w:rPr>
          <w:tab/>
        </w:r>
        <w:r w:rsidR="00AF4812" w:rsidRPr="00ED2279">
          <w:rPr>
            <w:rStyle w:val="Hyperlink"/>
          </w:rPr>
          <w:t>The IoT ecosystem</w:t>
        </w:r>
        <w:r w:rsidR="00AF4812" w:rsidRPr="00ED2279">
          <w:rPr>
            <w:webHidden/>
          </w:rPr>
          <w:tab/>
        </w:r>
        <w:r w:rsidR="00AF4812" w:rsidRPr="00ED2279">
          <w:rPr>
            <w:webHidden/>
          </w:rPr>
          <w:fldChar w:fldCharType="begin"/>
        </w:r>
        <w:r w:rsidR="00AF4812" w:rsidRPr="00ED2279">
          <w:rPr>
            <w:webHidden/>
          </w:rPr>
          <w:instrText xml:space="preserve"> PAGEREF _Toc65760464 \h </w:instrText>
        </w:r>
        <w:r w:rsidR="00AF4812" w:rsidRPr="00ED2279">
          <w:rPr>
            <w:webHidden/>
          </w:rPr>
        </w:r>
        <w:r w:rsidR="00AF4812" w:rsidRPr="00ED2279">
          <w:rPr>
            <w:webHidden/>
          </w:rPr>
          <w:fldChar w:fldCharType="separate"/>
        </w:r>
        <w:r w:rsidR="00AF4812" w:rsidRPr="00ED2279">
          <w:rPr>
            <w:webHidden/>
          </w:rPr>
          <w:t>5</w:t>
        </w:r>
        <w:r w:rsidR="00AF4812" w:rsidRPr="00ED2279">
          <w:rPr>
            <w:webHidden/>
          </w:rPr>
          <w:fldChar w:fldCharType="end"/>
        </w:r>
      </w:hyperlink>
    </w:p>
    <w:p w14:paraId="39A7FD53" w14:textId="33FBB9DC" w:rsidR="00AF4812" w:rsidRPr="00E46FB0" w:rsidRDefault="00084371">
      <w:pPr>
        <w:pStyle w:val="TOC3"/>
        <w:rPr>
          <w:rFonts w:asciiTheme="minorHAnsi" w:eastAsiaTheme="minorEastAsia" w:hAnsiTheme="minorHAnsi" w:cstheme="minorBidi"/>
          <w:szCs w:val="22"/>
          <w:lang w:val="en-AU" w:eastAsia="en-AU"/>
        </w:rPr>
      </w:pPr>
      <w:hyperlink w:anchor="_Toc65760465" w:history="1">
        <w:r w:rsidR="00AF4812" w:rsidRPr="00ED2279">
          <w:rPr>
            <w:rStyle w:val="Hyperlink"/>
            <w14:scene3d>
              <w14:camera w14:prst="orthographicFront"/>
              <w14:lightRig w14:rig="threePt" w14:dir="t">
                <w14:rot w14:lat="0" w14:lon="0" w14:rev="0"/>
              </w14:lightRig>
            </w14:scene3d>
          </w:rPr>
          <w:t>1.1.5</w:t>
        </w:r>
        <w:r w:rsidR="00AF4812" w:rsidRPr="00ED2279">
          <w:rPr>
            <w:rFonts w:asciiTheme="minorHAnsi" w:eastAsiaTheme="minorEastAsia" w:hAnsiTheme="minorHAnsi" w:cstheme="minorBidi"/>
            <w:szCs w:val="22"/>
            <w:lang w:val="en-AU" w:eastAsia="en-AU"/>
          </w:rPr>
          <w:tab/>
        </w:r>
        <w:r w:rsidR="00AF4812" w:rsidRPr="00ED2279">
          <w:rPr>
            <w:rStyle w:val="Hyperlink"/>
          </w:rPr>
          <w:t>IoT and data</w:t>
        </w:r>
        <w:r w:rsidR="00AF4812" w:rsidRPr="00ED2279">
          <w:rPr>
            <w:webHidden/>
          </w:rPr>
          <w:tab/>
        </w:r>
        <w:r w:rsidR="00AF4812" w:rsidRPr="00ED2279">
          <w:rPr>
            <w:webHidden/>
          </w:rPr>
          <w:fldChar w:fldCharType="begin"/>
        </w:r>
        <w:r w:rsidR="00AF4812" w:rsidRPr="00ED2279">
          <w:rPr>
            <w:webHidden/>
          </w:rPr>
          <w:instrText xml:space="preserve"> PAGEREF _Toc65760465 \h </w:instrText>
        </w:r>
        <w:r w:rsidR="00AF4812" w:rsidRPr="00ED2279">
          <w:rPr>
            <w:webHidden/>
          </w:rPr>
        </w:r>
        <w:r w:rsidR="00AF4812" w:rsidRPr="00ED2279">
          <w:rPr>
            <w:webHidden/>
          </w:rPr>
          <w:fldChar w:fldCharType="separate"/>
        </w:r>
        <w:r w:rsidR="00AF4812" w:rsidRPr="00ED2279">
          <w:rPr>
            <w:webHidden/>
          </w:rPr>
          <w:t>6</w:t>
        </w:r>
        <w:r w:rsidR="00AF4812" w:rsidRPr="00ED2279">
          <w:rPr>
            <w:webHidden/>
          </w:rPr>
          <w:fldChar w:fldCharType="end"/>
        </w:r>
      </w:hyperlink>
    </w:p>
    <w:p w14:paraId="7CAE1B89" w14:textId="5024BD99" w:rsidR="00AF4812" w:rsidRPr="00E46FB0" w:rsidRDefault="00084371">
      <w:pPr>
        <w:pStyle w:val="TOC3"/>
        <w:rPr>
          <w:rFonts w:asciiTheme="minorHAnsi" w:eastAsiaTheme="minorEastAsia" w:hAnsiTheme="minorHAnsi" w:cstheme="minorBidi"/>
          <w:szCs w:val="22"/>
          <w:lang w:val="en-AU" w:eastAsia="en-AU"/>
        </w:rPr>
      </w:pPr>
      <w:hyperlink w:anchor="_Toc65760466" w:history="1">
        <w:r w:rsidR="00AF4812" w:rsidRPr="00ED2279">
          <w:rPr>
            <w:rStyle w:val="Hyperlink"/>
            <w14:scene3d>
              <w14:camera w14:prst="orthographicFront"/>
              <w14:lightRig w14:rig="threePt" w14:dir="t">
                <w14:rot w14:lat="0" w14:lon="0" w14:rev="0"/>
              </w14:lightRig>
            </w14:scene3d>
          </w:rPr>
          <w:t>1.1.6</w:t>
        </w:r>
        <w:r w:rsidR="00AF4812" w:rsidRPr="00ED2279">
          <w:rPr>
            <w:rFonts w:asciiTheme="minorHAnsi" w:eastAsiaTheme="minorEastAsia" w:hAnsiTheme="minorHAnsi" w:cstheme="minorBidi"/>
            <w:szCs w:val="22"/>
            <w:lang w:val="en-AU" w:eastAsia="en-AU"/>
          </w:rPr>
          <w:tab/>
        </w:r>
        <w:r w:rsidR="00AF4812" w:rsidRPr="00ED2279">
          <w:rPr>
            <w:rStyle w:val="Hyperlink"/>
          </w:rPr>
          <w:t>Trends in IoT</w:t>
        </w:r>
        <w:r w:rsidR="00AF4812" w:rsidRPr="00ED2279">
          <w:rPr>
            <w:webHidden/>
          </w:rPr>
          <w:tab/>
        </w:r>
        <w:r w:rsidR="00AF4812" w:rsidRPr="00ED2279">
          <w:rPr>
            <w:webHidden/>
          </w:rPr>
          <w:fldChar w:fldCharType="begin"/>
        </w:r>
        <w:r w:rsidR="00AF4812" w:rsidRPr="00ED2279">
          <w:rPr>
            <w:webHidden/>
          </w:rPr>
          <w:instrText xml:space="preserve"> PAGEREF _Toc65760466 \h </w:instrText>
        </w:r>
        <w:r w:rsidR="00AF4812" w:rsidRPr="00ED2279">
          <w:rPr>
            <w:webHidden/>
          </w:rPr>
        </w:r>
        <w:r w:rsidR="00AF4812" w:rsidRPr="00ED2279">
          <w:rPr>
            <w:webHidden/>
          </w:rPr>
          <w:fldChar w:fldCharType="separate"/>
        </w:r>
        <w:r w:rsidR="00AF4812" w:rsidRPr="00ED2279">
          <w:rPr>
            <w:webHidden/>
          </w:rPr>
          <w:t>6</w:t>
        </w:r>
        <w:r w:rsidR="00AF4812" w:rsidRPr="00ED2279">
          <w:rPr>
            <w:webHidden/>
          </w:rPr>
          <w:fldChar w:fldCharType="end"/>
        </w:r>
      </w:hyperlink>
    </w:p>
    <w:p w14:paraId="3E63546D" w14:textId="1AA49665" w:rsidR="00AF4812" w:rsidRPr="00E46FB0" w:rsidRDefault="00084371">
      <w:pPr>
        <w:pStyle w:val="TOC2"/>
        <w:rPr>
          <w:rFonts w:asciiTheme="minorHAnsi" w:eastAsiaTheme="minorEastAsia" w:hAnsiTheme="minorHAnsi" w:cstheme="minorBidi"/>
          <w:szCs w:val="22"/>
          <w:lang w:val="en-AU" w:eastAsia="en-AU"/>
        </w:rPr>
      </w:pPr>
      <w:hyperlink w:anchor="_Toc65760467" w:history="1">
        <w:r w:rsidR="00AF4812" w:rsidRPr="00ED2279">
          <w:rPr>
            <w:rStyle w:val="Hyperlink"/>
            <w14:scene3d>
              <w14:camera w14:prst="orthographicFront"/>
              <w14:lightRig w14:rig="threePt" w14:dir="t">
                <w14:rot w14:lat="0" w14:lon="0" w14:rev="0"/>
              </w14:lightRig>
            </w14:scene3d>
          </w:rPr>
          <w:t>1.2</w:t>
        </w:r>
        <w:r w:rsidR="00AF4812" w:rsidRPr="00ED2279">
          <w:rPr>
            <w:rFonts w:asciiTheme="minorHAnsi" w:eastAsiaTheme="minorEastAsia" w:hAnsiTheme="minorHAnsi" w:cstheme="minorBidi"/>
            <w:szCs w:val="22"/>
            <w:lang w:val="en-AU" w:eastAsia="en-AU"/>
          </w:rPr>
          <w:tab/>
        </w:r>
        <w:r w:rsidR="00AF4812" w:rsidRPr="00ED2279">
          <w:rPr>
            <w:rStyle w:val="Hyperlink"/>
          </w:rPr>
          <w:t>IoT in NSW Government</w:t>
        </w:r>
        <w:r w:rsidR="00AF4812" w:rsidRPr="00ED2279">
          <w:rPr>
            <w:webHidden/>
          </w:rPr>
          <w:tab/>
        </w:r>
        <w:r w:rsidR="00AF4812" w:rsidRPr="00ED2279">
          <w:rPr>
            <w:webHidden/>
          </w:rPr>
          <w:fldChar w:fldCharType="begin"/>
        </w:r>
        <w:r w:rsidR="00AF4812" w:rsidRPr="00ED2279">
          <w:rPr>
            <w:webHidden/>
          </w:rPr>
          <w:instrText xml:space="preserve"> PAGEREF _Toc65760467 \h </w:instrText>
        </w:r>
        <w:r w:rsidR="00AF4812" w:rsidRPr="00ED2279">
          <w:rPr>
            <w:webHidden/>
          </w:rPr>
        </w:r>
        <w:r w:rsidR="00AF4812" w:rsidRPr="00ED2279">
          <w:rPr>
            <w:webHidden/>
          </w:rPr>
          <w:fldChar w:fldCharType="separate"/>
        </w:r>
        <w:r w:rsidR="00AF4812" w:rsidRPr="00ED2279">
          <w:rPr>
            <w:webHidden/>
          </w:rPr>
          <w:t>9</w:t>
        </w:r>
        <w:r w:rsidR="00AF4812" w:rsidRPr="00ED2279">
          <w:rPr>
            <w:webHidden/>
          </w:rPr>
          <w:fldChar w:fldCharType="end"/>
        </w:r>
      </w:hyperlink>
    </w:p>
    <w:p w14:paraId="03AAA49B" w14:textId="35790230" w:rsidR="00AF4812" w:rsidRPr="00E46FB0" w:rsidRDefault="00084371">
      <w:pPr>
        <w:pStyle w:val="TOC3"/>
        <w:rPr>
          <w:rFonts w:asciiTheme="minorHAnsi" w:eastAsiaTheme="minorEastAsia" w:hAnsiTheme="minorHAnsi" w:cstheme="minorBidi"/>
          <w:szCs w:val="22"/>
          <w:lang w:val="en-AU" w:eastAsia="en-AU"/>
        </w:rPr>
      </w:pPr>
      <w:hyperlink w:anchor="_Toc65760468" w:history="1">
        <w:r w:rsidR="00AF4812" w:rsidRPr="00ED2279">
          <w:rPr>
            <w:rStyle w:val="Hyperlink"/>
            <w14:scene3d>
              <w14:camera w14:prst="orthographicFront"/>
              <w14:lightRig w14:rig="threePt" w14:dir="t">
                <w14:rot w14:lat="0" w14:lon="0" w14:rev="0"/>
              </w14:lightRig>
            </w14:scene3d>
          </w:rPr>
          <w:t>1.2.1</w:t>
        </w:r>
        <w:r w:rsidR="00AF4812" w:rsidRPr="00ED2279">
          <w:rPr>
            <w:rFonts w:asciiTheme="minorHAnsi" w:eastAsiaTheme="minorEastAsia" w:hAnsiTheme="minorHAnsi" w:cstheme="minorBidi"/>
            <w:szCs w:val="22"/>
            <w:lang w:val="en-AU" w:eastAsia="en-AU"/>
          </w:rPr>
          <w:tab/>
        </w:r>
        <w:r w:rsidR="00AF4812" w:rsidRPr="00ED2279">
          <w:rPr>
            <w:rStyle w:val="Hyperlink"/>
          </w:rPr>
          <w:t>IoT opportunities for NSW Government</w:t>
        </w:r>
        <w:r w:rsidR="00AF4812" w:rsidRPr="00ED2279">
          <w:rPr>
            <w:webHidden/>
          </w:rPr>
          <w:tab/>
        </w:r>
        <w:r w:rsidR="00AF4812" w:rsidRPr="00ED2279">
          <w:rPr>
            <w:webHidden/>
          </w:rPr>
          <w:fldChar w:fldCharType="begin"/>
        </w:r>
        <w:r w:rsidR="00AF4812" w:rsidRPr="00ED2279">
          <w:rPr>
            <w:webHidden/>
          </w:rPr>
          <w:instrText xml:space="preserve"> PAGEREF _Toc65760468 \h </w:instrText>
        </w:r>
        <w:r w:rsidR="00AF4812" w:rsidRPr="00ED2279">
          <w:rPr>
            <w:webHidden/>
          </w:rPr>
        </w:r>
        <w:r w:rsidR="00AF4812" w:rsidRPr="00ED2279">
          <w:rPr>
            <w:webHidden/>
          </w:rPr>
          <w:fldChar w:fldCharType="separate"/>
        </w:r>
        <w:r w:rsidR="00AF4812" w:rsidRPr="00ED2279">
          <w:rPr>
            <w:webHidden/>
          </w:rPr>
          <w:t>9</w:t>
        </w:r>
        <w:r w:rsidR="00AF4812" w:rsidRPr="00ED2279">
          <w:rPr>
            <w:webHidden/>
          </w:rPr>
          <w:fldChar w:fldCharType="end"/>
        </w:r>
      </w:hyperlink>
    </w:p>
    <w:p w14:paraId="44797AF7" w14:textId="39889939" w:rsidR="00AF4812" w:rsidRPr="00E46FB0" w:rsidRDefault="00084371">
      <w:pPr>
        <w:pStyle w:val="TOC3"/>
        <w:rPr>
          <w:rFonts w:asciiTheme="minorHAnsi" w:eastAsiaTheme="minorEastAsia" w:hAnsiTheme="minorHAnsi" w:cstheme="minorBidi"/>
          <w:szCs w:val="22"/>
          <w:lang w:val="en-AU" w:eastAsia="en-AU"/>
        </w:rPr>
      </w:pPr>
      <w:hyperlink w:anchor="_Toc65760469" w:history="1">
        <w:r w:rsidR="00AF4812" w:rsidRPr="00ED2279">
          <w:rPr>
            <w:rStyle w:val="Hyperlink"/>
            <w14:scene3d>
              <w14:camera w14:prst="orthographicFront"/>
              <w14:lightRig w14:rig="threePt" w14:dir="t">
                <w14:rot w14:lat="0" w14:lon="0" w14:rev="0"/>
              </w14:lightRig>
            </w14:scene3d>
          </w:rPr>
          <w:t>1.2.2</w:t>
        </w:r>
        <w:r w:rsidR="00AF4812" w:rsidRPr="00ED2279">
          <w:rPr>
            <w:rFonts w:asciiTheme="minorHAnsi" w:eastAsiaTheme="minorEastAsia" w:hAnsiTheme="minorHAnsi" w:cstheme="minorBidi"/>
            <w:szCs w:val="22"/>
            <w:lang w:val="en-AU" w:eastAsia="en-AU"/>
          </w:rPr>
          <w:tab/>
        </w:r>
        <w:r w:rsidR="00AF4812" w:rsidRPr="00ED2279">
          <w:rPr>
            <w:rStyle w:val="Hyperlink"/>
          </w:rPr>
          <w:t>The current state of IoT in the NSW Government</w:t>
        </w:r>
        <w:r w:rsidR="00AF4812" w:rsidRPr="00ED2279">
          <w:rPr>
            <w:webHidden/>
          </w:rPr>
          <w:tab/>
        </w:r>
        <w:r w:rsidR="00AF4812" w:rsidRPr="00ED2279">
          <w:rPr>
            <w:webHidden/>
          </w:rPr>
          <w:fldChar w:fldCharType="begin"/>
        </w:r>
        <w:r w:rsidR="00AF4812" w:rsidRPr="00ED2279">
          <w:rPr>
            <w:webHidden/>
          </w:rPr>
          <w:instrText xml:space="preserve"> PAGEREF _Toc65760469 \h </w:instrText>
        </w:r>
        <w:r w:rsidR="00AF4812" w:rsidRPr="00ED2279">
          <w:rPr>
            <w:webHidden/>
          </w:rPr>
        </w:r>
        <w:r w:rsidR="00AF4812" w:rsidRPr="00ED2279">
          <w:rPr>
            <w:webHidden/>
          </w:rPr>
          <w:fldChar w:fldCharType="separate"/>
        </w:r>
        <w:r w:rsidR="00AF4812" w:rsidRPr="00ED2279">
          <w:rPr>
            <w:webHidden/>
          </w:rPr>
          <w:t>9</w:t>
        </w:r>
        <w:r w:rsidR="00AF4812" w:rsidRPr="00ED2279">
          <w:rPr>
            <w:webHidden/>
          </w:rPr>
          <w:fldChar w:fldCharType="end"/>
        </w:r>
      </w:hyperlink>
    </w:p>
    <w:p w14:paraId="036F3977" w14:textId="5AF086A0" w:rsidR="00AF4812" w:rsidRPr="00E46FB0" w:rsidRDefault="00084371">
      <w:pPr>
        <w:pStyle w:val="TOC3"/>
        <w:rPr>
          <w:rFonts w:asciiTheme="minorHAnsi" w:eastAsiaTheme="minorEastAsia" w:hAnsiTheme="minorHAnsi" w:cstheme="minorBidi"/>
          <w:szCs w:val="22"/>
          <w:lang w:val="en-AU" w:eastAsia="en-AU"/>
        </w:rPr>
      </w:pPr>
      <w:hyperlink w:anchor="_Toc65760470" w:history="1">
        <w:r w:rsidR="00AF4812" w:rsidRPr="00ED2279">
          <w:rPr>
            <w:rStyle w:val="Hyperlink"/>
            <w14:scene3d>
              <w14:camera w14:prst="orthographicFront"/>
              <w14:lightRig w14:rig="threePt" w14:dir="t">
                <w14:rot w14:lat="0" w14:lon="0" w14:rev="0"/>
              </w14:lightRig>
            </w14:scene3d>
          </w:rPr>
          <w:t>1.2.3</w:t>
        </w:r>
        <w:r w:rsidR="00AF4812" w:rsidRPr="00ED2279">
          <w:rPr>
            <w:rFonts w:asciiTheme="minorHAnsi" w:eastAsiaTheme="minorEastAsia" w:hAnsiTheme="minorHAnsi" w:cstheme="minorBidi"/>
            <w:szCs w:val="22"/>
            <w:lang w:val="en-AU" w:eastAsia="en-AU"/>
          </w:rPr>
          <w:tab/>
        </w:r>
        <w:r w:rsidR="00AF4812" w:rsidRPr="00ED2279">
          <w:rPr>
            <w:rStyle w:val="Hyperlink"/>
          </w:rPr>
          <w:t>Other relevant NSW Government policies and strategies</w:t>
        </w:r>
        <w:r w:rsidR="00AF4812" w:rsidRPr="00ED2279">
          <w:rPr>
            <w:webHidden/>
          </w:rPr>
          <w:tab/>
        </w:r>
        <w:r w:rsidR="00AF4812" w:rsidRPr="00ED2279">
          <w:rPr>
            <w:webHidden/>
          </w:rPr>
          <w:fldChar w:fldCharType="begin"/>
        </w:r>
        <w:r w:rsidR="00AF4812" w:rsidRPr="00ED2279">
          <w:rPr>
            <w:webHidden/>
          </w:rPr>
          <w:instrText xml:space="preserve"> PAGEREF _Toc65760470 \h </w:instrText>
        </w:r>
        <w:r w:rsidR="00AF4812" w:rsidRPr="00ED2279">
          <w:rPr>
            <w:webHidden/>
          </w:rPr>
        </w:r>
        <w:r w:rsidR="00AF4812" w:rsidRPr="00ED2279">
          <w:rPr>
            <w:webHidden/>
          </w:rPr>
          <w:fldChar w:fldCharType="separate"/>
        </w:r>
        <w:r w:rsidR="00AF4812" w:rsidRPr="00ED2279">
          <w:rPr>
            <w:webHidden/>
          </w:rPr>
          <w:t>10</w:t>
        </w:r>
        <w:r w:rsidR="00AF4812" w:rsidRPr="00ED2279">
          <w:rPr>
            <w:webHidden/>
          </w:rPr>
          <w:fldChar w:fldCharType="end"/>
        </w:r>
      </w:hyperlink>
    </w:p>
    <w:p w14:paraId="5CFC34A3" w14:textId="78AD818E" w:rsidR="00AF4812" w:rsidRPr="00E46FB0" w:rsidRDefault="00084371">
      <w:pPr>
        <w:pStyle w:val="TOC2"/>
        <w:rPr>
          <w:rFonts w:asciiTheme="minorHAnsi" w:eastAsiaTheme="minorEastAsia" w:hAnsiTheme="minorHAnsi" w:cstheme="minorBidi"/>
          <w:szCs w:val="22"/>
          <w:lang w:val="en-AU" w:eastAsia="en-AU"/>
        </w:rPr>
      </w:pPr>
      <w:hyperlink w:anchor="_Toc65760471" w:history="1">
        <w:r w:rsidR="00AF4812" w:rsidRPr="00ED2279">
          <w:rPr>
            <w:rStyle w:val="Hyperlink"/>
            <w14:scene3d>
              <w14:camera w14:prst="orthographicFront"/>
              <w14:lightRig w14:rig="threePt" w14:dir="t">
                <w14:rot w14:lat="0" w14:lon="0" w14:rev="0"/>
              </w14:lightRig>
            </w14:scene3d>
          </w:rPr>
          <w:t>1.3</w:t>
        </w:r>
        <w:r w:rsidR="00AF4812" w:rsidRPr="00ED2279">
          <w:rPr>
            <w:rFonts w:asciiTheme="minorHAnsi" w:eastAsiaTheme="minorEastAsia" w:hAnsiTheme="minorHAnsi" w:cstheme="minorBidi"/>
            <w:szCs w:val="22"/>
            <w:lang w:val="en-AU" w:eastAsia="en-AU"/>
          </w:rPr>
          <w:tab/>
        </w:r>
        <w:r w:rsidR="00AF4812" w:rsidRPr="00ED2279">
          <w:rPr>
            <w:rStyle w:val="Hyperlink"/>
          </w:rPr>
          <w:t>Purpose of the IoT Policy</w:t>
        </w:r>
        <w:r w:rsidR="00AF4812" w:rsidRPr="00ED2279">
          <w:rPr>
            <w:webHidden/>
          </w:rPr>
          <w:tab/>
        </w:r>
        <w:r w:rsidR="00AF4812" w:rsidRPr="00ED2279">
          <w:rPr>
            <w:webHidden/>
          </w:rPr>
          <w:fldChar w:fldCharType="begin"/>
        </w:r>
        <w:r w:rsidR="00AF4812" w:rsidRPr="00ED2279">
          <w:rPr>
            <w:webHidden/>
          </w:rPr>
          <w:instrText xml:space="preserve"> PAGEREF _Toc65760471 \h </w:instrText>
        </w:r>
        <w:r w:rsidR="00AF4812" w:rsidRPr="00ED2279">
          <w:rPr>
            <w:webHidden/>
          </w:rPr>
        </w:r>
        <w:r w:rsidR="00AF4812" w:rsidRPr="00ED2279">
          <w:rPr>
            <w:webHidden/>
          </w:rPr>
          <w:fldChar w:fldCharType="separate"/>
        </w:r>
        <w:r w:rsidR="00AF4812" w:rsidRPr="00ED2279">
          <w:rPr>
            <w:webHidden/>
          </w:rPr>
          <w:t>11</w:t>
        </w:r>
        <w:r w:rsidR="00AF4812" w:rsidRPr="00ED2279">
          <w:rPr>
            <w:webHidden/>
          </w:rPr>
          <w:fldChar w:fldCharType="end"/>
        </w:r>
      </w:hyperlink>
    </w:p>
    <w:p w14:paraId="527C4A13" w14:textId="27F05512" w:rsidR="00AF4812" w:rsidRPr="00E46FB0" w:rsidRDefault="00084371">
      <w:pPr>
        <w:pStyle w:val="TOC3"/>
        <w:rPr>
          <w:rFonts w:asciiTheme="minorHAnsi" w:eastAsiaTheme="minorEastAsia" w:hAnsiTheme="minorHAnsi" w:cstheme="minorBidi"/>
          <w:szCs w:val="22"/>
          <w:lang w:val="en-AU" w:eastAsia="en-AU"/>
        </w:rPr>
      </w:pPr>
      <w:hyperlink w:anchor="_Toc65760472" w:history="1">
        <w:r w:rsidR="00AF4812" w:rsidRPr="00ED2279">
          <w:rPr>
            <w:rStyle w:val="Hyperlink"/>
            <w14:scene3d>
              <w14:camera w14:prst="orthographicFront"/>
              <w14:lightRig w14:rig="threePt" w14:dir="t">
                <w14:rot w14:lat="0" w14:lon="0" w14:rev="0"/>
              </w14:lightRig>
            </w14:scene3d>
          </w:rPr>
          <w:t>1.3.1</w:t>
        </w:r>
        <w:r w:rsidR="00AF4812" w:rsidRPr="00ED2279">
          <w:rPr>
            <w:rFonts w:asciiTheme="minorHAnsi" w:eastAsiaTheme="minorEastAsia" w:hAnsiTheme="minorHAnsi" w:cstheme="minorBidi"/>
            <w:szCs w:val="22"/>
            <w:lang w:val="en-AU" w:eastAsia="en-AU"/>
          </w:rPr>
          <w:tab/>
        </w:r>
        <w:r w:rsidR="00AF4812" w:rsidRPr="00ED2279">
          <w:rPr>
            <w:rStyle w:val="Hyperlink"/>
          </w:rPr>
          <w:t>Scope of the IoT Policy</w:t>
        </w:r>
        <w:r w:rsidR="00AF4812" w:rsidRPr="00ED2279">
          <w:rPr>
            <w:webHidden/>
          </w:rPr>
          <w:tab/>
        </w:r>
        <w:r w:rsidR="00AF4812" w:rsidRPr="00ED2279">
          <w:rPr>
            <w:webHidden/>
          </w:rPr>
          <w:fldChar w:fldCharType="begin"/>
        </w:r>
        <w:r w:rsidR="00AF4812" w:rsidRPr="00ED2279">
          <w:rPr>
            <w:webHidden/>
          </w:rPr>
          <w:instrText xml:space="preserve"> PAGEREF _Toc65760472 \h </w:instrText>
        </w:r>
        <w:r w:rsidR="00AF4812" w:rsidRPr="00ED2279">
          <w:rPr>
            <w:webHidden/>
          </w:rPr>
        </w:r>
        <w:r w:rsidR="00AF4812" w:rsidRPr="00ED2279">
          <w:rPr>
            <w:webHidden/>
          </w:rPr>
          <w:fldChar w:fldCharType="separate"/>
        </w:r>
        <w:r w:rsidR="00AF4812" w:rsidRPr="00ED2279">
          <w:rPr>
            <w:webHidden/>
          </w:rPr>
          <w:t>11</w:t>
        </w:r>
        <w:r w:rsidR="00AF4812" w:rsidRPr="00ED2279">
          <w:rPr>
            <w:webHidden/>
          </w:rPr>
          <w:fldChar w:fldCharType="end"/>
        </w:r>
      </w:hyperlink>
    </w:p>
    <w:p w14:paraId="05329439" w14:textId="66A64FEA" w:rsidR="00AF4812" w:rsidRPr="00E46FB0" w:rsidRDefault="00084371">
      <w:pPr>
        <w:pStyle w:val="TOC3"/>
        <w:rPr>
          <w:rFonts w:asciiTheme="minorHAnsi" w:eastAsiaTheme="minorEastAsia" w:hAnsiTheme="minorHAnsi" w:cstheme="minorBidi"/>
          <w:szCs w:val="22"/>
          <w:lang w:val="en-AU" w:eastAsia="en-AU"/>
        </w:rPr>
      </w:pPr>
      <w:hyperlink w:anchor="_Toc65760473" w:history="1">
        <w:r w:rsidR="00AF4812" w:rsidRPr="00ED2279">
          <w:rPr>
            <w:rStyle w:val="Hyperlink"/>
            <w14:scene3d>
              <w14:camera w14:prst="orthographicFront"/>
              <w14:lightRig w14:rig="threePt" w14:dir="t">
                <w14:rot w14:lat="0" w14:lon="0" w14:rev="0"/>
              </w14:lightRig>
            </w14:scene3d>
          </w:rPr>
          <w:t>1.3.2</w:t>
        </w:r>
        <w:r w:rsidR="00AF4812" w:rsidRPr="00ED2279">
          <w:rPr>
            <w:rFonts w:asciiTheme="minorHAnsi" w:eastAsiaTheme="minorEastAsia" w:hAnsiTheme="minorHAnsi" w:cstheme="minorBidi"/>
            <w:szCs w:val="22"/>
            <w:lang w:val="en-AU" w:eastAsia="en-AU"/>
          </w:rPr>
          <w:tab/>
        </w:r>
        <w:r w:rsidR="00AF4812" w:rsidRPr="00ED2279">
          <w:rPr>
            <w:rStyle w:val="Hyperlink"/>
          </w:rPr>
          <w:t>Audience of the IoT Policy</w:t>
        </w:r>
        <w:r w:rsidR="00AF4812" w:rsidRPr="00ED2279">
          <w:rPr>
            <w:webHidden/>
          </w:rPr>
          <w:tab/>
        </w:r>
        <w:r w:rsidR="00AF4812" w:rsidRPr="00ED2279">
          <w:rPr>
            <w:webHidden/>
          </w:rPr>
          <w:fldChar w:fldCharType="begin"/>
        </w:r>
        <w:r w:rsidR="00AF4812" w:rsidRPr="00ED2279">
          <w:rPr>
            <w:webHidden/>
          </w:rPr>
          <w:instrText xml:space="preserve"> PAGEREF _Toc65760473 \h </w:instrText>
        </w:r>
        <w:r w:rsidR="00AF4812" w:rsidRPr="00ED2279">
          <w:rPr>
            <w:webHidden/>
          </w:rPr>
        </w:r>
        <w:r w:rsidR="00AF4812" w:rsidRPr="00ED2279">
          <w:rPr>
            <w:webHidden/>
          </w:rPr>
          <w:fldChar w:fldCharType="separate"/>
        </w:r>
        <w:r w:rsidR="00AF4812" w:rsidRPr="00ED2279">
          <w:rPr>
            <w:webHidden/>
          </w:rPr>
          <w:t>12</w:t>
        </w:r>
        <w:r w:rsidR="00AF4812" w:rsidRPr="00ED2279">
          <w:rPr>
            <w:webHidden/>
          </w:rPr>
          <w:fldChar w:fldCharType="end"/>
        </w:r>
      </w:hyperlink>
    </w:p>
    <w:p w14:paraId="006CEF9B" w14:textId="565B81DA" w:rsidR="00AF4812" w:rsidRPr="00E46FB0" w:rsidRDefault="00084371">
      <w:pPr>
        <w:pStyle w:val="TOC3"/>
        <w:rPr>
          <w:rFonts w:asciiTheme="minorHAnsi" w:eastAsiaTheme="minorEastAsia" w:hAnsiTheme="minorHAnsi" w:cstheme="minorBidi"/>
          <w:szCs w:val="22"/>
          <w:lang w:val="en-AU" w:eastAsia="en-AU"/>
        </w:rPr>
      </w:pPr>
      <w:hyperlink w:anchor="_Toc65760474" w:history="1">
        <w:r w:rsidR="00AF4812" w:rsidRPr="00ED2279">
          <w:rPr>
            <w:rStyle w:val="Hyperlink"/>
            <w14:scene3d>
              <w14:camera w14:prst="orthographicFront"/>
              <w14:lightRig w14:rig="threePt" w14:dir="t">
                <w14:rot w14:lat="0" w14:lon="0" w14:rev="0"/>
              </w14:lightRig>
            </w14:scene3d>
          </w:rPr>
          <w:t>1.3.3</w:t>
        </w:r>
        <w:r w:rsidR="00AF4812" w:rsidRPr="00ED2279">
          <w:rPr>
            <w:rFonts w:asciiTheme="minorHAnsi" w:eastAsiaTheme="minorEastAsia" w:hAnsiTheme="minorHAnsi" w:cstheme="minorBidi"/>
            <w:szCs w:val="22"/>
            <w:lang w:val="en-AU" w:eastAsia="en-AU"/>
          </w:rPr>
          <w:tab/>
        </w:r>
        <w:r w:rsidR="00AF4812" w:rsidRPr="00ED2279">
          <w:rPr>
            <w:rStyle w:val="Hyperlink"/>
          </w:rPr>
          <w:t>How to use the IoT Policy</w:t>
        </w:r>
        <w:r w:rsidR="00AF4812" w:rsidRPr="00ED2279">
          <w:rPr>
            <w:webHidden/>
          </w:rPr>
          <w:tab/>
        </w:r>
        <w:r w:rsidR="00AF4812" w:rsidRPr="00ED2279">
          <w:rPr>
            <w:webHidden/>
          </w:rPr>
          <w:fldChar w:fldCharType="begin"/>
        </w:r>
        <w:r w:rsidR="00AF4812" w:rsidRPr="00ED2279">
          <w:rPr>
            <w:webHidden/>
          </w:rPr>
          <w:instrText xml:space="preserve"> PAGEREF _Toc65760474 \h </w:instrText>
        </w:r>
        <w:r w:rsidR="00AF4812" w:rsidRPr="00ED2279">
          <w:rPr>
            <w:webHidden/>
          </w:rPr>
        </w:r>
        <w:r w:rsidR="00AF4812" w:rsidRPr="00ED2279">
          <w:rPr>
            <w:webHidden/>
          </w:rPr>
          <w:fldChar w:fldCharType="separate"/>
        </w:r>
        <w:r w:rsidR="00AF4812" w:rsidRPr="00ED2279">
          <w:rPr>
            <w:webHidden/>
          </w:rPr>
          <w:t>12</w:t>
        </w:r>
        <w:r w:rsidR="00AF4812" w:rsidRPr="00ED2279">
          <w:rPr>
            <w:webHidden/>
          </w:rPr>
          <w:fldChar w:fldCharType="end"/>
        </w:r>
      </w:hyperlink>
    </w:p>
    <w:p w14:paraId="6E30B6D1" w14:textId="45504C0D" w:rsidR="00AF4812" w:rsidRPr="00E46FB0" w:rsidRDefault="00084371">
      <w:pPr>
        <w:pStyle w:val="TOC3"/>
        <w:rPr>
          <w:rFonts w:asciiTheme="minorHAnsi" w:eastAsiaTheme="minorEastAsia" w:hAnsiTheme="minorHAnsi" w:cstheme="minorBidi"/>
          <w:szCs w:val="22"/>
          <w:lang w:val="en-AU" w:eastAsia="en-AU"/>
        </w:rPr>
      </w:pPr>
      <w:hyperlink w:anchor="_Toc65760475" w:history="1">
        <w:r w:rsidR="00AF4812" w:rsidRPr="00ED2279">
          <w:rPr>
            <w:rStyle w:val="Hyperlink"/>
            <w14:scene3d>
              <w14:camera w14:prst="orthographicFront"/>
              <w14:lightRig w14:rig="threePt" w14:dir="t">
                <w14:rot w14:lat="0" w14:lon="0" w14:rev="0"/>
              </w14:lightRig>
            </w14:scene3d>
          </w:rPr>
          <w:t>1.3.4</w:t>
        </w:r>
        <w:r w:rsidR="00AF4812" w:rsidRPr="00ED2279">
          <w:rPr>
            <w:rFonts w:asciiTheme="minorHAnsi" w:eastAsiaTheme="minorEastAsia" w:hAnsiTheme="minorHAnsi" w:cstheme="minorBidi"/>
            <w:szCs w:val="22"/>
            <w:lang w:val="en-AU" w:eastAsia="en-AU"/>
          </w:rPr>
          <w:tab/>
        </w:r>
        <w:r w:rsidR="00AF4812" w:rsidRPr="00ED2279">
          <w:rPr>
            <w:rStyle w:val="Hyperlink"/>
          </w:rPr>
          <w:t>Case studies in the IoT Policy</w:t>
        </w:r>
        <w:r w:rsidR="00AF4812" w:rsidRPr="00ED2279">
          <w:rPr>
            <w:webHidden/>
          </w:rPr>
          <w:tab/>
        </w:r>
        <w:r w:rsidR="00AF4812" w:rsidRPr="00ED2279">
          <w:rPr>
            <w:webHidden/>
          </w:rPr>
          <w:fldChar w:fldCharType="begin"/>
        </w:r>
        <w:r w:rsidR="00AF4812" w:rsidRPr="00ED2279">
          <w:rPr>
            <w:webHidden/>
          </w:rPr>
          <w:instrText xml:space="preserve"> PAGEREF _Toc65760475 \h </w:instrText>
        </w:r>
        <w:r w:rsidR="00AF4812" w:rsidRPr="00ED2279">
          <w:rPr>
            <w:webHidden/>
          </w:rPr>
        </w:r>
        <w:r w:rsidR="00AF4812" w:rsidRPr="00ED2279">
          <w:rPr>
            <w:webHidden/>
          </w:rPr>
          <w:fldChar w:fldCharType="separate"/>
        </w:r>
        <w:r w:rsidR="00AF4812" w:rsidRPr="00ED2279">
          <w:rPr>
            <w:webHidden/>
          </w:rPr>
          <w:t>12</w:t>
        </w:r>
        <w:r w:rsidR="00AF4812" w:rsidRPr="00ED2279">
          <w:rPr>
            <w:webHidden/>
          </w:rPr>
          <w:fldChar w:fldCharType="end"/>
        </w:r>
      </w:hyperlink>
    </w:p>
    <w:p w14:paraId="5DE261E4" w14:textId="14547324" w:rsidR="00AF4812" w:rsidRPr="00E46FB0" w:rsidRDefault="00084371">
      <w:pPr>
        <w:pStyle w:val="TOC3"/>
        <w:rPr>
          <w:rFonts w:asciiTheme="minorHAnsi" w:eastAsiaTheme="minorEastAsia" w:hAnsiTheme="minorHAnsi" w:cstheme="minorBidi"/>
          <w:szCs w:val="22"/>
          <w:lang w:val="en-AU" w:eastAsia="en-AU"/>
        </w:rPr>
      </w:pPr>
      <w:hyperlink w:anchor="_Toc65760476" w:history="1">
        <w:r w:rsidR="00AF4812" w:rsidRPr="00ED2279">
          <w:rPr>
            <w:rStyle w:val="Hyperlink"/>
            <w14:scene3d>
              <w14:camera w14:prst="orthographicFront"/>
              <w14:lightRig w14:rig="threePt" w14:dir="t">
                <w14:rot w14:lat="0" w14:lon="0" w14:rev="0"/>
              </w14:lightRig>
            </w14:scene3d>
          </w:rPr>
          <w:t>1.3.5</w:t>
        </w:r>
        <w:r w:rsidR="00AF4812" w:rsidRPr="00ED2279">
          <w:rPr>
            <w:rFonts w:asciiTheme="minorHAnsi" w:eastAsiaTheme="minorEastAsia" w:hAnsiTheme="minorHAnsi" w:cstheme="minorBidi"/>
            <w:szCs w:val="22"/>
            <w:lang w:val="en-AU" w:eastAsia="en-AU"/>
          </w:rPr>
          <w:tab/>
        </w:r>
        <w:r w:rsidR="00AF4812" w:rsidRPr="00ED2279">
          <w:rPr>
            <w:rStyle w:val="Hyperlink"/>
          </w:rPr>
          <w:t>How the IoT Policy relates to other NSW Government policies</w:t>
        </w:r>
        <w:r w:rsidR="00AF4812" w:rsidRPr="00ED2279">
          <w:rPr>
            <w:webHidden/>
          </w:rPr>
          <w:tab/>
        </w:r>
        <w:r w:rsidR="00AF4812" w:rsidRPr="00ED2279">
          <w:rPr>
            <w:webHidden/>
          </w:rPr>
          <w:fldChar w:fldCharType="begin"/>
        </w:r>
        <w:r w:rsidR="00AF4812" w:rsidRPr="00ED2279">
          <w:rPr>
            <w:webHidden/>
          </w:rPr>
          <w:instrText xml:space="preserve"> PAGEREF _Toc65760476 \h </w:instrText>
        </w:r>
        <w:r w:rsidR="00AF4812" w:rsidRPr="00ED2279">
          <w:rPr>
            <w:webHidden/>
          </w:rPr>
        </w:r>
        <w:r w:rsidR="00AF4812" w:rsidRPr="00ED2279">
          <w:rPr>
            <w:webHidden/>
          </w:rPr>
          <w:fldChar w:fldCharType="separate"/>
        </w:r>
        <w:r w:rsidR="00AF4812" w:rsidRPr="00ED2279">
          <w:rPr>
            <w:webHidden/>
          </w:rPr>
          <w:t>12</w:t>
        </w:r>
        <w:r w:rsidR="00AF4812" w:rsidRPr="00ED2279">
          <w:rPr>
            <w:webHidden/>
          </w:rPr>
          <w:fldChar w:fldCharType="end"/>
        </w:r>
      </w:hyperlink>
    </w:p>
    <w:p w14:paraId="50D257D8" w14:textId="37BE0B90" w:rsidR="00AF4812" w:rsidRPr="00E46FB0" w:rsidRDefault="00084371">
      <w:pPr>
        <w:pStyle w:val="TOC3"/>
        <w:rPr>
          <w:rFonts w:asciiTheme="minorHAnsi" w:eastAsiaTheme="minorEastAsia" w:hAnsiTheme="minorHAnsi" w:cstheme="minorBidi"/>
          <w:szCs w:val="22"/>
          <w:lang w:val="en-AU" w:eastAsia="en-AU"/>
        </w:rPr>
      </w:pPr>
      <w:hyperlink w:anchor="_Toc65760477" w:history="1">
        <w:r w:rsidR="00AF4812" w:rsidRPr="00ED2279">
          <w:rPr>
            <w:rStyle w:val="Hyperlink"/>
            <w14:scene3d>
              <w14:camera w14:prst="orthographicFront"/>
              <w14:lightRig w14:rig="threePt" w14:dir="t">
                <w14:rot w14:lat="0" w14:lon="0" w14:rev="0"/>
              </w14:lightRig>
            </w14:scene3d>
          </w:rPr>
          <w:t>1.3.6</w:t>
        </w:r>
        <w:r w:rsidR="00AF4812" w:rsidRPr="00ED2279">
          <w:rPr>
            <w:rFonts w:asciiTheme="minorHAnsi" w:eastAsiaTheme="minorEastAsia" w:hAnsiTheme="minorHAnsi" w:cstheme="minorBidi"/>
            <w:szCs w:val="22"/>
            <w:lang w:val="en-AU" w:eastAsia="en-AU"/>
          </w:rPr>
          <w:tab/>
        </w:r>
        <w:r w:rsidR="00AF4812" w:rsidRPr="00ED2279">
          <w:rPr>
            <w:rStyle w:val="Hyperlink"/>
          </w:rPr>
          <w:t>Maintaining the IoT Policy</w:t>
        </w:r>
        <w:r w:rsidR="00AF4812" w:rsidRPr="00ED2279">
          <w:rPr>
            <w:webHidden/>
          </w:rPr>
          <w:tab/>
        </w:r>
        <w:r w:rsidR="00AF4812" w:rsidRPr="00ED2279">
          <w:rPr>
            <w:webHidden/>
          </w:rPr>
          <w:fldChar w:fldCharType="begin"/>
        </w:r>
        <w:r w:rsidR="00AF4812" w:rsidRPr="00ED2279">
          <w:rPr>
            <w:webHidden/>
          </w:rPr>
          <w:instrText xml:space="preserve"> PAGEREF _Toc65760477 \h </w:instrText>
        </w:r>
        <w:r w:rsidR="00AF4812" w:rsidRPr="00ED2279">
          <w:rPr>
            <w:webHidden/>
          </w:rPr>
        </w:r>
        <w:r w:rsidR="00AF4812" w:rsidRPr="00ED2279">
          <w:rPr>
            <w:webHidden/>
          </w:rPr>
          <w:fldChar w:fldCharType="separate"/>
        </w:r>
        <w:r w:rsidR="00AF4812" w:rsidRPr="00ED2279">
          <w:rPr>
            <w:webHidden/>
          </w:rPr>
          <w:t>12</w:t>
        </w:r>
        <w:r w:rsidR="00AF4812" w:rsidRPr="00ED2279">
          <w:rPr>
            <w:webHidden/>
          </w:rPr>
          <w:fldChar w:fldCharType="end"/>
        </w:r>
      </w:hyperlink>
    </w:p>
    <w:p w14:paraId="3080E884" w14:textId="0B0DBED2" w:rsidR="00AF4812" w:rsidRPr="00E46FB0" w:rsidRDefault="00084371">
      <w:pPr>
        <w:pStyle w:val="TOC1"/>
        <w:rPr>
          <w:rFonts w:asciiTheme="minorHAnsi" w:eastAsiaTheme="minorEastAsia" w:hAnsiTheme="minorHAnsi" w:cstheme="minorBidi"/>
          <w:b w:val="0"/>
          <w:szCs w:val="22"/>
          <w:lang w:val="en-AU" w:eastAsia="en-AU"/>
        </w:rPr>
      </w:pPr>
      <w:hyperlink w:anchor="_Toc65760478" w:history="1">
        <w:r w:rsidR="00AF4812" w:rsidRPr="00ED2279">
          <w:rPr>
            <w:rStyle w:val="Hyperlink"/>
          </w:rPr>
          <w:t>2.</w:t>
        </w:r>
        <w:r w:rsidR="00AF4812" w:rsidRPr="00ED2279">
          <w:rPr>
            <w:rFonts w:asciiTheme="minorHAnsi" w:eastAsiaTheme="minorEastAsia" w:hAnsiTheme="minorHAnsi" w:cstheme="minorBidi"/>
            <w:b w:val="0"/>
            <w:szCs w:val="22"/>
            <w:lang w:val="en-AU" w:eastAsia="en-AU"/>
          </w:rPr>
          <w:tab/>
        </w:r>
        <w:r w:rsidR="00AF4812" w:rsidRPr="00ED2279">
          <w:rPr>
            <w:rStyle w:val="Hyperlink"/>
          </w:rPr>
          <w:t>Project Scoping</w:t>
        </w:r>
        <w:r w:rsidR="00AF4812" w:rsidRPr="00ED2279">
          <w:rPr>
            <w:webHidden/>
          </w:rPr>
          <w:tab/>
        </w:r>
        <w:r w:rsidR="00AF4812" w:rsidRPr="00ED2279">
          <w:rPr>
            <w:webHidden/>
          </w:rPr>
          <w:fldChar w:fldCharType="begin"/>
        </w:r>
        <w:r w:rsidR="00AF4812" w:rsidRPr="00ED2279">
          <w:rPr>
            <w:webHidden/>
          </w:rPr>
          <w:instrText xml:space="preserve"> PAGEREF _Toc65760478 \h </w:instrText>
        </w:r>
        <w:r w:rsidR="00AF4812" w:rsidRPr="00ED2279">
          <w:rPr>
            <w:webHidden/>
          </w:rPr>
        </w:r>
        <w:r w:rsidR="00AF4812" w:rsidRPr="00ED2279">
          <w:rPr>
            <w:webHidden/>
          </w:rPr>
          <w:fldChar w:fldCharType="separate"/>
        </w:r>
        <w:r w:rsidR="00AF4812" w:rsidRPr="00ED2279">
          <w:rPr>
            <w:webHidden/>
          </w:rPr>
          <w:t>13</w:t>
        </w:r>
        <w:r w:rsidR="00AF4812" w:rsidRPr="00ED2279">
          <w:rPr>
            <w:webHidden/>
          </w:rPr>
          <w:fldChar w:fldCharType="end"/>
        </w:r>
      </w:hyperlink>
    </w:p>
    <w:p w14:paraId="5C64CAC5" w14:textId="4E1F44DE" w:rsidR="00AF4812" w:rsidRPr="00E46FB0" w:rsidRDefault="00084371">
      <w:pPr>
        <w:pStyle w:val="TOC2"/>
        <w:rPr>
          <w:rFonts w:asciiTheme="minorHAnsi" w:eastAsiaTheme="minorEastAsia" w:hAnsiTheme="minorHAnsi" w:cstheme="minorBidi"/>
          <w:szCs w:val="22"/>
          <w:lang w:val="en-AU" w:eastAsia="en-AU"/>
        </w:rPr>
      </w:pPr>
      <w:hyperlink w:anchor="_Toc65760479" w:history="1">
        <w:r w:rsidR="00AF4812" w:rsidRPr="00ED2279">
          <w:rPr>
            <w:rStyle w:val="Hyperlink"/>
            <w14:scene3d>
              <w14:camera w14:prst="orthographicFront"/>
              <w14:lightRig w14:rig="threePt" w14:dir="t">
                <w14:rot w14:lat="0" w14:lon="0" w14:rev="0"/>
              </w14:lightRig>
            </w14:scene3d>
          </w:rPr>
          <w:t>2.1</w:t>
        </w:r>
        <w:r w:rsidR="00AF4812" w:rsidRPr="00ED2279">
          <w:rPr>
            <w:rFonts w:asciiTheme="minorHAnsi" w:eastAsiaTheme="minorEastAsia" w:hAnsiTheme="minorHAnsi" w:cstheme="minorBidi"/>
            <w:szCs w:val="22"/>
            <w:lang w:val="en-AU" w:eastAsia="en-AU"/>
          </w:rPr>
          <w:tab/>
        </w:r>
        <w:r w:rsidR="00AF4812" w:rsidRPr="00ED2279">
          <w:rPr>
            <w:rStyle w:val="Hyperlink"/>
          </w:rPr>
          <w:t>Is IoT an appropriate tool to use?</w:t>
        </w:r>
        <w:r w:rsidR="00AF4812" w:rsidRPr="00ED2279">
          <w:rPr>
            <w:webHidden/>
          </w:rPr>
          <w:tab/>
        </w:r>
        <w:r w:rsidR="00AF4812" w:rsidRPr="00ED2279">
          <w:rPr>
            <w:webHidden/>
          </w:rPr>
          <w:fldChar w:fldCharType="begin"/>
        </w:r>
        <w:r w:rsidR="00AF4812" w:rsidRPr="00ED2279">
          <w:rPr>
            <w:webHidden/>
          </w:rPr>
          <w:instrText xml:space="preserve"> PAGEREF _Toc65760479 \h </w:instrText>
        </w:r>
        <w:r w:rsidR="00AF4812" w:rsidRPr="00ED2279">
          <w:rPr>
            <w:webHidden/>
          </w:rPr>
        </w:r>
        <w:r w:rsidR="00AF4812" w:rsidRPr="00ED2279">
          <w:rPr>
            <w:webHidden/>
          </w:rPr>
          <w:fldChar w:fldCharType="separate"/>
        </w:r>
        <w:r w:rsidR="00AF4812" w:rsidRPr="00ED2279">
          <w:rPr>
            <w:webHidden/>
          </w:rPr>
          <w:t>14</w:t>
        </w:r>
        <w:r w:rsidR="00AF4812" w:rsidRPr="00ED2279">
          <w:rPr>
            <w:webHidden/>
          </w:rPr>
          <w:fldChar w:fldCharType="end"/>
        </w:r>
      </w:hyperlink>
    </w:p>
    <w:p w14:paraId="21C3D7F6" w14:textId="0ADF5D58" w:rsidR="00AF4812" w:rsidRPr="00E46FB0" w:rsidRDefault="00084371">
      <w:pPr>
        <w:pStyle w:val="TOC2"/>
        <w:rPr>
          <w:rFonts w:asciiTheme="minorHAnsi" w:eastAsiaTheme="minorEastAsia" w:hAnsiTheme="minorHAnsi" w:cstheme="minorBidi"/>
          <w:szCs w:val="22"/>
          <w:lang w:val="en-AU" w:eastAsia="en-AU"/>
        </w:rPr>
      </w:pPr>
      <w:hyperlink w:anchor="_Toc65760480" w:history="1">
        <w:r w:rsidR="00AF4812" w:rsidRPr="00ED2279">
          <w:rPr>
            <w:rStyle w:val="Hyperlink"/>
            <w14:scene3d>
              <w14:camera w14:prst="orthographicFront"/>
              <w14:lightRig w14:rig="threePt" w14:dir="t">
                <w14:rot w14:lat="0" w14:lon="0" w14:rev="0"/>
              </w14:lightRig>
            </w14:scene3d>
          </w:rPr>
          <w:t>2.2</w:t>
        </w:r>
        <w:r w:rsidR="00AF4812" w:rsidRPr="00ED2279">
          <w:rPr>
            <w:rFonts w:asciiTheme="minorHAnsi" w:eastAsiaTheme="minorEastAsia" w:hAnsiTheme="minorHAnsi" w:cstheme="minorBidi"/>
            <w:szCs w:val="22"/>
            <w:lang w:val="en-AU" w:eastAsia="en-AU"/>
          </w:rPr>
          <w:tab/>
        </w:r>
        <w:r w:rsidR="00AF4812" w:rsidRPr="00ED2279">
          <w:rPr>
            <w:rStyle w:val="Hyperlink"/>
          </w:rPr>
          <w:t>Skills and expertise</w:t>
        </w:r>
        <w:r w:rsidR="00AF4812" w:rsidRPr="00ED2279">
          <w:rPr>
            <w:webHidden/>
          </w:rPr>
          <w:tab/>
        </w:r>
        <w:r w:rsidR="00AF4812" w:rsidRPr="00ED2279">
          <w:rPr>
            <w:webHidden/>
          </w:rPr>
          <w:fldChar w:fldCharType="begin"/>
        </w:r>
        <w:r w:rsidR="00AF4812" w:rsidRPr="00ED2279">
          <w:rPr>
            <w:webHidden/>
          </w:rPr>
          <w:instrText xml:space="preserve"> PAGEREF _Toc65760480 \h </w:instrText>
        </w:r>
        <w:r w:rsidR="00AF4812" w:rsidRPr="00ED2279">
          <w:rPr>
            <w:webHidden/>
          </w:rPr>
        </w:r>
        <w:r w:rsidR="00AF4812" w:rsidRPr="00ED2279">
          <w:rPr>
            <w:webHidden/>
          </w:rPr>
          <w:fldChar w:fldCharType="separate"/>
        </w:r>
        <w:r w:rsidR="00AF4812" w:rsidRPr="00ED2279">
          <w:rPr>
            <w:webHidden/>
          </w:rPr>
          <w:t>21</w:t>
        </w:r>
        <w:r w:rsidR="00AF4812" w:rsidRPr="00ED2279">
          <w:rPr>
            <w:webHidden/>
          </w:rPr>
          <w:fldChar w:fldCharType="end"/>
        </w:r>
      </w:hyperlink>
    </w:p>
    <w:p w14:paraId="7140BD86" w14:textId="1C483AD2" w:rsidR="00AF4812" w:rsidRPr="00E46FB0" w:rsidRDefault="00084371">
      <w:pPr>
        <w:pStyle w:val="TOC3"/>
        <w:rPr>
          <w:rFonts w:asciiTheme="minorHAnsi" w:eastAsiaTheme="minorEastAsia" w:hAnsiTheme="minorHAnsi" w:cstheme="minorBidi"/>
          <w:szCs w:val="22"/>
          <w:lang w:val="en-AU" w:eastAsia="en-AU"/>
        </w:rPr>
      </w:pPr>
      <w:hyperlink w:anchor="_Toc65760481" w:history="1">
        <w:r w:rsidR="00AF4812" w:rsidRPr="00ED2279">
          <w:rPr>
            <w:rStyle w:val="Hyperlink"/>
            <w14:scene3d>
              <w14:camera w14:prst="orthographicFront"/>
              <w14:lightRig w14:rig="threePt" w14:dir="t">
                <w14:rot w14:lat="0" w14:lon="0" w14:rev="0"/>
              </w14:lightRig>
            </w14:scene3d>
          </w:rPr>
          <w:t>2.2.1</w:t>
        </w:r>
        <w:r w:rsidR="00AF4812" w:rsidRPr="00ED2279">
          <w:rPr>
            <w:rFonts w:asciiTheme="minorHAnsi" w:eastAsiaTheme="minorEastAsia" w:hAnsiTheme="minorHAnsi" w:cstheme="minorBidi"/>
            <w:szCs w:val="22"/>
            <w:lang w:val="en-AU" w:eastAsia="en-AU"/>
          </w:rPr>
          <w:tab/>
        </w:r>
        <w:r w:rsidR="00AF4812" w:rsidRPr="00ED2279">
          <w:rPr>
            <w:rStyle w:val="Hyperlink"/>
          </w:rPr>
          <w:t>Skills and expertise required to roll out an IoT-enabled project</w:t>
        </w:r>
        <w:r w:rsidR="00AF4812" w:rsidRPr="00ED2279">
          <w:rPr>
            <w:webHidden/>
          </w:rPr>
          <w:tab/>
        </w:r>
        <w:r w:rsidR="00AF4812" w:rsidRPr="00ED2279">
          <w:rPr>
            <w:webHidden/>
          </w:rPr>
          <w:fldChar w:fldCharType="begin"/>
        </w:r>
        <w:r w:rsidR="00AF4812" w:rsidRPr="00ED2279">
          <w:rPr>
            <w:webHidden/>
          </w:rPr>
          <w:instrText xml:space="preserve"> PAGEREF _Toc65760481 \h </w:instrText>
        </w:r>
        <w:r w:rsidR="00AF4812" w:rsidRPr="00ED2279">
          <w:rPr>
            <w:webHidden/>
          </w:rPr>
        </w:r>
        <w:r w:rsidR="00AF4812" w:rsidRPr="00ED2279">
          <w:rPr>
            <w:webHidden/>
          </w:rPr>
          <w:fldChar w:fldCharType="separate"/>
        </w:r>
        <w:r w:rsidR="00AF4812" w:rsidRPr="00ED2279">
          <w:rPr>
            <w:webHidden/>
          </w:rPr>
          <w:t>21</w:t>
        </w:r>
        <w:r w:rsidR="00AF4812" w:rsidRPr="00ED2279">
          <w:rPr>
            <w:webHidden/>
          </w:rPr>
          <w:fldChar w:fldCharType="end"/>
        </w:r>
      </w:hyperlink>
    </w:p>
    <w:p w14:paraId="5BB3B09E" w14:textId="1A39D48A" w:rsidR="00AF4812" w:rsidRPr="00E46FB0" w:rsidRDefault="00084371">
      <w:pPr>
        <w:pStyle w:val="TOC3"/>
        <w:rPr>
          <w:rFonts w:asciiTheme="minorHAnsi" w:eastAsiaTheme="minorEastAsia" w:hAnsiTheme="minorHAnsi" w:cstheme="minorBidi"/>
          <w:szCs w:val="22"/>
          <w:lang w:val="en-AU" w:eastAsia="en-AU"/>
        </w:rPr>
      </w:pPr>
      <w:hyperlink w:anchor="_Toc65760482" w:history="1">
        <w:r w:rsidR="00AF4812" w:rsidRPr="00ED2279">
          <w:rPr>
            <w:rStyle w:val="Hyperlink"/>
            <w14:scene3d>
              <w14:camera w14:prst="orthographicFront"/>
              <w14:lightRig w14:rig="threePt" w14:dir="t">
                <w14:rot w14:lat="0" w14:lon="0" w14:rev="0"/>
              </w14:lightRig>
            </w14:scene3d>
          </w:rPr>
          <w:t>2.2.2</w:t>
        </w:r>
        <w:r w:rsidR="00AF4812" w:rsidRPr="00ED2279">
          <w:rPr>
            <w:rFonts w:asciiTheme="minorHAnsi" w:eastAsiaTheme="minorEastAsia" w:hAnsiTheme="minorHAnsi" w:cstheme="minorBidi"/>
            <w:szCs w:val="22"/>
            <w:lang w:val="en-AU" w:eastAsia="en-AU"/>
          </w:rPr>
          <w:tab/>
        </w:r>
        <w:r w:rsidR="00AF4812" w:rsidRPr="00ED2279">
          <w:rPr>
            <w:rStyle w:val="Hyperlink"/>
          </w:rPr>
          <w:t>Engaging with experts</w:t>
        </w:r>
        <w:r w:rsidR="00AF4812" w:rsidRPr="00ED2279">
          <w:rPr>
            <w:webHidden/>
          </w:rPr>
          <w:tab/>
        </w:r>
        <w:r w:rsidR="00AF4812" w:rsidRPr="00ED2279">
          <w:rPr>
            <w:webHidden/>
          </w:rPr>
          <w:fldChar w:fldCharType="begin"/>
        </w:r>
        <w:r w:rsidR="00AF4812" w:rsidRPr="00ED2279">
          <w:rPr>
            <w:webHidden/>
          </w:rPr>
          <w:instrText xml:space="preserve"> PAGEREF _Toc65760482 \h </w:instrText>
        </w:r>
        <w:r w:rsidR="00AF4812" w:rsidRPr="00ED2279">
          <w:rPr>
            <w:webHidden/>
          </w:rPr>
        </w:r>
        <w:r w:rsidR="00AF4812" w:rsidRPr="00ED2279">
          <w:rPr>
            <w:webHidden/>
          </w:rPr>
          <w:fldChar w:fldCharType="separate"/>
        </w:r>
        <w:r w:rsidR="00AF4812" w:rsidRPr="00ED2279">
          <w:rPr>
            <w:webHidden/>
          </w:rPr>
          <w:t>22</w:t>
        </w:r>
        <w:r w:rsidR="00AF4812" w:rsidRPr="00ED2279">
          <w:rPr>
            <w:webHidden/>
          </w:rPr>
          <w:fldChar w:fldCharType="end"/>
        </w:r>
      </w:hyperlink>
    </w:p>
    <w:p w14:paraId="178B8FD1" w14:textId="7E7081B0" w:rsidR="00AF4812" w:rsidRPr="00E46FB0" w:rsidRDefault="00084371">
      <w:pPr>
        <w:pStyle w:val="TOC1"/>
        <w:rPr>
          <w:rFonts w:asciiTheme="minorHAnsi" w:eastAsiaTheme="minorEastAsia" w:hAnsiTheme="minorHAnsi" w:cstheme="minorBidi"/>
          <w:b w:val="0"/>
          <w:szCs w:val="22"/>
          <w:lang w:val="en-AU" w:eastAsia="en-AU"/>
        </w:rPr>
      </w:pPr>
      <w:hyperlink w:anchor="_Toc65760483" w:history="1">
        <w:r w:rsidR="00AF4812" w:rsidRPr="00ED2279">
          <w:rPr>
            <w:rStyle w:val="Hyperlink"/>
          </w:rPr>
          <w:t>3.</w:t>
        </w:r>
        <w:r w:rsidR="00AF4812" w:rsidRPr="00ED2279">
          <w:rPr>
            <w:rFonts w:asciiTheme="minorHAnsi" w:eastAsiaTheme="minorEastAsia" w:hAnsiTheme="minorHAnsi" w:cstheme="minorBidi"/>
            <w:b w:val="0"/>
            <w:szCs w:val="22"/>
            <w:lang w:val="en-AU" w:eastAsia="en-AU"/>
          </w:rPr>
          <w:tab/>
        </w:r>
        <w:r w:rsidR="00AF4812" w:rsidRPr="00ED2279">
          <w:rPr>
            <w:rStyle w:val="Hyperlink"/>
          </w:rPr>
          <w:t>Project Planning</w:t>
        </w:r>
        <w:r w:rsidR="00AF4812" w:rsidRPr="00ED2279">
          <w:rPr>
            <w:webHidden/>
          </w:rPr>
          <w:tab/>
        </w:r>
        <w:r w:rsidR="00AF4812" w:rsidRPr="00ED2279">
          <w:rPr>
            <w:webHidden/>
          </w:rPr>
          <w:fldChar w:fldCharType="begin"/>
        </w:r>
        <w:r w:rsidR="00AF4812" w:rsidRPr="00ED2279">
          <w:rPr>
            <w:webHidden/>
          </w:rPr>
          <w:instrText xml:space="preserve"> PAGEREF _Toc65760483 \h </w:instrText>
        </w:r>
        <w:r w:rsidR="00AF4812" w:rsidRPr="00ED2279">
          <w:rPr>
            <w:webHidden/>
          </w:rPr>
        </w:r>
        <w:r w:rsidR="00AF4812" w:rsidRPr="00ED2279">
          <w:rPr>
            <w:webHidden/>
          </w:rPr>
          <w:fldChar w:fldCharType="separate"/>
        </w:r>
        <w:r w:rsidR="00AF4812" w:rsidRPr="00ED2279">
          <w:rPr>
            <w:webHidden/>
          </w:rPr>
          <w:t>24</w:t>
        </w:r>
        <w:r w:rsidR="00AF4812" w:rsidRPr="00ED2279">
          <w:rPr>
            <w:webHidden/>
          </w:rPr>
          <w:fldChar w:fldCharType="end"/>
        </w:r>
      </w:hyperlink>
    </w:p>
    <w:p w14:paraId="60190669" w14:textId="75BA2245" w:rsidR="00AF4812" w:rsidRPr="00E46FB0" w:rsidRDefault="00084371">
      <w:pPr>
        <w:pStyle w:val="TOC2"/>
        <w:rPr>
          <w:rFonts w:asciiTheme="minorHAnsi" w:eastAsiaTheme="minorEastAsia" w:hAnsiTheme="minorHAnsi" w:cstheme="minorBidi"/>
          <w:szCs w:val="22"/>
          <w:lang w:val="en-AU" w:eastAsia="en-AU"/>
        </w:rPr>
      </w:pPr>
      <w:hyperlink w:anchor="_Toc65760484" w:history="1">
        <w:r w:rsidR="00AF4812" w:rsidRPr="00ED2279">
          <w:rPr>
            <w:rStyle w:val="Hyperlink"/>
            <w14:scene3d>
              <w14:camera w14:prst="orthographicFront"/>
              <w14:lightRig w14:rig="threePt" w14:dir="t">
                <w14:rot w14:lat="0" w14:lon="0" w14:rev="0"/>
              </w14:lightRig>
            </w14:scene3d>
          </w:rPr>
          <w:t>3.1</w:t>
        </w:r>
        <w:r w:rsidR="00AF4812" w:rsidRPr="00ED2279">
          <w:rPr>
            <w:rFonts w:asciiTheme="minorHAnsi" w:eastAsiaTheme="minorEastAsia" w:hAnsiTheme="minorHAnsi" w:cstheme="minorBidi"/>
            <w:szCs w:val="22"/>
            <w:lang w:val="en-AU" w:eastAsia="en-AU"/>
          </w:rPr>
          <w:tab/>
        </w:r>
        <w:r w:rsidR="00AF4812" w:rsidRPr="00ED2279">
          <w:rPr>
            <w:rStyle w:val="Hyperlink"/>
          </w:rPr>
          <w:t>Project planning</w:t>
        </w:r>
        <w:r w:rsidR="00AF4812" w:rsidRPr="00ED2279">
          <w:rPr>
            <w:webHidden/>
          </w:rPr>
          <w:tab/>
        </w:r>
        <w:r w:rsidR="00AF4812" w:rsidRPr="00ED2279">
          <w:rPr>
            <w:webHidden/>
          </w:rPr>
          <w:fldChar w:fldCharType="begin"/>
        </w:r>
        <w:r w:rsidR="00AF4812" w:rsidRPr="00ED2279">
          <w:rPr>
            <w:webHidden/>
          </w:rPr>
          <w:instrText xml:space="preserve"> PAGEREF _Toc65760484 \h </w:instrText>
        </w:r>
        <w:r w:rsidR="00AF4812" w:rsidRPr="00ED2279">
          <w:rPr>
            <w:webHidden/>
          </w:rPr>
        </w:r>
        <w:r w:rsidR="00AF4812" w:rsidRPr="00ED2279">
          <w:rPr>
            <w:webHidden/>
          </w:rPr>
          <w:fldChar w:fldCharType="separate"/>
        </w:r>
        <w:r w:rsidR="00AF4812" w:rsidRPr="00ED2279">
          <w:rPr>
            <w:webHidden/>
          </w:rPr>
          <w:t>25</w:t>
        </w:r>
        <w:r w:rsidR="00AF4812" w:rsidRPr="00ED2279">
          <w:rPr>
            <w:webHidden/>
          </w:rPr>
          <w:fldChar w:fldCharType="end"/>
        </w:r>
      </w:hyperlink>
    </w:p>
    <w:p w14:paraId="3B17E0E8" w14:textId="6CAE4776" w:rsidR="00AF4812" w:rsidRPr="00E46FB0" w:rsidRDefault="00084371">
      <w:pPr>
        <w:pStyle w:val="TOC3"/>
        <w:rPr>
          <w:rFonts w:asciiTheme="minorHAnsi" w:eastAsiaTheme="minorEastAsia" w:hAnsiTheme="minorHAnsi" w:cstheme="minorBidi"/>
          <w:szCs w:val="22"/>
          <w:lang w:val="en-AU" w:eastAsia="en-AU"/>
        </w:rPr>
      </w:pPr>
      <w:hyperlink w:anchor="_Toc65760485" w:history="1">
        <w:r w:rsidR="00AF4812" w:rsidRPr="00ED2279">
          <w:rPr>
            <w:rStyle w:val="Hyperlink"/>
            <w14:scene3d>
              <w14:camera w14:prst="orthographicFront"/>
              <w14:lightRig w14:rig="threePt" w14:dir="t">
                <w14:rot w14:lat="0" w14:lon="0" w14:rev="0"/>
              </w14:lightRig>
            </w14:scene3d>
          </w:rPr>
          <w:t>3.1.1</w:t>
        </w:r>
        <w:r w:rsidR="00AF4812" w:rsidRPr="00ED2279">
          <w:rPr>
            <w:rFonts w:asciiTheme="minorHAnsi" w:eastAsiaTheme="minorEastAsia" w:hAnsiTheme="minorHAnsi" w:cstheme="minorBidi"/>
            <w:szCs w:val="22"/>
            <w:lang w:val="en-AU" w:eastAsia="en-AU"/>
          </w:rPr>
          <w:tab/>
        </w:r>
        <w:r w:rsidR="00AF4812" w:rsidRPr="00ED2279">
          <w:rPr>
            <w:rStyle w:val="Hyperlink"/>
          </w:rPr>
          <w:t>What is project planning and why is it important?</w:t>
        </w:r>
        <w:r w:rsidR="00AF4812" w:rsidRPr="00ED2279">
          <w:rPr>
            <w:webHidden/>
          </w:rPr>
          <w:tab/>
        </w:r>
        <w:r w:rsidR="00AF4812" w:rsidRPr="00ED2279">
          <w:rPr>
            <w:webHidden/>
          </w:rPr>
          <w:fldChar w:fldCharType="begin"/>
        </w:r>
        <w:r w:rsidR="00AF4812" w:rsidRPr="00ED2279">
          <w:rPr>
            <w:webHidden/>
          </w:rPr>
          <w:instrText xml:space="preserve"> PAGEREF _Toc65760485 \h </w:instrText>
        </w:r>
        <w:r w:rsidR="00AF4812" w:rsidRPr="00ED2279">
          <w:rPr>
            <w:webHidden/>
          </w:rPr>
        </w:r>
        <w:r w:rsidR="00AF4812" w:rsidRPr="00ED2279">
          <w:rPr>
            <w:webHidden/>
          </w:rPr>
          <w:fldChar w:fldCharType="separate"/>
        </w:r>
        <w:r w:rsidR="00AF4812" w:rsidRPr="00ED2279">
          <w:rPr>
            <w:webHidden/>
          </w:rPr>
          <w:t>25</w:t>
        </w:r>
        <w:r w:rsidR="00AF4812" w:rsidRPr="00ED2279">
          <w:rPr>
            <w:webHidden/>
          </w:rPr>
          <w:fldChar w:fldCharType="end"/>
        </w:r>
      </w:hyperlink>
    </w:p>
    <w:p w14:paraId="1E1BFA4D" w14:textId="1D01686D" w:rsidR="00AF4812" w:rsidRPr="00E46FB0" w:rsidRDefault="00084371">
      <w:pPr>
        <w:pStyle w:val="TOC3"/>
        <w:rPr>
          <w:rFonts w:asciiTheme="minorHAnsi" w:eastAsiaTheme="minorEastAsia" w:hAnsiTheme="minorHAnsi" w:cstheme="minorBidi"/>
          <w:szCs w:val="22"/>
          <w:lang w:val="en-AU" w:eastAsia="en-AU"/>
        </w:rPr>
      </w:pPr>
      <w:hyperlink w:anchor="_Toc65760486" w:history="1">
        <w:r w:rsidR="00AF4812" w:rsidRPr="00ED2279">
          <w:rPr>
            <w:rStyle w:val="Hyperlink"/>
            <w14:scene3d>
              <w14:camera w14:prst="orthographicFront"/>
              <w14:lightRig w14:rig="threePt" w14:dir="t">
                <w14:rot w14:lat="0" w14:lon="0" w14:rev="0"/>
              </w14:lightRig>
            </w14:scene3d>
          </w:rPr>
          <w:t>3.1.2</w:t>
        </w:r>
        <w:r w:rsidR="00AF4812" w:rsidRPr="00ED2279">
          <w:rPr>
            <w:rFonts w:asciiTheme="minorHAnsi" w:eastAsiaTheme="minorEastAsia" w:hAnsiTheme="minorHAnsi" w:cstheme="minorBidi"/>
            <w:szCs w:val="22"/>
            <w:lang w:val="en-AU" w:eastAsia="en-AU"/>
          </w:rPr>
          <w:tab/>
        </w:r>
        <w:r w:rsidR="00AF4812" w:rsidRPr="00ED2279">
          <w:rPr>
            <w:rStyle w:val="Hyperlink"/>
          </w:rPr>
          <w:t>Things to consider when planning an IoT-enabled project</w:t>
        </w:r>
        <w:r w:rsidR="00AF4812" w:rsidRPr="00ED2279">
          <w:rPr>
            <w:webHidden/>
          </w:rPr>
          <w:tab/>
        </w:r>
        <w:r w:rsidR="00AF4812" w:rsidRPr="00ED2279">
          <w:rPr>
            <w:webHidden/>
          </w:rPr>
          <w:fldChar w:fldCharType="begin"/>
        </w:r>
        <w:r w:rsidR="00AF4812" w:rsidRPr="00ED2279">
          <w:rPr>
            <w:webHidden/>
          </w:rPr>
          <w:instrText xml:space="preserve"> PAGEREF _Toc65760486 \h </w:instrText>
        </w:r>
        <w:r w:rsidR="00AF4812" w:rsidRPr="00ED2279">
          <w:rPr>
            <w:webHidden/>
          </w:rPr>
        </w:r>
        <w:r w:rsidR="00AF4812" w:rsidRPr="00ED2279">
          <w:rPr>
            <w:webHidden/>
          </w:rPr>
          <w:fldChar w:fldCharType="separate"/>
        </w:r>
        <w:r w:rsidR="00AF4812" w:rsidRPr="00ED2279">
          <w:rPr>
            <w:webHidden/>
          </w:rPr>
          <w:t>25</w:t>
        </w:r>
        <w:r w:rsidR="00AF4812" w:rsidRPr="00ED2279">
          <w:rPr>
            <w:webHidden/>
          </w:rPr>
          <w:fldChar w:fldCharType="end"/>
        </w:r>
      </w:hyperlink>
    </w:p>
    <w:p w14:paraId="325E2388" w14:textId="51592EF3" w:rsidR="00AF4812" w:rsidRPr="00E46FB0" w:rsidRDefault="00084371">
      <w:pPr>
        <w:pStyle w:val="TOC3"/>
        <w:rPr>
          <w:rFonts w:asciiTheme="minorHAnsi" w:eastAsiaTheme="minorEastAsia" w:hAnsiTheme="minorHAnsi" w:cstheme="minorBidi"/>
          <w:szCs w:val="22"/>
          <w:lang w:val="en-AU" w:eastAsia="en-AU"/>
        </w:rPr>
      </w:pPr>
      <w:hyperlink w:anchor="_Toc65760487" w:history="1">
        <w:r w:rsidR="00AF4812" w:rsidRPr="00ED2279">
          <w:rPr>
            <w:rStyle w:val="Hyperlink"/>
            <w14:scene3d>
              <w14:camera w14:prst="orthographicFront"/>
              <w14:lightRig w14:rig="threePt" w14:dir="t">
                <w14:rot w14:lat="0" w14:lon="0" w14:rev="0"/>
              </w14:lightRig>
            </w14:scene3d>
          </w:rPr>
          <w:t>3.1.3</w:t>
        </w:r>
        <w:r w:rsidR="00AF4812" w:rsidRPr="00ED2279">
          <w:rPr>
            <w:rFonts w:asciiTheme="minorHAnsi" w:eastAsiaTheme="minorEastAsia" w:hAnsiTheme="minorHAnsi" w:cstheme="minorBidi"/>
            <w:szCs w:val="22"/>
            <w:lang w:val="en-AU" w:eastAsia="en-AU"/>
          </w:rPr>
          <w:tab/>
        </w:r>
        <w:r w:rsidR="00AF4812" w:rsidRPr="00ED2279">
          <w:rPr>
            <w:rStyle w:val="Hyperlink"/>
          </w:rPr>
          <w:t>Assigning roles, responsibilities and accountability</w:t>
        </w:r>
        <w:r w:rsidR="00AF4812" w:rsidRPr="00ED2279">
          <w:rPr>
            <w:webHidden/>
          </w:rPr>
          <w:tab/>
        </w:r>
        <w:r w:rsidR="00AF4812" w:rsidRPr="00ED2279">
          <w:rPr>
            <w:webHidden/>
          </w:rPr>
          <w:fldChar w:fldCharType="begin"/>
        </w:r>
        <w:r w:rsidR="00AF4812" w:rsidRPr="00ED2279">
          <w:rPr>
            <w:webHidden/>
          </w:rPr>
          <w:instrText xml:space="preserve"> PAGEREF _Toc65760487 \h </w:instrText>
        </w:r>
        <w:r w:rsidR="00AF4812" w:rsidRPr="00ED2279">
          <w:rPr>
            <w:webHidden/>
          </w:rPr>
        </w:r>
        <w:r w:rsidR="00AF4812" w:rsidRPr="00ED2279">
          <w:rPr>
            <w:webHidden/>
          </w:rPr>
          <w:fldChar w:fldCharType="separate"/>
        </w:r>
        <w:r w:rsidR="00AF4812" w:rsidRPr="00ED2279">
          <w:rPr>
            <w:webHidden/>
          </w:rPr>
          <w:t>25</w:t>
        </w:r>
        <w:r w:rsidR="00AF4812" w:rsidRPr="00ED2279">
          <w:rPr>
            <w:webHidden/>
          </w:rPr>
          <w:fldChar w:fldCharType="end"/>
        </w:r>
      </w:hyperlink>
    </w:p>
    <w:p w14:paraId="6085DDCA" w14:textId="0A4A1524" w:rsidR="00AF4812" w:rsidRPr="00E46FB0" w:rsidRDefault="00084371">
      <w:pPr>
        <w:pStyle w:val="TOC3"/>
        <w:rPr>
          <w:rFonts w:asciiTheme="minorHAnsi" w:eastAsiaTheme="minorEastAsia" w:hAnsiTheme="minorHAnsi" w:cstheme="minorBidi"/>
          <w:szCs w:val="22"/>
          <w:lang w:val="en-AU" w:eastAsia="en-AU"/>
        </w:rPr>
      </w:pPr>
      <w:hyperlink w:anchor="_Toc65760488" w:history="1">
        <w:r w:rsidR="00AF4812" w:rsidRPr="00ED2279">
          <w:rPr>
            <w:rStyle w:val="Hyperlink"/>
            <w14:scene3d>
              <w14:camera w14:prst="orthographicFront"/>
              <w14:lightRig w14:rig="threePt" w14:dir="t">
                <w14:rot w14:lat="0" w14:lon="0" w14:rev="0"/>
              </w14:lightRig>
            </w14:scene3d>
          </w:rPr>
          <w:t>3.1.4</w:t>
        </w:r>
        <w:r w:rsidR="00AF4812" w:rsidRPr="00ED2279">
          <w:rPr>
            <w:rFonts w:asciiTheme="minorHAnsi" w:eastAsiaTheme="minorEastAsia" w:hAnsiTheme="minorHAnsi" w:cstheme="minorBidi"/>
            <w:szCs w:val="22"/>
            <w:lang w:val="en-AU" w:eastAsia="en-AU"/>
          </w:rPr>
          <w:tab/>
        </w:r>
        <w:r w:rsidR="00AF4812" w:rsidRPr="00ED2279">
          <w:rPr>
            <w:rStyle w:val="Hyperlink"/>
          </w:rPr>
          <w:t>Planning for evaluation</w:t>
        </w:r>
        <w:r w:rsidR="00AF4812" w:rsidRPr="00ED2279">
          <w:rPr>
            <w:webHidden/>
          </w:rPr>
          <w:tab/>
        </w:r>
        <w:r w:rsidR="00AF4812" w:rsidRPr="00ED2279">
          <w:rPr>
            <w:webHidden/>
          </w:rPr>
          <w:fldChar w:fldCharType="begin"/>
        </w:r>
        <w:r w:rsidR="00AF4812" w:rsidRPr="00ED2279">
          <w:rPr>
            <w:webHidden/>
          </w:rPr>
          <w:instrText xml:space="preserve"> PAGEREF _Toc65760488 \h </w:instrText>
        </w:r>
        <w:r w:rsidR="00AF4812" w:rsidRPr="00ED2279">
          <w:rPr>
            <w:webHidden/>
          </w:rPr>
        </w:r>
        <w:r w:rsidR="00AF4812" w:rsidRPr="00ED2279">
          <w:rPr>
            <w:webHidden/>
          </w:rPr>
          <w:fldChar w:fldCharType="separate"/>
        </w:r>
        <w:r w:rsidR="00AF4812" w:rsidRPr="00ED2279">
          <w:rPr>
            <w:webHidden/>
          </w:rPr>
          <w:t>26</w:t>
        </w:r>
        <w:r w:rsidR="00AF4812" w:rsidRPr="00ED2279">
          <w:rPr>
            <w:webHidden/>
          </w:rPr>
          <w:fldChar w:fldCharType="end"/>
        </w:r>
      </w:hyperlink>
    </w:p>
    <w:p w14:paraId="0A9A6FDE" w14:textId="4C79A01B" w:rsidR="00AF4812" w:rsidRPr="00E46FB0" w:rsidRDefault="00084371">
      <w:pPr>
        <w:pStyle w:val="TOC3"/>
        <w:rPr>
          <w:rFonts w:asciiTheme="minorHAnsi" w:eastAsiaTheme="minorEastAsia" w:hAnsiTheme="minorHAnsi" w:cstheme="minorBidi"/>
          <w:szCs w:val="22"/>
          <w:lang w:val="en-AU" w:eastAsia="en-AU"/>
        </w:rPr>
      </w:pPr>
      <w:hyperlink w:anchor="_Toc65760489" w:history="1">
        <w:r w:rsidR="00AF4812" w:rsidRPr="00ED2279">
          <w:rPr>
            <w:rStyle w:val="Hyperlink"/>
            <w14:scene3d>
              <w14:camera w14:prst="orthographicFront"/>
              <w14:lightRig w14:rig="threePt" w14:dir="t">
                <w14:rot w14:lat="0" w14:lon="0" w14:rev="0"/>
              </w14:lightRig>
            </w14:scene3d>
          </w:rPr>
          <w:t>3.1.5</w:t>
        </w:r>
        <w:r w:rsidR="00AF4812" w:rsidRPr="00ED2279">
          <w:rPr>
            <w:rFonts w:asciiTheme="minorHAnsi" w:eastAsiaTheme="minorEastAsia" w:hAnsiTheme="minorHAnsi" w:cstheme="minorBidi"/>
            <w:szCs w:val="22"/>
            <w:lang w:val="en-AU" w:eastAsia="en-AU"/>
          </w:rPr>
          <w:tab/>
        </w:r>
        <w:r w:rsidR="00AF4812" w:rsidRPr="00ED2279">
          <w:rPr>
            <w:rStyle w:val="Hyperlink"/>
          </w:rPr>
          <w:t>Checklist of project planning considerations</w:t>
        </w:r>
        <w:r w:rsidR="00AF4812" w:rsidRPr="00ED2279">
          <w:rPr>
            <w:webHidden/>
          </w:rPr>
          <w:tab/>
        </w:r>
        <w:r w:rsidR="00AF4812" w:rsidRPr="00ED2279">
          <w:rPr>
            <w:webHidden/>
          </w:rPr>
          <w:fldChar w:fldCharType="begin"/>
        </w:r>
        <w:r w:rsidR="00AF4812" w:rsidRPr="00ED2279">
          <w:rPr>
            <w:webHidden/>
          </w:rPr>
          <w:instrText xml:space="preserve"> PAGEREF _Toc65760489 \h </w:instrText>
        </w:r>
        <w:r w:rsidR="00AF4812" w:rsidRPr="00ED2279">
          <w:rPr>
            <w:webHidden/>
          </w:rPr>
        </w:r>
        <w:r w:rsidR="00AF4812" w:rsidRPr="00ED2279">
          <w:rPr>
            <w:webHidden/>
          </w:rPr>
          <w:fldChar w:fldCharType="separate"/>
        </w:r>
        <w:r w:rsidR="00AF4812" w:rsidRPr="00ED2279">
          <w:rPr>
            <w:webHidden/>
          </w:rPr>
          <w:t>26</w:t>
        </w:r>
        <w:r w:rsidR="00AF4812" w:rsidRPr="00ED2279">
          <w:rPr>
            <w:webHidden/>
          </w:rPr>
          <w:fldChar w:fldCharType="end"/>
        </w:r>
      </w:hyperlink>
    </w:p>
    <w:p w14:paraId="61C25730" w14:textId="770AC2DE" w:rsidR="00AF4812" w:rsidRPr="00E46FB0" w:rsidRDefault="00084371">
      <w:pPr>
        <w:pStyle w:val="TOC3"/>
        <w:rPr>
          <w:rFonts w:asciiTheme="minorHAnsi" w:eastAsiaTheme="minorEastAsia" w:hAnsiTheme="minorHAnsi" w:cstheme="minorBidi"/>
          <w:szCs w:val="22"/>
          <w:lang w:val="en-AU" w:eastAsia="en-AU"/>
        </w:rPr>
      </w:pPr>
      <w:hyperlink w:anchor="_Toc65760490" w:history="1">
        <w:r w:rsidR="00AF4812" w:rsidRPr="00ED2279">
          <w:rPr>
            <w:rStyle w:val="Hyperlink"/>
            <w14:scene3d>
              <w14:camera w14:prst="orthographicFront"/>
              <w14:lightRig w14:rig="threePt" w14:dir="t">
                <w14:rot w14:lat="0" w14:lon="0" w14:rev="0"/>
              </w14:lightRig>
            </w14:scene3d>
          </w:rPr>
          <w:t>3.1.6</w:t>
        </w:r>
        <w:r w:rsidR="00AF4812" w:rsidRPr="00ED2279">
          <w:rPr>
            <w:rFonts w:asciiTheme="minorHAnsi" w:eastAsiaTheme="minorEastAsia" w:hAnsiTheme="minorHAnsi" w:cstheme="minorBidi"/>
            <w:szCs w:val="22"/>
            <w:lang w:val="en-AU" w:eastAsia="en-AU"/>
          </w:rPr>
          <w:tab/>
        </w:r>
        <w:r w:rsidR="00AF4812" w:rsidRPr="00ED2279">
          <w:rPr>
            <w:rStyle w:val="Hyperlink"/>
          </w:rPr>
          <w:t>Additional resources</w:t>
        </w:r>
        <w:r w:rsidR="00AF4812" w:rsidRPr="00ED2279">
          <w:rPr>
            <w:webHidden/>
          </w:rPr>
          <w:tab/>
        </w:r>
        <w:r w:rsidR="00AF4812" w:rsidRPr="00ED2279">
          <w:rPr>
            <w:webHidden/>
          </w:rPr>
          <w:fldChar w:fldCharType="begin"/>
        </w:r>
        <w:r w:rsidR="00AF4812" w:rsidRPr="00ED2279">
          <w:rPr>
            <w:webHidden/>
          </w:rPr>
          <w:instrText xml:space="preserve"> PAGEREF _Toc65760490 \h </w:instrText>
        </w:r>
        <w:r w:rsidR="00AF4812" w:rsidRPr="00ED2279">
          <w:rPr>
            <w:webHidden/>
          </w:rPr>
        </w:r>
        <w:r w:rsidR="00AF4812" w:rsidRPr="00ED2279">
          <w:rPr>
            <w:webHidden/>
          </w:rPr>
          <w:fldChar w:fldCharType="separate"/>
        </w:r>
        <w:r w:rsidR="00AF4812" w:rsidRPr="00ED2279">
          <w:rPr>
            <w:webHidden/>
          </w:rPr>
          <w:t>28</w:t>
        </w:r>
        <w:r w:rsidR="00AF4812" w:rsidRPr="00ED2279">
          <w:rPr>
            <w:webHidden/>
          </w:rPr>
          <w:fldChar w:fldCharType="end"/>
        </w:r>
      </w:hyperlink>
    </w:p>
    <w:p w14:paraId="7797A779" w14:textId="1464447F" w:rsidR="00AF4812" w:rsidRPr="00E46FB0" w:rsidRDefault="00084371">
      <w:pPr>
        <w:pStyle w:val="TOC1"/>
        <w:rPr>
          <w:rFonts w:asciiTheme="minorHAnsi" w:eastAsiaTheme="minorEastAsia" w:hAnsiTheme="minorHAnsi" w:cstheme="minorBidi"/>
          <w:b w:val="0"/>
          <w:szCs w:val="22"/>
          <w:lang w:val="en-AU" w:eastAsia="en-AU"/>
        </w:rPr>
      </w:pPr>
      <w:hyperlink w:anchor="_Toc65760491" w:history="1">
        <w:r w:rsidR="00AF4812" w:rsidRPr="00ED2279">
          <w:rPr>
            <w:rStyle w:val="Hyperlink"/>
          </w:rPr>
          <w:t>4.</w:t>
        </w:r>
        <w:r w:rsidR="00AF4812" w:rsidRPr="00ED2279">
          <w:rPr>
            <w:rFonts w:asciiTheme="minorHAnsi" w:eastAsiaTheme="minorEastAsia" w:hAnsiTheme="minorHAnsi" w:cstheme="minorBidi"/>
            <w:b w:val="0"/>
            <w:szCs w:val="22"/>
            <w:lang w:val="en-AU" w:eastAsia="en-AU"/>
          </w:rPr>
          <w:tab/>
        </w:r>
        <w:r w:rsidR="00AF4812" w:rsidRPr="00ED2279">
          <w:rPr>
            <w:rStyle w:val="Hyperlink"/>
          </w:rPr>
          <w:t>Stakeholder engagement</w:t>
        </w:r>
        <w:r w:rsidR="00AF4812" w:rsidRPr="00ED2279">
          <w:rPr>
            <w:webHidden/>
          </w:rPr>
          <w:tab/>
        </w:r>
        <w:r w:rsidR="00AF4812" w:rsidRPr="00ED2279">
          <w:rPr>
            <w:webHidden/>
          </w:rPr>
          <w:fldChar w:fldCharType="begin"/>
        </w:r>
        <w:r w:rsidR="00AF4812" w:rsidRPr="00ED2279">
          <w:rPr>
            <w:webHidden/>
          </w:rPr>
          <w:instrText xml:space="preserve"> PAGEREF _Toc65760491 \h </w:instrText>
        </w:r>
        <w:r w:rsidR="00AF4812" w:rsidRPr="00ED2279">
          <w:rPr>
            <w:webHidden/>
          </w:rPr>
        </w:r>
        <w:r w:rsidR="00AF4812" w:rsidRPr="00ED2279">
          <w:rPr>
            <w:webHidden/>
          </w:rPr>
          <w:fldChar w:fldCharType="separate"/>
        </w:r>
        <w:r w:rsidR="00AF4812" w:rsidRPr="00ED2279">
          <w:rPr>
            <w:webHidden/>
          </w:rPr>
          <w:t>29</w:t>
        </w:r>
        <w:r w:rsidR="00AF4812" w:rsidRPr="00ED2279">
          <w:rPr>
            <w:webHidden/>
          </w:rPr>
          <w:fldChar w:fldCharType="end"/>
        </w:r>
      </w:hyperlink>
    </w:p>
    <w:p w14:paraId="1000C166" w14:textId="1CBCA21E" w:rsidR="00AF4812" w:rsidRPr="00E46FB0" w:rsidRDefault="00084371">
      <w:pPr>
        <w:pStyle w:val="TOC3"/>
        <w:rPr>
          <w:rFonts w:asciiTheme="minorHAnsi" w:eastAsiaTheme="minorEastAsia" w:hAnsiTheme="minorHAnsi" w:cstheme="minorBidi"/>
          <w:szCs w:val="22"/>
          <w:lang w:val="en-AU" w:eastAsia="en-AU"/>
        </w:rPr>
      </w:pPr>
      <w:hyperlink w:anchor="_Toc65760492" w:history="1">
        <w:r w:rsidR="00AF4812" w:rsidRPr="00ED2279">
          <w:rPr>
            <w:rStyle w:val="Hyperlink"/>
            <w14:scene3d>
              <w14:camera w14:prst="orthographicFront"/>
              <w14:lightRig w14:rig="threePt" w14:dir="t">
                <w14:rot w14:lat="0" w14:lon="0" w14:rev="0"/>
              </w14:lightRig>
            </w14:scene3d>
          </w:rPr>
          <w:t>4.1.1</w:t>
        </w:r>
        <w:r w:rsidR="00AF4812" w:rsidRPr="00ED2279">
          <w:rPr>
            <w:rFonts w:asciiTheme="minorHAnsi" w:eastAsiaTheme="minorEastAsia" w:hAnsiTheme="minorHAnsi" w:cstheme="minorBidi"/>
            <w:szCs w:val="22"/>
            <w:lang w:val="en-AU" w:eastAsia="en-AU"/>
          </w:rPr>
          <w:tab/>
        </w:r>
        <w:r w:rsidR="00AF4812" w:rsidRPr="00ED2279">
          <w:rPr>
            <w:rStyle w:val="Hyperlink"/>
          </w:rPr>
          <w:t>What is effective stakeholder engagement?</w:t>
        </w:r>
        <w:r w:rsidR="00AF4812" w:rsidRPr="00ED2279">
          <w:rPr>
            <w:webHidden/>
          </w:rPr>
          <w:tab/>
        </w:r>
        <w:r w:rsidR="00AF4812" w:rsidRPr="00ED2279">
          <w:rPr>
            <w:webHidden/>
          </w:rPr>
          <w:fldChar w:fldCharType="begin"/>
        </w:r>
        <w:r w:rsidR="00AF4812" w:rsidRPr="00ED2279">
          <w:rPr>
            <w:webHidden/>
          </w:rPr>
          <w:instrText xml:space="preserve"> PAGEREF _Toc65760492 \h </w:instrText>
        </w:r>
        <w:r w:rsidR="00AF4812" w:rsidRPr="00ED2279">
          <w:rPr>
            <w:webHidden/>
          </w:rPr>
        </w:r>
        <w:r w:rsidR="00AF4812" w:rsidRPr="00ED2279">
          <w:rPr>
            <w:webHidden/>
          </w:rPr>
          <w:fldChar w:fldCharType="separate"/>
        </w:r>
        <w:r w:rsidR="00AF4812" w:rsidRPr="00ED2279">
          <w:rPr>
            <w:webHidden/>
          </w:rPr>
          <w:t>29</w:t>
        </w:r>
        <w:r w:rsidR="00AF4812" w:rsidRPr="00ED2279">
          <w:rPr>
            <w:webHidden/>
          </w:rPr>
          <w:fldChar w:fldCharType="end"/>
        </w:r>
      </w:hyperlink>
    </w:p>
    <w:p w14:paraId="08082406" w14:textId="38ABF5DE" w:rsidR="00AF4812" w:rsidRPr="00E46FB0" w:rsidRDefault="00084371">
      <w:pPr>
        <w:pStyle w:val="TOC3"/>
        <w:rPr>
          <w:rFonts w:asciiTheme="minorHAnsi" w:eastAsiaTheme="minorEastAsia" w:hAnsiTheme="minorHAnsi" w:cstheme="minorBidi"/>
          <w:szCs w:val="22"/>
          <w:lang w:val="en-AU" w:eastAsia="en-AU"/>
        </w:rPr>
      </w:pPr>
      <w:hyperlink w:anchor="_Toc65760493" w:history="1">
        <w:r w:rsidR="00AF4812" w:rsidRPr="00ED2279">
          <w:rPr>
            <w:rStyle w:val="Hyperlink"/>
            <w14:scene3d>
              <w14:camera w14:prst="orthographicFront"/>
              <w14:lightRig w14:rig="threePt" w14:dir="t">
                <w14:rot w14:lat="0" w14:lon="0" w14:rev="0"/>
              </w14:lightRig>
            </w14:scene3d>
          </w:rPr>
          <w:t>4.1.2</w:t>
        </w:r>
        <w:r w:rsidR="00AF4812" w:rsidRPr="00ED2279">
          <w:rPr>
            <w:rFonts w:asciiTheme="minorHAnsi" w:eastAsiaTheme="minorEastAsia" w:hAnsiTheme="minorHAnsi" w:cstheme="minorBidi"/>
            <w:szCs w:val="22"/>
            <w:lang w:val="en-AU" w:eastAsia="en-AU"/>
          </w:rPr>
          <w:tab/>
        </w:r>
        <w:r w:rsidR="00AF4812" w:rsidRPr="00ED2279">
          <w:rPr>
            <w:rStyle w:val="Hyperlink"/>
          </w:rPr>
          <w:t>The importance of stakeholder engagement for IoT-enabled projects</w:t>
        </w:r>
        <w:r w:rsidR="00AF4812" w:rsidRPr="00ED2279">
          <w:rPr>
            <w:webHidden/>
          </w:rPr>
          <w:tab/>
        </w:r>
        <w:r w:rsidR="00AF4812" w:rsidRPr="00ED2279">
          <w:rPr>
            <w:webHidden/>
          </w:rPr>
          <w:fldChar w:fldCharType="begin"/>
        </w:r>
        <w:r w:rsidR="00AF4812" w:rsidRPr="00ED2279">
          <w:rPr>
            <w:webHidden/>
          </w:rPr>
          <w:instrText xml:space="preserve"> PAGEREF _Toc65760493 \h </w:instrText>
        </w:r>
        <w:r w:rsidR="00AF4812" w:rsidRPr="00ED2279">
          <w:rPr>
            <w:webHidden/>
          </w:rPr>
        </w:r>
        <w:r w:rsidR="00AF4812" w:rsidRPr="00ED2279">
          <w:rPr>
            <w:webHidden/>
          </w:rPr>
          <w:fldChar w:fldCharType="separate"/>
        </w:r>
        <w:r w:rsidR="00AF4812" w:rsidRPr="00ED2279">
          <w:rPr>
            <w:webHidden/>
          </w:rPr>
          <w:t>29</w:t>
        </w:r>
        <w:r w:rsidR="00AF4812" w:rsidRPr="00ED2279">
          <w:rPr>
            <w:webHidden/>
          </w:rPr>
          <w:fldChar w:fldCharType="end"/>
        </w:r>
      </w:hyperlink>
    </w:p>
    <w:p w14:paraId="3B5AB5F9" w14:textId="3C883691" w:rsidR="00AF4812" w:rsidRPr="00E46FB0" w:rsidRDefault="00084371">
      <w:pPr>
        <w:pStyle w:val="TOC3"/>
        <w:rPr>
          <w:rFonts w:asciiTheme="minorHAnsi" w:eastAsiaTheme="minorEastAsia" w:hAnsiTheme="minorHAnsi" w:cstheme="minorBidi"/>
          <w:szCs w:val="22"/>
          <w:lang w:val="en-AU" w:eastAsia="en-AU"/>
        </w:rPr>
      </w:pPr>
      <w:hyperlink w:anchor="_Toc65760494" w:history="1">
        <w:r w:rsidR="00AF4812" w:rsidRPr="00ED2279">
          <w:rPr>
            <w:rStyle w:val="Hyperlink"/>
            <w14:scene3d>
              <w14:camera w14:prst="orthographicFront"/>
              <w14:lightRig w14:rig="threePt" w14:dir="t">
                <w14:rot w14:lat="0" w14:lon="0" w14:rev="0"/>
              </w14:lightRig>
            </w14:scene3d>
          </w:rPr>
          <w:t>4.1.3</w:t>
        </w:r>
        <w:r w:rsidR="00AF4812" w:rsidRPr="00ED2279">
          <w:rPr>
            <w:rFonts w:asciiTheme="minorHAnsi" w:eastAsiaTheme="minorEastAsia" w:hAnsiTheme="minorHAnsi" w:cstheme="minorBidi"/>
            <w:szCs w:val="22"/>
            <w:lang w:val="en-AU" w:eastAsia="en-AU"/>
          </w:rPr>
          <w:tab/>
        </w:r>
        <w:r w:rsidR="00AF4812" w:rsidRPr="00ED2279">
          <w:rPr>
            <w:rStyle w:val="Hyperlink"/>
          </w:rPr>
          <w:t>How to effectively engage stakeholders</w:t>
        </w:r>
        <w:r w:rsidR="00AF4812" w:rsidRPr="00ED2279">
          <w:rPr>
            <w:webHidden/>
          </w:rPr>
          <w:tab/>
        </w:r>
        <w:r w:rsidR="00AF4812" w:rsidRPr="00ED2279">
          <w:rPr>
            <w:webHidden/>
          </w:rPr>
          <w:fldChar w:fldCharType="begin"/>
        </w:r>
        <w:r w:rsidR="00AF4812" w:rsidRPr="00ED2279">
          <w:rPr>
            <w:webHidden/>
          </w:rPr>
          <w:instrText xml:space="preserve"> PAGEREF _Toc65760494 \h </w:instrText>
        </w:r>
        <w:r w:rsidR="00AF4812" w:rsidRPr="00ED2279">
          <w:rPr>
            <w:webHidden/>
          </w:rPr>
        </w:r>
        <w:r w:rsidR="00AF4812" w:rsidRPr="00ED2279">
          <w:rPr>
            <w:webHidden/>
          </w:rPr>
          <w:fldChar w:fldCharType="separate"/>
        </w:r>
        <w:r w:rsidR="00AF4812" w:rsidRPr="00ED2279">
          <w:rPr>
            <w:webHidden/>
          </w:rPr>
          <w:t>30</w:t>
        </w:r>
        <w:r w:rsidR="00AF4812" w:rsidRPr="00ED2279">
          <w:rPr>
            <w:webHidden/>
          </w:rPr>
          <w:fldChar w:fldCharType="end"/>
        </w:r>
      </w:hyperlink>
    </w:p>
    <w:p w14:paraId="2203E95A" w14:textId="6CBF88E6" w:rsidR="00AF4812" w:rsidRPr="00E46FB0" w:rsidRDefault="00084371">
      <w:pPr>
        <w:pStyle w:val="TOC3"/>
        <w:rPr>
          <w:rFonts w:asciiTheme="minorHAnsi" w:eastAsiaTheme="minorEastAsia" w:hAnsiTheme="minorHAnsi" w:cstheme="minorBidi"/>
          <w:szCs w:val="22"/>
          <w:lang w:val="en-AU" w:eastAsia="en-AU"/>
        </w:rPr>
      </w:pPr>
      <w:hyperlink w:anchor="_Toc65760495" w:history="1">
        <w:r w:rsidR="00AF4812" w:rsidRPr="00ED2279">
          <w:rPr>
            <w:rStyle w:val="Hyperlink"/>
            <w14:scene3d>
              <w14:camera w14:prst="orthographicFront"/>
              <w14:lightRig w14:rig="threePt" w14:dir="t">
                <w14:rot w14:lat="0" w14:lon="0" w14:rev="0"/>
              </w14:lightRig>
            </w14:scene3d>
          </w:rPr>
          <w:t>4.1.4</w:t>
        </w:r>
        <w:r w:rsidR="00AF4812" w:rsidRPr="00ED2279">
          <w:rPr>
            <w:rFonts w:asciiTheme="minorHAnsi" w:eastAsiaTheme="minorEastAsia" w:hAnsiTheme="minorHAnsi" w:cstheme="minorBidi"/>
            <w:szCs w:val="22"/>
            <w:lang w:val="en-AU" w:eastAsia="en-AU"/>
          </w:rPr>
          <w:tab/>
        </w:r>
        <w:r w:rsidR="00AF4812" w:rsidRPr="00ED2279">
          <w:rPr>
            <w:rStyle w:val="Hyperlink"/>
          </w:rPr>
          <w:t>Additional resources</w:t>
        </w:r>
        <w:r w:rsidR="00AF4812" w:rsidRPr="00ED2279">
          <w:rPr>
            <w:webHidden/>
          </w:rPr>
          <w:tab/>
        </w:r>
        <w:r w:rsidR="00AF4812" w:rsidRPr="00ED2279">
          <w:rPr>
            <w:webHidden/>
          </w:rPr>
          <w:fldChar w:fldCharType="begin"/>
        </w:r>
        <w:r w:rsidR="00AF4812" w:rsidRPr="00ED2279">
          <w:rPr>
            <w:webHidden/>
          </w:rPr>
          <w:instrText xml:space="preserve"> PAGEREF _Toc65760495 \h </w:instrText>
        </w:r>
        <w:r w:rsidR="00AF4812" w:rsidRPr="00ED2279">
          <w:rPr>
            <w:webHidden/>
          </w:rPr>
        </w:r>
        <w:r w:rsidR="00AF4812" w:rsidRPr="00ED2279">
          <w:rPr>
            <w:webHidden/>
          </w:rPr>
          <w:fldChar w:fldCharType="separate"/>
        </w:r>
        <w:r w:rsidR="00AF4812" w:rsidRPr="00ED2279">
          <w:rPr>
            <w:webHidden/>
          </w:rPr>
          <w:t>34</w:t>
        </w:r>
        <w:r w:rsidR="00AF4812" w:rsidRPr="00ED2279">
          <w:rPr>
            <w:webHidden/>
          </w:rPr>
          <w:fldChar w:fldCharType="end"/>
        </w:r>
      </w:hyperlink>
    </w:p>
    <w:p w14:paraId="0B1BD7A6" w14:textId="3E3DA67F" w:rsidR="00AF4812" w:rsidRPr="00E46FB0" w:rsidRDefault="00084371">
      <w:pPr>
        <w:pStyle w:val="TOC2"/>
        <w:rPr>
          <w:rFonts w:asciiTheme="minorHAnsi" w:eastAsiaTheme="minorEastAsia" w:hAnsiTheme="minorHAnsi" w:cstheme="minorBidi"/>
          <w:szCs w:val="22"/>
          <w:lang w:val="en-AU" w:eastAsia="en-AU"/>
        </w:rPr>
      </w:pPr>
      <w:hyperlink w:anchor="_Toc65760496" w:history="1">
        <w:r w:rsidR="00AF4812" w:rsidRPr="00ED2279">
          <w:rPr>
            <w:rStyle w:val="Hyperlink"/>
            <w14:scene3d>
              <w14:camera w14:prst="orthographicFront"/>
              <w14:lightRig w14:rig="threePt" w14:dir="t">
                <w14:rot w14:lat="0" w14:lon="0" w14:rev="0"/>
              </w14:lightRig>
            </w14:scene3d>
          </w:rPr>
          <w:t>4.2</w:t>
        </w:r>
        <w:r w:rsidR="00AF4812" w:rsidRPr="00ED2279">
          <w:rPr>
            <w:rFonts w:asciiTheme="minorHAnsi" w:eastAsiaTheme="minorEastAsia" w:hAnsiTheme="minorHAnsi" w:cstheme="minorBidi"/>
            <w:szCs w:val="22"/>
            <w:lang w:val="en-AU" w:eastAsia="en-AU"/>
          </w:rPr>
          <w:tab/>
        </w:r>
        <w:r w:rsidR="00AF4812" w:rsidRPr="00ED2279">
          <w:rPr>
            <w:rStyle w:val="Hyperlink"/>
          </w:rPr>
          <w:t>Data needs assessment</w:t>
        </w:r>
        <w:r w:rsidR="00AF4812" w:rsidRPr="00ED2279">
          <w:rPr>
            <w:webHidden/>
          </w:rPr>
          <w:tab/>
        </w:r>
        <w:r w:rsidR="00AF4812" w:rsidRPr="00ED2279">
          <w:rPr>
            <w:webHidden/>
          </w:rPr>
          <w:fldChar w:fldCharType="begin"/>
        </w:r>
        <w:r w:rsidR="00AF4812" w:rsidRPr="00ED2279">
          <w:rPr>
            <w:webHidden/>
          </w:rPr>
          <w:instrText xml:space="preserve"> PAGEREF _Toc65760496 \h </w:instrText>
        </w:r>
        <w:r w:rsidR="00AF4812" w:rsidRPr="00ED2279">
          <w:rPr>
            <w:webHidden/>
          </w:rPr>
        </w:r>
        <w:r w:rsidR="00AF4812" w:rsidRPr="00ED2279">
          <w:rPr>
            <w:webHidden/>
          </w:rPr>
          <w:fldChar w:fldCharType="separate"/>
        </w:r>
        <w:r w:rsidR="00AF4812" w:rsidRPr="00ED2279">
          <w:rPr>
            <w:webHidden/>
          </w:rPr>
          <w:t>35</w:t>
        </w:r>
        <w:r w:rsidR="00AF4812" w:rsidRPr="00ED2279">
          <w:rPr>
            <w:webHidden/>
          </w:rPr>
          <w:fldChar w:fldCharType="end"/>
        </w:r>
      </w:hyperlink>
    </w:p>
    <w:p w14:paraId="462CA663" w14:textId="4EF09EFA" w:rsidR="00AF4812" w:rsidRPr="00E46FB0" w:rsidRDefault="00084371">
      <w:pPr>
        <w:pStyle w:val="TOC3"/>
        <w:rPr>
          <w:rFonts w:asciiTheme="minorHAnsi" w:eastAsiaTheme="minorEastAsia" w:hAnsiTheme="minorHAnsi" w:cstheme="minorBidi"/>
          <w:szCs w:val="22"/>
          <w:lang w:val="en-AU" w:eastAsia="en-AU"/>
        </w:rPr>
      </w:pPr>
      <w:hyperlink w:anchor="_Toc65760497" w:history="1">
        <w:r w:rsidR="00AF4812" w:rsidRPr="00ED2279">
          <w:rPr>
            <w:rStyle w:val="Hyperlink"/>
            <w14:scene3d>
              <w14:camera w14:prst="orthographicFront"/>
              <w14:lightRig w14:rig="threePt" w14:dir="t">
                <w14:rot w14:lat="0" w14:lon="0" w14:rev="0"/>
              </w14:lightRig>
            </w14:scene3d>
          </w:rPr>
          <w:t>4.2.1</w:t>
        </w:r>
        <w:r w:rsidR="00AF4812" w:rsidRPr="00ED2279">
          <w:rPr>
            <w:rFonts w:asciiTheme="minorHAnsi" w:eastAsiaTheme="minorEastAsia" w:hAnsiTheme="minorHAnsi" w:cstheme="minorBidi"/>
            <w:szCs w:val="22"/>
            <w:lang w:val="en-AU" w:eastAsia="en-AU"/>
          </w:rPr>
          <w:tab/>
        </w:r>
        <w:r w:rsidR="00AF4812" w:rsidRPr="00ED2279">
          <w:rPr>
            <w:rStyle w:val="Hyperlink"/>
          </w:rPr>
          <w:t>Understanding your desired business outcome</w:t>
        </w:r>
        <w:r w:rsidR="00AF4812" w:rsidRPr="00ED2279">
          <w:rPr>
            <w:webHidden/>
          </w:rPr>
          <w:tab/>
        </w:r>
        <w:r w:rsidR="00AF4812" w:rsidRPr="00ED2279">
          <w:rPr>
            <w:webHidden/>
          </w:rPr>
          <w:fldChar w:fldCharType="begin"/>
        </w:r>
        <w:r w:rsidR="00AF4812" w:rsidRPr="00ED2279">
          <w:rPr>
            <w:webHidden/>
          </w:rPr>
          <w:instrText xml:space="preserve"> PAGEREF _Toc65760497 \h </w:instrText>
        </w:r>
        <w:r w:rsidR="00AF4812" w:rsidRPr="00ED2279">
          <w:rPr>
            <w:webHidden/>
          </w:rPr>
        </w:r>
        <w:r w:rsidR="00AF4812" w:rsidRPr="00ED2279">
          <w:rPr>
            <w:webHidden/>
          </w:rPr>
          <w:fldChar w:fldCharType="separate"/>
        </w:r>
        <w:r w:rsidR="00AF4812" w:rsidRPr="00ED2279">
          <w:rPr>
            <w:webHidden/>
          </w:rPr>
          <w:t>35</w:t>
        </w:r>
        <w:r w:rsidR="00AF4812" w:rsidRPr="00ED2279">
          <w:rPr>
            <w:webHidden/>
          </w:rPr>
          <w:fldChar w:fldCharType="end"/>
        </w:r>
      </w:hyperlink>
    </w:p>
    <w:p w14:paraId="39F80ED0" w14:textId="056759DE" w:rsidR="00AF4812" w:rsidRPr="00E46FB0" w:rsidRDefault="00084371">
      <w:pPr>
        <w:pStyle w:val="TOC3"/>
        <w:rPr>
          <w:rFonts w:asciiTheme="minorHAnsi" w:eastAsiaTheme="minorEastAsia" w:hAnsiTheme="minorHAnsi" w:cstheme="minorBidi"/>
          <w:szCs w:val="22"/>
          <w:lang w:val="en-AU" w:eastAsia="en-AU"/>
        </w:rPr>
      </w:pPr>
      <w:hyperlink w:anchor="_Toc65760498" w:history="1">
        <w:r w:rsidR="00AF4812" w:rsidRPr="00ED2279">
          <w:rPr>
            <w:rStyle w:val="Hyperlink"/>
            <w14:scene3d>
              <w14:camera w14:prst="orthographicFront"/>
              <w14:lightRig w14:rig="threePt" w14:dir="t">
                <w14:rot w14:lat="0" w14:lon="0" w14:rev="0"/>
              </w14:lightRig>
            </w14:scene3d>
          </w:rPr>
          <w:t>4.2.2</w:t>
        </w:r>
        <w:r w:rsidR="00AF4812" w:rsidRPr="00ED2279">
          <w:rPr>
            <w:rFonts w:asciiTheme="minorHAnsi" w:eastAsiaTheme="minorEastAsia" w:hAnsiTheme="minorHAnsi" w:cstheme="minorBidi"/>
            <w:szCs w:val="22"/>
            <w:lang w:val="en-AU" w:eastAsia="en-AU"/>
          </w:rPr>
          <w:tab/>
        </w:r>
        <w:r w:rsidR="00AF4812" w:rsidRPr="00ED2279">
          <w:rPr>
            <w:rStyle w:val="Hyperlink"/>
          </w:rPr>
          <w:t>Engaging with stakeholders about data</w:t>
        </w:r>
        <w:r w:rsidR="00AF4812" w:rsidRPr="00ED2279">
          <w:rPr>
            <w:webHidden/>
          </w:rPr>
          <w:tab/>
        </w:r>
        <w:r w:rsidR="00AF4812" w:rsidRPr="00ED2279">
          <w:rPr>
            <w:webHidden/>
          </w:rPr>
          <w:fldChar w:fldCharType="begin"/>
        </w:r>
        <w:r w:rsidR="00AF4812" w:rsidRPr="00ED2279">
          <w:rPr>
            <w:webHidden/>
          </w:rPr>
          <w:instrText xml:space="preserve"> PAGEREF _Toc65760498 \h </w:instrText>
        </w:r>
        <w:r w:rsidR="00AF4812" w:rsidRPr="00ED2279">
          <w:rPr>
            <w:webHidden/>
          </w:rPr>
        </w:r>
        <w:r w:rsidR="00AF4812" w:rsidRPr="00ED2279">
          <w:rPr>
            <w:webHidden/>
          </w:rPr>
          <w:fldChar w:fldCharType="separate"/>
        </w:r>
        <w:r w:rsidR="00AF4812" w:rsidRPr="00ED2279">
          <w:rPr>
            <w:webHidden/>
          </w:rPr>
          <w:t>36</w:t>
        </w:r>
        <w:r w:rsidR="00AF4812" w:rsidRPr="00ED2279">
          <w:rPr>
            <w:webHidden/>
          </w:rPr>
          <w:fldChar w:fldCharType="end"/>
        </w:r>
      </w:hyperlink>
    </w:p>
    <w:p w14:paraId="7C5D1C26" w14:textId="50DBCC95" w:rsidR="00AF4812" w:rsidRPr="00E46FB0" w:rsidRDefault="00084371">
      <w:pPr>
        <w:pStyle w:val="TOC3"/>
        <w:rPr>
          <w:rFonts w:asciiTheme="minorHAnsi" w:eastAsiaTheme="minorEastAsia" w:hAnsiTheme="minorHAnsi" w:cstheme="minorBidi"/>
          <w:szCs w:val="22"/>
          <w:lang w:val="en-AU" w:eastAsia="en-AU"/>
        </w:rPr>
      </w:pPr>
      <w:hyperlink w:anchor="_Toc65760499" w:history="1">
        <w:r w:rsidR="00AF4812" w:rsidRPr="00ED2279">
          <w:rPr>
            <w:rStyle w:val="Hyperlink"/>
            <w14:scene3d>
              <w14:camera w14:prst="orthographicFront"/>
              <w14:lightRig w14:rig="threePt" w14:dir="t">
                <w14:rot w14:lat="0" w14:lon="0" w14:rev="0"/>
              </w14:lightRig>
            </w14:scene3d>
          </w:rPr>
          <w:t>4.2.3</w:t>
        </w:r>
        <w:r w:rsidR="00AF4812" w:rsidRPr="00ED2279">
          <w:rPr>
            <w:rFonts w:asciiTheme="minorHAnsi" w:eastAsiaTheme="minorEastAsia" w:hAnsiTheme="minorHAnsi" w:cstheme="minorBidi"/>
            <w:szCs w:val="22"/>
            <w:lang w:val="en-AU" w:eastAsia="en-AU"/>
          </w:rPr>
          <w:tab/>
        </w:r>
        <w:r w:rsidR="00AF4812" w:rsidRPr="00ED2279">
          <w:rPr>
            <w:rStyle w:val="Hyperlink"/>
          </w:rPr>
          <w:t>Limitations in your operating environment</w:t>
        </w:r>
        <w:r w:rsidR="00AF4812" w:rsidRPr="00ED2279">
          <w:rPr>
            <w:webHidden/>
          </w:rPr>
          <w:tab/>
        </w:r>
        <w:r w:rsidR="00AF4812" w:rsidRPr="00ED2279">
          <w:rPr>
            <w:webHidden/>
          </w:rPr>
          <w:fldChar w:fldCharType="begin"/>
        </w:r>
        <w:r w:rsidR="00AF4812" w:rsidRPr="00ED2279">
          <w:rPr>
            <w:webHidden/>
          </w:rPr>
          <w:instrText xml:space="preserve"> PAGEREF _Toc65760499 \h </w:instrText>
        </w:r>
        <w:r w:rsidR="00AF4812" w:rsidRPr="00ED2279">
          <w:rPr>
            <w:webHidden/>
          </w:rPr>
        </w:r>
        <w:r w:rsidR="00AF4812" w:rsidRPr="00ED2279">
          <w:rPr>
            <w:webHidden/>
          </w:rPr>
          <w:fldChar w:fldCharType="separate"/>
        </w:r>
        <w:r w:rsidR="00AF4812" w:rsidRPr="00ED2279">
          <w:rPr>
            <w:webHidden/>
          </w:rPr>
          <w:t>37</w:t>
        </w:r>
        <w:r w:rsidR="00AF4812" w:rsidRPr="00ED2279">
          <w:rPr>
            <w:webHidden/>
          </w:rPr>
          <w:fldChar w:fldCharType="end"/>
        </w:r>
      </w:hyperlink>
    </w:p>
    <w:p w14:paraId="1B0DCECD" w14:textId="6A1AC7AF" w:rsidR="00AF4812" w:rsidRPr="00E46FB0" w:rsidRDefault="00084371">
      <w:pPr>
        <w:pStyle w:val="TOC3"/>
        <w:rPr>
          <w:rFonts w:asciiTheme="minorHAnsi" w:eastAsiaTheme="minorEastAsia" w:hAnsiTheme="minorHAnsi" w:cstheme="minorBidi"/>
          <w:szCs w:val="22"/>
          <w:lang w:val="en-AU" w:eastAsia="en-AU"/>
        </w:rPr>
      </w:pPr>
      <w:hyperlink w:anchor="_Toc65760500" w:history="1">
        <w:r w:rsidR="00AF4812" w:rsidRPr="00ED2279">
          <w:rPr>
            <w:rStyle w:val="Hyperlink"/>
            <w14:scene3d>
              <w14:camera w14:prst="orthographicFront"/>
              <w14:lightRig w14:rig="threePt" w14:dir="t">
                <w14:rot w14:lat="0" w14:lon="0" w14:rev="0"/>
              </w14:lightRig>
            </w14:scene3d>
          </w:rPr>
          <w:t>4.2.4</w:t>
        </w:r>
        <w:r w:rsidR="00AF4812" w:rsidRPr="00ED2279">
          <w:rPr>
            <w:rFonts w:asciiTheme="minorHAnsi" w:eastAsiaTheme="minorEastAsia" w:hAnsiTheme="minorHAnsi" w:cstheme="minorBidi"/>
            <w:szCs w:val="22"/>
            <w:lang w:val="en-AU" w:eastAsia="en-AU"/>
          </w:rPr>
          <w:tab/>
        </w:r>
        <w:r w:rsidR="00AF4812" w:rsidRPr="00ED2279">
          <w:rPr>
            <w:rStyle w:val="Hyperlink"/>
          </w:rPr>
          <w:t>Improving data governance and management practices</w:t>
        </w:r>
        <w:r w:rsidR="00AF4812" w:rsidRPr="00ED2279">
          <w:rPr>
            <w:webHidden/>
          </w:rPr>
          <w:tab/>
        </w:r>
        <w:r w:rsidR="00AF4812" w:rsidRPr="00ED2279">
          <w:rPr>
            <w:webHidden/>
          </w:rPr>
          <w:fldChar w:fldCharType="begin"/>
        </w:r>
        <w:r w:rsidR="00AF4812" w:rsidRPr="00ED2279">
          <w:rPr>
            <w:webHidden/>
          </w:rPr>
          <w:instrText xml:space="preserve"> PAGEREF _Toc65760500 \h </w:instrText>
        </w:r>
        <w:r w:rsidR="00AF4812" w:rsidRPr="00ED2279">
          <w:rPr>
            <w:webHidden/>
          </w:rPr>
        </w:r>
        <w:r w:rsidR="00AF4812" w:rsidRPr="00ED2279">
          <w:rPr>
            <w:webHidden/>
          </w:rPr>
          <w:fldChar w:fldCharType="separate"/>
        </w:r>
        <w:r w:rsidR="00AF4812" w:rsidRPr="00ED2279">
          <w:rPr>
            <w:webHidden/>
          </w:rPr>
          <w:t>37</w:t>
        </w:r>
        <w:r w:rsidR="00AF4812" w:rsidRPr="00ED2279">
          <w:rPr>
            <w:webHidden/>
          </w:rPr>
          <w:fldChar w:fldCharType="end"/>
        </w:r>
      </w:hyperlink>
    </w:p>
    <w:p w14:paraId="7BC33EA6" w14:textId="1EB998CE" w:rsidR="00AF4812" w:rsidRPr="00E46FB0" w:rsidRDefault="00084371">
      <w:pPr>
        <w:pStyle w:val="TOC3"/>
        <w:rPr>
          <w:rFonts w:asciiTheme="minorHAnsi" w:eastAsiaTheme="minorEastAsia" w:hAnsiTheme="minorHAnsi" w:cstheme="minorBidi"/>
          <w:szCs w:val="22"/>
          <w:lang w:val="en-AU" w:eastAsia="en-AU"/>
        </w:rPr>
      </w:pPr>
      <w:hyperlink w:anchor="_Toc65760501" w:history="1">
        <w:r w:rsidR="00AF4812" w:rsidRPr="00ED2279">
          <w:rPr>
            <w:rStyle w:val="Hyperlink"/>
            <w14:scene3d>
              <w14:camera w14:prst="orthographicFront"/>
              <w14:lightRig w14:rig="threePt" w14:dir="t">
                <w14:rot w14:lat="0" w14:lon="0" w14:rev="0"/>
              </w14:lightRig>
            </w14:scene3d>
          </w:rPr>
          <w:t>4.2.5</w:t>
        </w:r>
        <w:r w:rsidR="00AF4812" w:rsidRPr="00ED2279">
          <w:rPr>
            <w:rFonts w:asciiTheme="minorHAnsi" w:eastAsiaTheme="minorEastAsia" w:hAnsiTheme="minorHAnsi" w:cstheme="minorBidi"/>
            <w:szCs w:val="22"/>
            <w:lang w:val="en-AU" w:eastAsia="en-AU"/>
          </w:rPr>
          <w:tab/>
        </w:r>
        <w:r w:rsidR="00AF4812" w:rsidRPr="00ED2279">
          <w:rPr>
            <w:rStyle w:val="Hyperlink"/>
          </w:rPr>
          <w:t>Data requirements specification</w:t>
        </w:r>
        <w:r w:rsidR="00AF4812" w:rsidRPr="00ED2279">
          <w:rPr>
            <w:webHidden/>
          </w:rPr>
          <w:tab/>
        </w:r>
        <w:r w:rsidR="00AF4812" w:rsidRPr="00ED2279">
          <w:rPr>
            <w:webHidden/>
          </w:rPr>
          <w:fldChar w:fldCharType="begin"/>
        </w:r>
        <w:r w:rsidR="00AF4812" w:rsidRPr="00ED2279">
          <w:rPr>
            <w:webHidden/>
          </w:rPr>
          <w:instrText xml:space="preserve"> PAGEREF _Toc65760501 \h </w:instrText>
        </w:r>
        <w:r w:rsidR="00AF4812" w:rsidRPr="00ED2279">
          <w:rPr>
            <w:webHidden/>
          </w:rPr>
        </w:r>
        <w:r w:rsidR="00AF4812" w:rsidRPr="00ED2279">
          <w:rPr>
            <w:webHidden/>
          </w:rPr>
          <w:fldChar w:fldCharType="separate"/>
        </w:r>
        <w:r w:rsidR="00AF4812" w:rsidRPr="00ED2279">
          <w:rPr>
            <w:webHidden/>
          </w:rPr>
          <w:t>38</w:t>
        </w:r>
        <w:r w:rsidR="00AF4812" w:rsidRPr="00ED2279">
          <w:rPr>
            <w:webHidden/>
          </w:rPr>
          <w:fldChar w:fldCharType="end"/>
        </w:r>
      </w:hyperlink>
    </w:p>
    <w:p w14:paraId="0C475EA5" w14:textId="462760F7" w:rsidR="00AF4812" w:rsidRPr="00E46FB0" w:rsidRDefault="00084371">
      <w:pPr>
        <w:pStyle w:val="TOC3"/>
        <w:rPr>
          <w:rFonts w:asciiTheme="minorHAnsi" w:eastAsiaTheme="minorEastAsia" w:hAnsiTheme="minorHAnsi" w:cstheme="minorBidi"/>
          <w:szCs w:val="22"/>
          <w:lang w:val="en-AU" w:eastAsia="en-AU"/>
        </w:rPr>
      </w:pPr>
      <w:hyperlink w:anchor="_Toc65760502" w:history="1">
        <w:r w:rsidR="00AF4812" w:rsidRPr="00ED2279">
          <w:rPr>
            <w:rStyle w:val="Hyperlink"/>
            <w14:scene3d>
              <w14:camera w14:prst="orthographicFront"/>
              <w14:lightRig w14:rig="threePt" w14:dir="t">
                <w14:rot w14:lat="0" w14:lon="0" w14:rev="0"/>
              </w14:lightRig>
            </w14:scene3d>
          </w:rPr>
          <w:t>4.2.6</w:t>
        </w:r>
        <w:r w:rsidR="00AF4812" w:rsidRPr="00ED2279">
          <w:rPr>
            <w:rFonts w:asciiTheme="minorHAnsi" w:eastAsiaTheme="minorEastAsia" w:hAnsiTheme="minorHAnsi" w:cstheme="minorBidi"/>
            <w:szCs w:val="22"/>
            <w:lang w:val="en-AU" w:eastAsia="en-AU"/>
          </w:rPr>
          <w:tab/>
        </w:r>
        <w:r w:rsidR="00AF4812" w:rsidRPr="00ED2279">
          <w:rPr>
            <w:rStyle w:val="Hyperlink"/>
          </w:rPr>
          <w:t>Design and configuration for data collection</w:t>
        </w:r>
        <w:r w:rsidR="00AF4812" w:rsidRPr="00ED2279">
          <w:rPr>
            <w:webHidden/>
          </w:rPr>
          <w:tab/>
        </w:r>
        <w:r w:rsidR="00AF4812" w:rsidRPr="00ED2279">
          <w:rPr>
            <w:webHidden/>
          </w:rPr>
          <w:fldChar w:fldCharType="begin"/>
        </w:r>
        <w:r w:rsidR="00AF4812" w:rsidRPr="00ED2279">
          <w:rPr>
            <w:webHidden/>
          </w:rPr>
          <w:instrText xml:space="preserve"> PAGEREF _Toc65760502 \h </w:instrText>
        </w:r>
        <w:r w:rsidR="00AF4812" w:rsidRPr="00ED2279">
          <w:rPr>
            <w:webHidden/>
          </w:rPr>
        </w:r>
        <w:r w:rsidR="00AF4812" w:rsidRPr="00ED2279">
          <w:rPr>
            <w:webHidden/>
          </w:rPr>
          <w:fldChar w:fldCharType="separate"/>
        </w:r>
        <w:r w:rsidR="00AF4812" w:rsidRPr="00ED2279">
          <w:rPr>
            <w:webHidden/>
          </w:rPr>
          <w:t>39</w:t>
        </w:r>
        <w:r w:rsidR="00AF4812" w:rsidRPr="00ED2279">
          <w:rPr>
            <w:webHidden/>
          </w:rPr>
          <w:fldChar w:fldCharType="end"/>
        </w:r>
      </w:hyperlink>
    </w:p>
    <w:p w14:paraId="290688A1" w14:textId="5B875642" w:rsidR="00AF4812" w:rsidRPr="00E46FB0" w:rsidRDefault="00084371">
      <w:pPr>
        <w:pStyle w:val="TOC3"/>
        <w:rPr>
          <w:rFonts w:asciiTheme="minorHAnsi" w:eastAsiaTheme="minorEastAsia" w:hAnsiTheme="minorHAnsi" w:cstheme="minorBidi"/>
          <w:szCs w:val="22"/>
          <w:lang w:val="en-AU" w:eastAsia="en-AU"/>
        </w:rPr>
      </w:pPr>
      <w:hyperlink w:anchor="_Toc65760503" w:history="1">
        <w:r w:rsidR="00AF4812" w:rsidRPr="00ED2279">
          <w:rPr>
            <w:rStyle w:val="Hyperlink"/>
            <w14:scene3d>
              <w14:camera w14:prst="orthographicFront"/>
              <w14:lightRig w14:rig="threePt" w14:dir="t">
                <w14:rot w14:lat="0" w14:lon="0" w14:rev="0"/>
              </w14:lightRig>
            </w14:scene3d>
          </w:rPr>
          <w:t>4.2.7</w:t>
        </w:r>
        <w:r w:rsidR="00AF4812" w:rsidRPr="00ED2279">
          <w:rPr>
            <w:rFonts w:asciiTheme="minorHAnsi" w:eastAsiaTheme="minorEastAsia" w:hAnsiTheme="minorHAnsi" w:cstheme="minorBidi"/>
            <w:szCs w:val="22"/>
            <w:lang w:val="en-AU" w:eastAsia="en-AU"/>
          </w:rPr>
          <w:tab/>
        </w:r>
        <w:r w:rsidR="00AF4812" w:rsidRPr="00ED2279">
          <w:rPr>
            <w:rStyle w:val="Hyperlink"/>
          </w:rPr>
          <w:t>Data analytics</w:t>
        </w:r>
        <w:r w:rsidR="00AF4812" w:rsidRPr="00ED2279">
          <w:rPr>
            <w:webHidden/>
          </w:rPr>
          <w:tab/>
        </w:r>
        <w:r w:rsidR="00AF4812" w:rsidRPr="00ED2279">
          <w:rPr>
            <w:webHidden/>
          </w:rPr>
          <w:fldChar w:fldCharType="begin"/>
        </w:r>
        <w:r w:rsidR="00AF4812" w:rsidRPr="00ED2279">
          <w:rPr>
            <w:webHidden/>
          </w:rPr>
          <w:instrText xml:space="preserve"> PAGEREF _Toc65760503 \h </w:instrText>
        </w:r>
        <w:r w:rsidR="00AF4812" w:rsidRPr="00ED2279">
          <w:rPr>
            <w:webHidden/>
          </w:rPr>
        </w:r>
        <w:r w:rsidR="00AF4812" w:rsidRPr="00ED2279">
          <w:rPr>
            <w:webHidden/>
          </w:rPr>
          <w:fldChar w:fldCharType="separate"/>
        </w:r>
        <w:r w:rsidR="00AF4812" w:rsidRPr="00ED2279">
          <w:rPr>
            <w:webHidden/>
          </w:rPr>
          <w:t>39</w:t>
        </w:r>
        <w:r w:rsidR="00AF4812" w:rsidRPr="00ED2279">
          <w:rPr>
            <w:webHidden/>
          </w:rPr>
          <w:fldChar w:fldCharType="end"/>
        </w:r>
      </w:hyperlink>
    </w:p>
    <w:p w14:paraId="7AB4542A" w14:textId="2F710692" w:rsidR="00AF4812" w:rsidRPr="00E46FB0" w:rsidRDefault="00084371">
      <w:pPr>
        <w:pStyle w:val="TOC3"/>
        <w:rPr>
          <w:rFonts w:asciiTheme="minorHAnsi" w:eastAsiaTheme="minorEastAsia" w:hAnsiTheme="minorHAnsi" w:cstheme="minorBidi"/>
          <w:szCs w:val="22"/>
          <w:lang w:val="en-AU" w:eastAsia="en-AU"/>
        </w:rPr>
      </w:pPr>
      <w:hyperlink w:anchor="_Toc65760504" w:history="1">
        <w:r w:rsidR="00AF4812" w:rsidRPr="00ED2279">
          <w:rPr>
            <w:rStyle w:val="Hyperlink"/>
            <w14:scene3d>
              <w14:camera w14:prst="orthographicFront"/>
              <w14:lightRig w14:rig="threePt" w14:dir="t">
                <w14:rot w14:lat="0" w14:lon="0" w14:rev="0"/>
              </w14:lightRig>
            </w14:scene3d>
          </w:rPr>
          <w:t>4.2.8</w:t>
        </w:r>
        <w:r w:rsidR="00AF4812" w:rsidRPr="00ED2279">
          <w:rPr>
            <w:rFonts w:asciiTheme="minorHAnsi" w:eastAsiaTheme="minorEastAsia" w:hAnsiTheme="minorHAnsi" w:cstheme="minorBidi"/>
            <w:szCs w:val="22"/>
            <w:lang w:val="en-AU" w:eastAsia="en-AU"/>
          </w:rPr>
          <w:tab/>
        </w:r>
        <w:r w:rsidR="00AF4812" w:rsidRPr="00ED2279">
          <w:rPr>
            <w:rStyle w:val="Hyperlink"/>
          </w:rPr>
          <w:t>Data retention</w:t>
        </w:r>
        <w:r w:rsidR="00AF4812" w:rsidRPr="00ED2279">
          <w:rPr>
            <w:webHidden/>
          </w:rPr>
          <w:tab/>
        </w:r>
        <w:r w:rsidR="00AF4812" w:rsidRPr="00ED2279">
          <w:rPr>
            <w:webHidden/>
          </w:rPr>
          <w:fldChar w:fldCharType="begin"/>
        </w:r>
        <w:r w:rsidR="00AF4812" w:rsidRPr="00ED2279">
          <w:rPr>
            <w:webHidden/>
          </w:rPr>
          <w:instrText xml:space="preserve"> PAGEREF _Toc65760504 \h </w:instrText>
        </w:r>
        <w:r w:rsidR="00AF4812" w:rsidRPr="00ED2279">
          <w:rPr>
            <w:webHidden/>
          </w:rPr>
        </w:r>
        <w:r w:rsidR="00AF4812" w:rsidRPr="00ED2279">
          <w:rPr>
            <w:webHidden/>
          </w:rPr>
          <w:fldChar w:fldCharType="separate"/>
        </w:r>
        <w:r w:rsidR="00AF4812" w:rsidRPr="00ED2279">
          <w:rPr>
            <w:webHidden/>
          </w:rPr>
          <w:t>40</w:t>
        </w:r>
        <w:r w:rsidR="00AF4812" w:rsidRPr="00ED2279">
          <w:rPr>
            <w:webHidden/>
          </w:rPr>
          <w:fldChar w:fldCharType="end"/>
        </w:r>
      </w:hyperlink>
    </w:p>
    <w:p w14:paraId="730DBAA1" w14:textId="22278F33" w:rsidR="00AF4812" w:rsidRPr="00E46FB0" w:rsidRDefault="00084371">
      <w:pPr>
        <w:pStyle w:val="TOC3"/>
        <w:rPr>
          <w:rFonts w:asciiTheme="minorHAnsi" w:eastAsiaTheme="minorEastAsia" w:hAnsiTheme="minorHAnsi" w:cstheme="minorBidi"/>
          <w:szCs w:val="22"/>
          <w:lang w:val="en-AU" w:eastAsia="en-AU"/>
        </w:rPr>
      </w:pPr>
      <w:hyperlink w:anchor="_Toc65760505" w:history="1">
        <w:r w:rsidR="00AF4812" w:rsidRPr="00ED2279">
          <w:rPr>
            <w:rStyle w:val="Hyperlink"/>
            <w14:scene3d>
              <w14:camera w14:prst="orthographicFront"/>
              <w14:lightRig w14:rig="threePt" w14:dir="t">
                <w14:rot w14:lat="0" w14:lon="0" w14:rev="0"/>
              </w14:lightRig>
            </w14:scene3d>
          </w:rPr>
          <w:t>4.2.9</w:t>
        </w:r>
        <w:r w:rsidR="00AF4812" w:rsidRPr="00ED2279">
          <w:rPr>
            <w:rFonts w:asciiTheme="minorHAnsi" w:eastAsiaTheme="minorEastAsia" w:hAnsiTheme="minorHAnsi" w:cstheme="minorBidi"/>
            <w:szCs w:val="22"/>
            <w:lang w:val="en-AU" w:eastAsia="en-AU"/>
          </w:rPr>
          <w:tab/>
        </w:r>
        <w:r w:rsidR="00AF4812" w:rsidRPr="00ED2279">
          <w:rPr>
            <w:rStyle w:val="Hyperlink"/>
          </w:rPr>
          <w:t>Data storage</w:t>
        </w:r>
        <w:r w:rsidR="00AF4812" w:rsidRPr="00ED2279">
          <w:rPr>
            <w:webHidden/>
          </w:rPr>
          <w:tab/>
        </w:r>
        <w:r w:rsidR="00AF4812" w:rsidRPr="00ED2279">
          <w:rPr>
            <w:webHidden/>
          </w:rPr>
          <w:fldChar w:fldCharType="begin"/>
        </w:r>
        <w:r w:rsidR="00AF4812" w:rsidRPr="00ED2279">
          <w:rPr>
            <w:webHidden/>
          </w:rPr>
          <w:instrText xml:space="preserve"> PAGEREF _Toc65760505 \h </w:instrText>
        </w:r>
        <w:r w:rsidR="00AF4812" w:rsidRPr="00ED2279">
          <w:rPr>
            <w:webHidden/>
          </w:rPr>
        </w:r>
        <w:r w:rsidR="00AF4812" w:rsidRPr="00ED2279">
          <w:rPr>
            <w:webHidden/>
          </w:rPr>
          <w:fldChar w:fldCharType="separate"/>
        </w:r>
        <w:r w:rsidR="00AF4812" w:rsidRPr="00ED2279">
          <w:rPr>
            <w:webHidden/>
          </w:rPr>
          <w:t>40</w:t>
        </w:r>
        <w:r w:rsidR="00AF4812" w:rsidRPr="00ED2279">
          <w:rPr>
            <w:webHidden/>
          </w:rPr>
          <w:fldChar w:fldCharType="end"/>
        </w:r>
      </w:hyperlink>
    </w:p>
    <w:p w14:paraId="70BD9790" w14:textId="19C1554B" w:rsidR="00AF4812" w:rsidRPr="00E46FB0" w:rsidRDefault="00084371">
      <w:pPr>
        <w:pStyle w:val="TOC2"/>
        <w:rPr>
          <w:rFonts w:asciiTheme="minorHAnsi" w:eastAsiaTheme="minorEastAsia" w:hAnsiTheme="minorHAnsi" w:cstheme="minorBidi"/>
          <w:szCs w:val="22"/>
          <w:lang w:val="en-AU" w:eastAsia="en-AU"/>
        </w:rPr>
      </w:pPr>
      <w:hyperlink w:anchor="_Toc65760506" w:history="1">
        <w:r w:rsidR="00AF4812" w:rsidRPr="00ED2279">
          <w:rPr>
            <w:rStyle w:val="Hyperlink"/>
            <w14:scene3d>
              <w14:camera w14:prst="orthographicFront"/>
              <w14:lightRig w14:rig="threePt" w14:dir="t">
                <w14:rot w14:lat="0" w14:lon="0" w14:rev="0"/>
              </w14:lightRig>
            </w14:scene3d>
          </w:rPr>
          <w:t>4.3</w:t>
        </w:r>
        <w:r w:rsidR="00AF4812" w:rsidRPr="00ED2279">
          <w:rPr>
            <w:rFonts w:asciiTheme="minorHAnsi" w:eastAsiaTheme="minorEastAsia" w:hAnsiTheme="minorHAnsi" w:cstheme="minorBidi"/>
            <w:szCs w:val="22"/>
            <w:lang w:val="en-AU" w:eastAsia="en-AU"/>
          </w:rPr>
          <w:tab/>
        </w:r>
        <w:r w:rsidR="00AF4812" w:rsidRPr="00ED2279">
          <w:rPr>
            <w:rStyle w:val="Hyperlink"/>
          </w:rPr>
          <w:t>Risks and obligations</w:t>
        </w:r>
        <w:r w:rsidR="00AF4812" w:rsidRPr="00ED2279">
          <w:rPr>
            <w:webHidden/>
          </w:rPr>
          <w:tab/>
        </w:r>
        <w:r w:rsidR="00AF4812" w:rsidRPr="00ED2279">
          <w:rPr>
            <w:webHidden/>
          </w:rPr>
          <w:fldChar w:fldCharType="begin"/>
        </w:r>
        <w:r w:rsidR="00AF4812" w:rsidRPr="00ED2279">
          <w:rPr>
            <w:webHidden/>
          </w:rPr>
          <w:instrText xml:space="preserve"> PAGEREF _Toc65760506 \h </w:instrText>
        </w:r>
        <w:r w:rsidR="00AF4812" w:rsidRPr="00ED2279">
          <w:rPr>
            <w:webHidden/>
          </w:rPr>
        </w:r>
        <w:r w:rsidR="00AF4812" w:rsidRPr="00ED2279">
          <w:rPr>
            <w:webHidden/>
          </w:rPr>
          <w:fldChar w:fldCharType="separate"/>
        </w:r>
        <w:r w:rsidR="00AF4812" w:rsidRPr="00ED2279">
          <w:rPr>
            <w:webHidden/>
          </w:rPr>
          <w:t>43</w:t>
        </w:r>
        <w:r w:rsidR="00AF4812" w:rsidRPr="00ED2279">
          <w:rPr>
            <w:webHidden/>
          </w:rPr>
          <w:fldChar w:fldCharType="end"/>
        </w:r>
      </w:hyperlink>
    </w:p>
    <w:p w14:paraId="346C70DD" w14:textId="65995432" w:rsidR="00AF4812" w:rsidRPr="00E46FB0" w:rsidRDefault="00084371">
      <w:pPr>
        <w:pStyle w:val="TOC3"/>
        <w:rPr>
          <w:rFonts w:asciiTheme="minorHAnsi" w:eastAsiaTheme="minorEastAsia" w:hAnsiTheme="minorHAnsi" w:cstheme="minorBidi"/>
          <w:szCs w:val="22"/>
          <w:lang w:val="en-AU" w:eastAsia="en-AU"/>
        </w:rPr>
      </w:pPr>
      <w:hyperlink w:anchor="_Toc65760507" w:history="1">
        <w:r w:rsidR="00AF4812" w:rsidRPr="00ED2279">
          <w:rPr>
            <w:rStyle w:val="Hyperlink"/>
            <w14:scene3d>
              <w14:camera w14:prst="orthographicFront"/>
              <w14:lightRig w14:rig="threePt" w14:dir="t">
                <w14:rot w14:lat="0" w14:lon="0" w14:rev="0"/>
              </w14:lightRig>
            </w14:scene3d>
          </w:rPr>
          <w:t>4.3.1</w:t>
        </w:r>
        <w:r w:rsidR="00AF4812" w:rsidRPr="00ED2279">
          <w:rPr>
            <w:rFonts w:asciiTheme="minorHAnsi" w:eastAsiaTheme="minorEastAsia" w:hAnsiTheme="minorHAnsi" w:cstheme="minorBidi"/>
            <w:szCs w:val="22"/>
            <w:lang w:val="en-AU" w:eastAsia="en-AU"/>
          </w:rPr>
          <w:tab/>
        </w:r>
        <w:r w:rsidR="00AF4812" w:rsidRPr="00ED2279">
          <w:rPr>
            <w:rStyle w:val="Hyperlink"/>
          </w:rPr>
          <w:t>What is risk and compliance management?</w:t>
        </w:r>
        <w:r w:rsidR="00AF4812" w:rsidRPr="00ED2279">
          <w:rPr>
            <w:webHidden/>
          </w:rPr>
          <w:tab/>
        </w:r>
        <w:r w:rsidR="00AF4812" w:rsidRPr="00ED2279">
          <w:rPr>
            <w:webHidden/>
          </w:rPr>
          <w:fldChar w:fldCharType="begin"/>
        </w:r>
        <w:r w:rsidR="00AF4812" w:rsidRPr="00ED2279">
          <w:rPr>
            <w:webHidden/>
          </w:rPr>
          <w:instrText xml:space="preserve"> PAGEREF _Toc65760507 \h </w:instrText>
        </w:r>
        <w:r w:rsidR="00AF4812" w:rsidRPr="00ED2279">
          <w:rPr>
            <w:webHidden/>
          </w:rPr>
        </w:r>
        <w:r w:rsidR="00AF4812" w:rsidRPr="00ED2279">
          <w:rPr>
            <w:webHidden/>
          </w:rPr>
          <w:fldChar w:fldCharType="separate"/>
        </w:r>
        <w:r w:rsidR="00AF4812" w:rsidRPr="00ED2279">
          <w:rPr>
            <w:webHidden/>
          </w:rPr>
          <w:t>43</w:t>
        </w:r>
        <w:r w:rsidR="00AF4812" w:rsidRPr="00ED2279">
          <w:rPr>
            <w:webHidden/>
          </w:rPr>
          <w:fldChar w:fldCharType="end"/>
        </w:r>
      </w:hyperlink>
    </w:p>
    <w:p w14:paraId="3F32AA5F" w14:textId="1B370DB7" w:rsidR="00AF4812" w:rsidRPr="00E46FB0" w:rsidRDefault="00084371">
      <w:pPr>
        <w:pStyle w:val="TOC3"/>
        <w:rPr>
          <w:rFonts w:asciiTheme="minorHAnsi" w:eastAsiaTheme="minorEastAsia" w:hAnsiTheme="minorHAnsi" w:cstheme="minorBidi"/>
          <w:szCs w:val="22"/>
          <w:lang w:val="en-AU" w:eastAsia="en-AU"/>
        </w:rPr>
      </w:pPr>
      <w:hyperlink w:anchor="_Toc65760508" w:history="1">
        <w:r w:rsidR="00AF4812" w:rsidRPr="00ED2279">
          <w:rPr>
            <w:rStyle w:val="Hyperlink"/>
            <w14:scene3d>
              <w14:camera w14:prst="orthographicFront"/>
              <w14:lightRig w14:rig="threePt" w14:dir="t">
                <w14:rot w14:lat="0" w14:lon="0" w14:rev="0"/>
              </w14:lightRig>
            </w14:scene3d>
          </w:rPr>
          <w:t>4.3.2</w:t>
        </w:r>
        <w:r w:rsidR="00AF4812" w:rsidRPr="00ED2279">
          <w:rPr>
            <w:rFonts w:asciiTheme="minorHAnsi" w:eastAsiaTheme="minorEastAsia" w:hAnsiTheme="minorHAnsi" w:cstheme="minorBidi"/>
            <w:szCs w:val="22"/>
            <w:lang w:val="en-AU" w:eastAsia="en-AU"/>
          </w:rPr>
          <w:tab/>
        </w:r>
        <w:r w:rsidR="00AF4812" w:rsidRPr="00ED2279">
          <w:rPr>
            <w:rStyle w:val="Hyperlink"/>
          </w:rPr>
          <w:t>How to manage risk and compliance</w:t>
        </w:r>
        <w:r w:rsidR="00AF4812" w:rsidRPr="00ED2279">
          <w:rPr>
            <w:webHidden/>
          </w:rPr>
          <w:tab/>
        </w:r>
        <w:r w:rsidR="00AF4812" w:rsidRPr="00ED2279">
          <w:rPr>
            <w:webHidden/>
          </w:rPr>
          <w:fldChar w:fldCharType="begin"/>
        </w:r>
        <w:r w:rsidR="00AF4812" w:rsidRPr="00ED2279">
          <w:rPr>
            <w:webHidden/>
          </w:rPr>
          <w:instrText xml:space="preserve"> PAGEREF _Toc65760508 \h </w:instrText>
        </w:r>
        <w:r w:rsidR="00AF4812" w:rsidRPr="00ED2279">
          <w:rPr>
            <w:webHidden/>
          </w:rPr>
        </w:r>
        <w:r w:rsidR="00AF4812" w:rsidRPr="00ED2279">
          <w:rPr>
            <w:webHidden/>
          </w:rPr>
          <w:fldChar w:fldCharType="separate"/>
        </w:r>
        <w:r w:rsidR="00AF4812" w:rsidRPr="00ED2279">
          <w:rPr>
            <w:webHidden/>
          </w:rPr>
          <w:t>46</w:t>
        </w:r>
        <w:r w:rsidR="00AF4812" w:rsidRPr="00ED2279">
          <w:rPr>
            <w:webHidden/>
          </w:rPr>
          <w:fldChar w:fldCharType="end"/>
        </w:r>
      </w:hyperlink>
    </w:p>
    <w:p w14:paraId="15BEE16C" w14:textId="05AE0EEC" w:rsidR="00AF4812" w:rsidRPr="00E46FB0" w:rsidRDefault="00084371">
      <w:pPr>
        <w:pStyle w:val="TOC3"/>
        <w:rPr>
          <w:rFonts w:asciiTheme="minorHAnsi" w:eastAsiaTheme="minorEastAsia" w:hAnsiTheme="minorHAnsi" w:cstheme="minorBidi"/>
          <w:szCs w:val="22"/>
          <w:lang w:val="en-AU" w:eastAsia="en-AU"/>
        </w:rPr>
      </w:pPr>
      <w:hyperlink w:anchor="_Toc65760509" w:history="1">
        <w:r w:rsidR="00AF4812" w:rsidRPr="00ED2279">
          <w:rPr>
            <w:rStyle w:val="Hyperlink"/>
            <w14:scene3d>
              <w14:camera w14:prst="orthographicFront"/>
              <w14:lightRig w14:rig="threePt" w14:dir="t">
                <w14:rot w14:lat="0" w14:lon="0" w14:rev="0"/>
              </w14:lightRig>
            </w14:scene3d>
          </w:rPr>
          <w:t>4.3.3</w:t>
        </w:r>
        <w:r w:rsidR="00AF4812" w:rsidRPr="00ED2279">
          <w:rPr>
            <w:rFonts w:asciiTheme="minorHAnsi" w:eastAsiaTheme="minorEastAsia" w:hAnsiTheme="minorHAnsi" w:cstheme="minorBidi"/>
            <w:szCs w:val="22"/>
            <w:lang w:val="en-AU" w:eastAsia="en-AU"/>
          </w:rPr>
          <w:tab/>
        </w:r>
        <w:r w:rsidR="00AF4812" w:rsidRPr="00ED2279">
          <w:rPr>
            <w:rStyle w:val="Hyperlink"/>
          </w:rPr>
          <w:t>Ongoing communication and monitoring</w:t>
        </w:r>
        <w:r w:rsidR="00AF4812" w:rsidRPr="00ED2279">
          <w:rPr>
            <w:webHidden/>
          </w:rPr>
          <w:tab/>
        </w:r>
        <w:r w:rsidR="00AF4812" w:rsidRPr="00ED2279">
          <w:rPr>
            <w:webHidden/>
          </w:rPr>
          <w:fldChar w:fldCharType="begin"/>
        </w:r>
        <w:r w:rsidR="00AF4812" w:rsidRPr="00ED2279">
          <w:rPr>
            <w:webHidden/>
          </w:rPr>
          <w:instrText xml:space="preserve"> PAGEREF _Toc65760509 \h </w:instrText>
        </w:r>
        <w:r w:rsidR="00AF4812" w:rsidRPr="00ED2279">
          <w:rPr>
            <w:webHidden/>
          </w:rPr>
        </w:r>
        <w:r w:rsidR="00AF4812" w:rsidRPr="00ED2279">
          <w:rPr>
            <w:webHidden/>
          </w:rPr>
          <w:fldChar w:fldCharType="separate"/>
        </w:r>
        <w:r w:rsidR="00AF4812" w:rsidRPr="00ED2279">
          <w:rPr>
            <w:webHidden/>
          </w:rPr>
          <w:t>47</w:t>
        </w:r>
        <w:r w:rsidR="00AF4812" w:rsidRPr="00ED2279">
          <w:rPr>
            <w:webHidden/>
          </w:rPr>
          <w:fldChar w:fldCharType="end"/>
        </w:r>
      </w:hyperlink>
    </w:p>
    <w:p w14:paraId="56DA96B8" w14:textId="701EDD23" w:rsidR="00AF4812" w:rsidRPr="00E46FB0" w:rsidRDefault="00084371">
      <w:pPr>
        <w:pStyle w:val="TOC3"/>
        <w:rPr>
          <w:rFonts w:asciiTheme="minorHAnsi" w:eastAsiaTheme="minorEastAsia" w:hAnsiTheme="minorHAnsi" w:cstheme="minorBidi"/>
          <w:szCs w:val="22"/>
          <w:lang w:val="en-AU" w:eastAsia="en-AU"/>
        </w:rPr>
      </w:pPr>
      <w:hyperlink w:anchor="_Toc65760510" w:history="1">
        <w:r w:rsidR="00AF4812" w:rsidRPr="00ED2279">
          <w:rPr>
            <w:rStyle w:val="Hyperlink"/>
            <w14:scene3d>
              <w14:camera w14:prst="orthographicFront"/>
              <w14:lightRig w14:rig="threePt" w14:dir="t">
                <w14:rot w14:lat="0" w14:lon="0" w14:rev="0"/>
              </w14:lightRig>
            </w14:scene3d>
          </w:rPr>
          <w:t>4.3.4</w:t>
        </w:r>
        <w:r w:rsidR="00AF4812" w:rsidRPr="00ED2279">
          <w:rPr>
            <w:rFonts w:asciiTheme="minorHAnsi" w:eastAsiaTheme="minorEastAsia" w:hAnsiTheme="minorHAnsi" w:cstheme="minorBidi"/>
            <w:szCs w:val="22"/>
            <w:lang w:val="en-AU" w:eastAsia="en-AU"/>
          </w:rPr>
          <w:tab/>
        </w:r>
        <w:r w:rsidR="00AF4812" w:rsidRPr="00ED2279">
          <w:rPr>
            <w:rStyle w:val="Hyperlink"/>
          </w:rPr>
          <w:t>Risk management standards</w:t>
        </w:r>
        <w:r w:rsidR="00AF4812" w:rsidRPr="00ED2279">
          <w:rPr>
            <w:webHidden/>
          </w:rPr>
          <w:tab/>
        </w:r>
        <w:r w:rsidR="00AF4812" w:rsidRPr="00ED2279">
          <w:rPr>
            <w:webHidden/>
          </w:rPr>
          <w:fldChar w:fldCharType="begin"/>
        </w:r>
        <w:r w:rsidR="00AF4812" w:rsidRPr="00ED2279">
          <w:rPr>
            <w:webHidden/>
          </w:rPr>
          <w:instrText xml:space="preserve"> PAGEREF _Toc65760510 \h </w:instrText>
        </w:r>
        <w:r w:rsidR="00AF4812" w:rsidRPr="00ED2279">
          <w:rPr>
            <w:webHidden/>
          </w:rPr>
        </w:r>
        <w:r w:rsidR="00AF4812" w:rsidRPr="00ED2279">
          <w:rPr>
            <w:webHidden/>
          </w:rPr>
          <w:fldChar w:fldCharType="separate"/>
        </w:r>
        <w:r w:rsidR="00AF4812" w:rsidRPr="00ED2279">
          <w:rPr>
            <w:webHidden/>
          </w:rPr>
          <w:t>48</w:t>
        </w:r>
        <w:r w:rsidR="00AF4812" w:rsidRPr="00ED2279">
          <w:rPr>
            <w:webHidden/>
          </w:rPr>
          <w:fldChar w:fldCharType="end"/>
        </w:r>
      </w:hyperlink>
    </w:p>
    <w:p w14:paraId="1AD4EA50" w14:textId="70582F2B" w:rsidR="00AF4812" w:rsidRPr="00E46FB0" w:rsidRDefault="00084371">
      <w:pPr>
        <w:pStyle w:val="TOC2"/>
        <w:rPr>
          <w:rFonts w:asciiTheme="minorHAnsi" w:eastAsiaTheme="minorEastAsia" w:hAnsiTheme="minorHAnsi" w:cstheme="minorBidi"/>
          <w:szCs w:val="22"/>
          <w:lang w:val="en-AU" w:eastAsia="en-AU"/>
        </w:rPr>
      </w:pPr>
      <w:hyperlink w:anchor="_Toc65760511" w:history="1">
        <w:r w:rsidR="00AF4812" w:rsidRPr="00ED2279">
          <w:rPr>
            <w:rStyle w:val="Hyperlink"/>
            <w14:scene3d>
              <w14:camera w14:prst="orthographicFront"/>
              <w14:lightRig w14:rig="threePt" w14:dir="t">
                <w14:rot w14:lat="0" w14:lon="0" w14:rev="0"/>
              </w14:lightRig>
            </w14:scene3d>
          </w:rPr>
          <w:t>4.4</w:t>
        </w:r>
        <w:r w:rsidR="00AF4812" w:rsidRPr="00ED2279">
          <w:rPr>
            <w:rFonts w:asciiTheme="minorHAnsi" w:eastAsiaTheme="minorEastAsia" w:hAnsiTheme="minorHAnsi" w:cstheme="minorBidi"/>
            <w:szCs w:val="22"/>
            <w:lang w:val="en-AU" w:eastAsia="en-AU"/>
          </w:rPr>
          <w:tab/>
        </w:r>
        <w:r w:rsidR="00AF4812" w:rsidRPr="00ED2279">
          <w:rPr>
            <w:rStyle w:val="Hyperlink"/>
          </w:rPr>
          <w:t>Privacy</w:t>
        </w:r>
        <w:r w:rsidR="00AF4812" w:rsidRPr="00ED2279">
          <w:rPr>
            <w:webHidden/>
          </w:rPr>
          <w:tab/>
        </w:r>
        <w:r w:rsidR="00AF4812" w:rsidRPr="00ED2279">
          <w:rPr>
            <w:webHidden/>
          </w:rPr>
          <w:fldChar w:fldCharType="begin"/>
        </w:r>
        <w:r w:rsidR="00AF4812" w:rsidRPr="00ED2279">
          <w:rPr>
            <w:webHidden/>
          </w:rPr>
          <w:instrText xml:space="preserve"> PAGEREF _Toc65760511 \h </w:instrText>
        </w:r>
        <w:r w:rsidR="00AF4812" w:rsidRPr="00ED2279">
          <w:rPr>
            <w:webHidden/>
          </w:rPr>
        </w:r>
        <w:r w:rsidR="00AF4812" w:rsidRPr="00ED2279">
          <w:rPr>
            <w:webHidden/>
          </w:rPr>
          <w:fldChar w:fldCharType="separate"/>
        </w:r>
        <w:r w:rsidR="00AF4812" w:rsidRPr="00ED2279">
          <w:rPr>
            <w:webHidden/>
          </w:rPr>
          <w:t>49</w:t>
        </w:r>
        <w:r w:rsidR="00AF4812" w:rsidRPr="00ED2279">
          <w:rPr>
            <w:webHidden/>
          </w:rPr>
          <w:fldChar w:fldCharType="end"/>
        </w:r>
      </w:hyperlink>
    </w:p>
    <w:p w14:paraId="752DADE4" w14:textId="54883B1C" w:rsidR="00AF4812" w:rsidRPr="00E46FB0" w:rsidRDefault="00084371">
      <w:pPr>
        <w:pStyle w:val="TOC3"/>
        <w:rPr>
          <w:rFonts w:asciiTheme="minorHAnsi" w:eastAsiaTheme="minorEastAsia" w:hAnsiTheme="minorHAnsi" w:cstheme="minorBidi"/>
          <w:szCs w:val="22"/>
          <w:lang w:val="en-AU" w:eastAsia="en-AU"/>
        </w:rPr>
      </w:pPr>
      <w:hyperlink w:anchor="_Toc65760512" w:history="1">
        <w:r w:rsidR="00AF4812" w:rsidRPr="00ED2279">
          <w:rPr>
            <w:rStyle w:val="Hyperlink"/>
            <w14:scene3d>
              <w14:camera w14:prst="orthographicFront"/>
              <w14:lightRig w14:rig="threePt" w14:dir="t">
                <w14:rot w14:lat="0" w14:lon="0" w14:rev="0"/>
              </w14:lightRig>
            </w14:scene3d>
          </w:rPr>
          <w:t>4.4.1</w:t>
        </w:r>
        <w:r w:rsidR="00AF4812" w:rsidRPr="00ED2279">
          <w:rPr>
            <w:rFonts w:asciiTheme="minorHAnsi" w:eastAsiaTheme="minorEastAsia" w:hAnsiTheme="minorHAnsi" w:cstheme="minorBidi"/>
            <w:szCs w:val="22"/>
            <w:lang w:val="en-AU" w:eastAsia="en-AU"/>
          </w:rPr>
          <w:tab/>
        </w:r>
        <w:r w:rsidR="00AF4812" w:rsidRPr="00ED2279">
          <w:rPr>
            <w:rStyle w:val="Hyperlink"/>
          </w:rPr>
          <w:t>The privacy regulatory landscape</w:t>
        </w:r>
        <w:r w:rsidR="00AF4812" w:rsidRPr="00ED2279">
          <w:rPr>
            <w:webHidden/>
          </w:rPr>
          <w:tab/>
        </w:r>
        <w:r w:rsidR="00AF4812" w:rsidRPr="00ED2279">
          <w:rPr>
            <w:webHidden/>
          </w:rPr>
          <w:fldChar w:fldCharType="begin"/>
        </w:r>
        <w:r w:rsidR="00AF4812" w:rsidRPr="00ED2279">
          <w:rPr>
            <w:webHidden/>
          </w:rPr>
          <w:instrText xml:space="preserve"> PAGEREF _Toc65760512 \h </w:instrText>
        </w:r>
        <w:r w:rsidR="00AF4812" w:rsidRPr="00ED2279">
          <w:rPr>
            <w:webHidden/>
          </w:rPr>
        </w:r>
        <w:r w:rsidR="00AF4812" w:rsidRPr="00ED2279">
          <w:rPr>
            <w:webHidden/>
          </w:rPr>
          <w:fldChar w:fldCharType="separate"/>
        </w:r>
        <w:r w:rsidR="00AF4812" w:rsidRPr="00ED2279">
          <w:rPr>
            <w:webHidden/>
          </w:rPr>
          <w:t>49</w:t>
        </w:r>
        <w:r w:rsidR="00AF4812" w:rsidRPr="00ED2279">
          <w:rPr>
            <w:webHidden/>
          </w:rPr>
          <w:fldChar w:fldCharType="end"/>
        </w:r>
      </w:hyperlink>
    </w:p>
    <w:p w14:paraId="7474F1D2" w14:textId="0FC6BD5A" w:rsidR="00AF4812" w:rsidRPr="00E46FB0" w:rsidRDefault="00084371">
      <w:pPr>
        <w:pStyle w:val="TOC3"/>
        <w:rPr>
          <w:rFonts w:asciiTheme="minorHAnsi" w:eastAsiaTheme="minorEastAsia" w:hAnsiTheme="minorHAnsi" w:cstheme="minorBidi"/>
          <w:szCs w:val="22"/>
          <w:lang w:val="en-AU" w:eastAsia="en-AU"/>
        </w:rPr>
      </w:pPr>
      <w:hyperlink w:anchor="_Toc65760513" w:history="1">
        <w:r w:rsidR="00AF4812" w:rsidRPr="00E46FB0">
          <w:rPr>
            <w:rStyle w:val="Hyperlink"/>
            <w14:scene3d>
              <w14:camera w14:prst="orthographicFront"/>
              <w14:lightRig w14:rig="threePt" w14:dir="t">
                <w14:rot w14:lat="0" w14:lon="0" w14:rev="0"/>
              </w14:lightRig>
            </w14:scene3d>
          </w:rPr>
          <w:t>4.4.2</w:t>
        </w:r>
        <w:r w:rsidR="00AF4812" w:rsidRPr="00ED2279">
          <w:rPr>
            <w:rFonts w:asciiTheme="minorHAnsi" w:eastAsiaTheme="minorEastAsia" w:hAnsiTheme="minorHAnsi" w:cstheme="minorBidi"/>
            <w:szCs w:val="22"/>
            <w:lang w:val="en-AU" w:eastAsia="en-AU"/>
          </w:rPr>
          <w:tab/>
        </w:r>
        <w:r w:rsidR="00AF4812" w:rsidRPr="00ED2279">
          <w:rPr>
            <w:rStyle w:val="Hyperlink"/>
          </w:rPr>
          <w:t>Privacy and IoT</w:t>
        </w:r>
        <w:r w:rsidR="00AF4812" w:rsidRPr="00ED2279">
          <w:rPr>
            <w:webHidden/>
          </w:rPr>
          <w:tab/>
        </w:r>
        <w:r w:rsidR="00AF4812" w:rsidRPr="00E46FB0">
          <w:rPr>
            <w:webHidden/>
          </w:rPr>
          <w:fldChar w:fldCharType="begin"/>
        </w:r>
        <w:r w:rsidR="00AF4812" w:rsidRPr="00ED2279">
          <w:rPr>
            <w:webHidden/>
          </w:rPr>
          <w:instrText xml:space="preserve"> PAGEREF _Toc65760513 \h </w:instrText>
        </w:r>
        <w:r w:rsidR="00AF4812" w:rsidRPr="00ED2279">
          <w:rPr>
            <w:webHidden/>
          </w:rPr>
        </w:r>
        <w:r w:rsidR="00AF4812" w:rsidRPr="00ED2279">
          <w:rPr>
            <w:webHidden/>
          </w:rPr>
          <w:fldChar w:fldCharType="separate"/>
        </w:r>
        <w:r w:rsidR="00AF4812" w:rsidRPr="00ED2279">
          <w:rPr>
            <w:webHidden/>
          </w:rPr>
          <w:t>50</w:t>
        </w:r>
        <w:r w:rsidR="00AF4812" w:rsidRPr="00ED2279">
          <w:rPr>
            <w:webHidden/>
          </w:rPr>
          <w:fldChar w:fldCharType="end"/>
        </w:r>
      </w:hyperlink>
    </w:p>
    <w:p w14:paraId="456DF801" w14:textId="5A3FAA1F" w:rsidR="00AF4812" w:rsidRPr="00E46FB0" w:rsidRDefault="00084371">
      <w:pPr>
        <w:pStyle w:val="TOC3"/>
        <w:rPr>
          <w:rFonts w:asciiTheme="minorHAnsi" w:eastAsiaTheme="minorEastAsia" w:hAnsiTheme="minorHAnsi" w:cstheme="minorBidi"/>
          <w:szCs w:val="22"/>
          <w:lang w:val="en-AU" w:eastAsia="en-AU"/>
        </w:rPr>
      </w:pPr>
      <w:hyperlink w:anchor="_Toc65760514" w:history="1">
        <w:r w:rsidR="00AF4812" w:rsidRPr="00E46FB0">
          <w:rPr>
            <w:rStyle w:val="Hyperlink"/>
            <w14:scene3d>
              <w14:camera w14:prst="orthographicFront"/>
              <w14:lightRig w14:rig="threePt" w14:dir="t">
                <w14:rot w14:lat="0" w14:lon="0" w14:rev="0"/>
              </w14:lightRig>
            </w14:scene3d>
          </w:rPr>
          <w:t>4.4.3</w:t>
        </w:r>
        <w:r w:rsidR="00AF4812" w:rsidRPr="00ED2279">
          <w:rPr>
            <w:rFonts w:asciiTheme="minorHAnsi" w:eastAsiaTheme="minorEastAsia" w:hAnsiTheme="minorHAnsi" w:cstheme="minorBidi"/>
            <w:szCs w:val="22"/>
            <w:lang w:val="en-AU" w:eastAsia="en-AU"/>
          </w:rPr>
          <w:tab/>
        </w:r>
        <w:r w:rsidR="00AF4812" w:rsidRPr="00ED2279">
          <w:rPr>
            <w:rStyle w:val="Hyperlink"/>
          </w:rPr>
          <w:t>Privacy obligations around collecting and holding data</w:t>
        </w:r>
        <w:r w:rsidR="00AF4812" w:rsidRPr="00ED2279">
          <w:rPr>
            <w:webHidden/>
          </w:rPr>
          <w:tab/>
        </w:r>
        <w:r w:rsidR="00AF4812" w:rsidRPr="00E46FB0">
          <w:rPr>
            <w:webHidden/>
          </w:rPr>
          <w:fldChar w:fldCharType="begin"/>
        </w:r>
        <w:r w:rsidR="00AF4812" w:rsidRPr="00ED2279">
          <w:rPr>
            <w:webHidden/>
          </w:rPr>
          <w:instrText xml:space="preserve"> PAGEREF _Toc65760514 \h </w:instrText>
        </w:r>
        <w:r w:rsidR="00AF4812" w:rsidRPr="00ED2279">
          <w:rPr>
            <w:webHidden/>
          </w:rPr>
        </w:r>
        <w:r w:rsidR="00AF4812" w:rsidRPr="00ED2279">
          <w:rPr>
            <w:webHidden/>
          </w:rPr>
          <w:fldChar w:fldCharType="separate"/>
        </w:r>
        <w:r w:rsidR="00AF4812" w:rsidRPr="00ED2279">
          <w:rPr>
            <w:webHidden/>
          </w:rPr>
          <w:t>51</w:t>
        </w:r>
        <w:r w:rsidR="00AF4812" w:rsidRPr="00ED2279">
          <w:rPr>
            <w:webHidden/>
          </w:rPr>
          <w:fldChar w:fldCharType="end"/>
        </w:r>
      </w:hyperlink>
    </w:p>
    <w:p w14:paraId="26D01BCD" w14:textId="61597E7A" w:rsidR="00AF4812" w:rsidRPr="00E46FB0" w:rsidRDefault="00084371">
      <w:pPr>
        <w:pStyle w:val="TOC3"/>
        <w:rPr>
          <w:rFonts w:asciiTheme="minorHAnsi" w:eastAsiaTheme="minorEastAsia" w:hAnsiTheme="minorHAnsi" w:cstheme="minorBidi"/>
          <w:szCs w:val="22"/>
          <w:lang w:val="en-AU" w:eastAsia="en-AU"/>
        </w:rPr>
      </w:pPr>
      <w:hyperlink w:anchor="_Toc65760515" w:history="1">
        <w:r w:rsidR="00AF4812" w:rsidRPr="00E46FB0">
          <w:rPr>
            <w:rStyle w:val="Hyperlink"/>
            <w14:scene3d>
              <w14:camera w14:prst="orthographicFront"/>
              <w14:lightRig w14:rig="threePt" w14:dir="t">
                <w14:rot w14:lat="0" w14:lon="0" w14:rev="0"/>
              </w14:lightRig>
            </w14:scene3d>
          </w:rPr>
          <w:t>4.4.4</w:t>
        </w:r>
        <w:r w:rsidR="00AF4812" w:rsidRPr="00ED2279">
          <w:rPr>
            <w:rFonts w:asciiTheme="minorHAnsi" w:eastAsiaTheme="minorEastAsia" w:hAnsiTheme="minorHAnsi" w:cstheme="minorBidi"/>
            <w:szCs w:val="22"/>
            <w:lang w:val="en-AU" w:eastAsia="en-AU"/>
          </w:rPr>
          <w:tab/>
        </w:r>
        <w:r w:rsidR="00AF4812" w:rsidRPr="00ED2279">
          <w:rPr>
            <w:rStyle w:val="Hyperlink"/>
          </w:rPr>
          <w:t>Best practice – Privacy by design</w:t>
        </w:r>
        <w:r w:rsidR="00AF4812" w:rsidRPr="00ED2279">
          <w:rPr>
            <w:webHidden/>
          </w:rPr>
          <w:tab/>
        </w:r>
        <w:r w:rsidR="00AF4812" w:rsidRPr="00E46FB0">
          <w:rPr>
            <w:webHidden/>
          </w:rPr>
          <w:fldChar w:fldCharType="begin"/>
        </w:r>
        <w:r w:rsidR="00AF4812" w:rsidRPr="00ED2279">
          <w:rPr>
            <w:webHidden/>
          </w:rPr>
          <w:instrText xml:space="preserve"> PAGEREF _Toc65760515 \h </w:instrText>
        </w:r>
        <w:r w:rsidR="00AF4812" w:rsidRPr="00ED2279">
          <w:rPr>
            <w:webHidden/>
          </w:rPr>
        </w:r>
        <w:r w:rsidR="00AF4812" w:rsidRPr="00ED2279">
          <w:rPr>
            <w:webHidden/>
          </w:rPr>
          <w:fldChar w:fldCharType="separate"/>
        </w:r>
        <w:r w:rsidR="00AF4812" w:rsidRPr="00ED2279">
          <w:rPr>
            <w:webHidden/>
          </w:rPr>
          <w:t>52</w:t>
        </w:r>
        <w:r w:rsidR="00AF4812" w:rsidRPr="00ED2279">
          <w:rPr>
            <w:webHidden/>
          </w:rPr>
          <w:fldChar w:fldCharType="end"/>
        </w:r>
      </w:hyperlink>
    </w:p>
    <w:p w14:paraId="18C74E5C" w14:textId="21685868" w:rsidR="00AF4812" w:rsidRPr="00E46FB0" w:rsidRDefault="00084371">
      <w:pPr>
        <w:pStyle w:val="TOC3"/>
        <w:rPr>
          <w:rFonts w:asciiTheme="minorHAnsi" w:eastAsiaTheme="minorEastAsia" w:hAnsiTheme="minorHAnsi" w:cstheme="minorBidi"/>
          <w:szCs w:val="22"/>
          <w:lang w:val="en-AU" w:eastAsia="en-AU"/>
        </w:rPr>
      </w:pPr>
      <w:hyperlink w:anchor="_Toc65760516" w:history="1">
        <w:r w:rsidR="00AF4812" w:rsidRPr="00E46FB0">
          <w:rPr>
            <w:rStyle w:val="Hyperlink"/>
            <w14:scene3d>
              <w14:camera w14:prst="orthographicFront"/>
              <w14:lightRig w14:rig="threePt" w14:dir="t">
                <w14:rot w14:lat="0" w14:lon="0" w14:rev="0"/>
              </w14:lightRig>
            </w14:scene3d>
          </w:rPr>
          <w:t>4.4.5</w:t>
        </w:r>
        <w:r w:rsidR="00AF4812" w:rsidRPr="00ED2279">
          <w:rPr>
            <w:rFonts w:asciiTheme="minorHAnsi" w:eastAsiaTheme="minorEastAsia" w:hAnsiTheme="minorHAnsi" w:cstheme="minorBidi"/>
            <w:szCs w:val="22"/>
            <w:lang w:val="en-AU" w:eastAsia="en-AU"/>
          </w:rPr>
          <w:tab/>
        </w:r>
        <w:r w:rsidR="00AF4812" w:rsidRPr="00ED2279">
          <w:rPr>
            <w:rStyle w:val="Hyperlink"/>
          </w:rPr>
          <w:t>Privacy access requests and GIPA requests for information</w:t>
        </w:r>
        <w:r w:rsidR="00AF4812" w:rsidRPr="00ED2279">
          <w:rPr>
            <w:webHidden/>
          </w:rPr>
          <w:tab/>
        </w:r>
        <w:r w:rsidR="00AF4812" w:rsidRPr="00E46FB0">
          <w:rPr>
            <w:webHidden/>
          </w:rPr>
          <w:fldChar w:fldCharType="begin"/>
        </w:r>
        <w:r w:rsidR="00AF4812" w:rsidRPr="00ED2279">
          <w:rPr>
            <w:webHidden/>
          </w:rPr>
          <w:instrText xml:space="preserve"> PAGEREF _Toc65760516 \h </w:instrText>
        </w:r>
        <w:r w:rsidR="00AF4812" w:rsidRPr="00ED2279">
          <w:rPr>
            <w:webHidden/>
          </w:rPr>
        </w:r>
        <w:r w:rsidR="00AF4812" w:rsidRPr="00ED2279">
          <w:rPr>
            <w:webHidden/>
          </w:rPr>
          <w:fldChar w:fldCharType="separate"/>
        </w:r>
        <w:r w:rsidR="00AF4812" w:rsidRPr="00ED2279">
          <w:rPr>
            <w:webHidden/>
          </w:rPr>
          <w:t>56</w:t>
        </w:r>
        <w:r w:rsidR="00AF4812" w:rsidRPr="00ED2279">
          <w:rPr>
            <w:webHidden/>
          </w:rPr>
          <w:fldChar w:fldCharType="end"/>
        </w:r>
      </w:hyperlink>
    </w:p>
    <w:p w14:paraId="3115CC74" w14:textId="6FE0A272" w:rsidR="00AF4812" w:rsidRPr="00E46FB0" w:rsidRDefault="00084371">
      <w:pPr>
        <w:pStyle w:val="TOC3"/>
        <w:rPr>
          <w:rFonts w:asciiTheme="minorHAnsi" w:eastAsiaTheme="minorEastAsia" w:hAnsiTheme="minorHAnsi" w:cstheme="minorBidi"/>
          <w:szCs w:val="22"/>
          <w:lang w:val="en-AU" w:eastAsia="en-AU"/>
        </w:rPr>
      </w:pPr>
      <w:hyperlink w:anchor="_Toc65760517" w:history="1">
        <w:r w:rsidR="00AF4812" w:rsidRPr="00E46FB0">
          <w:rPr>
            <w:rStyle w:val="Hyperlink"/>
            <w14:scene3d>
              <w14:camera w14:prst="orthographicFront"/>
              <w14:lightRig w14:rig="threePt" w14:dir="t">
                <w14:rot w14:lat="0" w14:lon="0" w14:rev="0"/>
              </w14:lightRig>
            </w14:scene3d>
          </w:rPr>
          <w:t>4.4.6</w:t>
        </w:r>
        <w:r w:rsidR="00AF4812" w:rsidRPr="00ED2279">
          <w:rPr>
            <w:rFonts w:asciiTheme="minorHAnsi" w:eastAsiaTheme="minorEastAsia" w:hAnsiTheme="minorHAnsi" w:cstheme="minorBidi"/>
            <w:szCs w:val="22"/>
            <w:lang w:val="en-AU" w:eastAsia="en-AU"/>
          </w:rPr>
          <w:tab/>
        </w:r>
        <w:r w:rsidR="00AF4812" w:rsidRPr="00ED2279">
          <w:rPr>
            <w:rStyle w:val="Hyperlink"/>
          </w:rPr>
          <w:t>Managing a data or privacy breach</w:t>
        </w:r>
        <w:r w:rsidR="00AF4812" w:rsidRPr="00ED2279">
          <w:rPr>
            <w:webHidden/>
          </w:rPr>
          <w:tab/>
        </w:r>
        <w:r w:rsidR="00AF4812" w:rsidRPr="00E46FB0">
          <w:rPr>
            <w:webHidden/>
          </w:rPr>
          <w:fldChar w:fldCharType="begin"/>
        </w:r>
        <w:r w:rsidR="00AF4812" w:rsidRPr="00ED2279">
          <w:rPr>
            <w:webHidden/>
          </w:rPr>
          <w:instrText xml:space="preserve"> PAGEREF _Toc65760517 \h </w:instrText>
        </w:r>
        <w:r w:rsidR="00AF4812" w:rsidRPr="00ED2279">
          <w:rPr>
            <w:webHidden/>
          </w:rPr>
        </w:r>
        <w:r w:rsidR="00AF4812" w:rsidRPr="00ED2279">
          <w:rPr>
            <w:webHidden/>
          </w:rPr>
          <w:fldChar w:fldCharType="separate"/>
        </w:r>
        <w:r w:rsidR="00AF4812" w:rsidRPr="00ED2279">
          <w:rPr>
            <w:webHidden/>
          </w:rPr>
          <w:t>57</w:t>
        </w:r>
        <w:r w:rsidR="00AF4812" w:rsidRPr="00ED2279">
          <w:rPr>
            <w:webHidden/>
          </w:rPr>
          <w:fldChar w:fldCharType="end"/>
        </w:r>
      </w:hyperlink>
    </w:p>
    <w:p w14:paraId="2C515E5A" w14:textId="3696D6FD" w:rsidR="00AF4812" w:rsidRPr="00E46FB0" w:rsidRDefault="00084371">
      <w:pPr>
        <w:pStyle w:val="TOC3"/>
        <w:rPr>
          <w:rFonts w:asciiTheme="minorHAnsi" w:eastAsiaTheme="minorEastAsia" w:hAnsiTheme="minorHAnsi" w:cstheme="minorBidi"/>
          <w:szCs w:val="22"/>
          <w:lang w:val="en-AU" w:eastAsia="en-AU"/>
        </w:rPr>
      </w:pPr>
      <w:hyperlink w:anchor="_Toc65760518" w:history="1">
        <w:r w:rsidR="00AF4812" w:rsidRPr="00E46FB0">
          <w:rPr>
            <w:rStyle w:val="Hyperlink"/>
            <w14:scene3d>
              <w14:camera w14:prst="orthographicFront"/>
              <w14:lightRig w14:rig="threePt" w14:dir="t">
                <w14:rot w14:lat="0" w14:lon="0" w14:rev="0"/>
              </w14:lightRig>
            </w14:scene3d>
          </w:rPr>
          <w:t>4.4.7</w:t>
        </w:r>
        <w:r w:rsidR="00AF4812" w:rsidRPr="00ED2279">
          <w:rPr>
            <w:rFonts w:asciiTheme="minorHAnsi" w:eastAsiaTheme="minorEastAsia" w:hAnsiTheme="minorHAnsi" w:cstheme="minorBidi"/>
            <w:szCs w:val="22"/>
            <w:lang w:val="en-AU" w:eastAsia="en-AU"/>
          </w:rPr>
          <w:tab/>
        </w:r>
        <w:r w:rsidR="00AF4812" w:rsidRPr="00ED2279">
          <w:rPr>
            <w:rStyle w:val="Hyperlink"/>
          </w:rPr>
          <w:t>Links for further information</w:t>
        </w:r>
        <w:r w:rsidR="00AF4812" w:rsidRPr="00ED2279">
          <w:rPr>
            <w:webHidden/>
          </w:rPr>
          <w:tab/>
        </w:r>
        <w:r w:rsidR="00AF4812" w:rsidRPr="00E46FB0">
          <w:rPr>
            <w:webHidden/>
          </w:rPr>
          <w:fldChar w:fldCharType="begin"/>
        </w:r>
        <w:r w:rsidR="00AF4812" w:rsidRPr="00ED2279">
          <w:rPr>
            <w:webHidden/>
          </w:rPr>
          <w:instrText xml:space="preserve"> PAGEREF _Toc65760518 \h </w:instrText>
        </w:r>
        <w:r w:rsidR="00AF4812" w:rsidRPr="00ED2279">
          <w:rPr>
            <w:webHidden/>
          </w:rPr>
        </w:r>
        <w:r w:rsidR="00AF4812" w:rsidRPr="00ED2279">
          <w:rPr>
            <w:webHidden/>
          </w:rPr>
          <w:fldChar w:fldCharType="separate"/>
        </w:r>
        <w:r w:rsidR="00AF4812" w:rsidRPr="00ED2279">
          <w:rPr>
            <w:webHidden/>
          </w:rPr>
          <w:t>57</w:t>
        </w:r>
        <w:r w:rsidR="00AF4812" w:rsidRPr="00ED2279">
          <w:rPr>
            <w:webHidden/>
          </w:rPr>
          <w:fldChar w:fldCharType="end"/>
        </w:r>
      </w:hyperlink>
    </w:p>
    <w:p w14:paraId="489D5EDD" w14:textId="4A81FA54" w:rsidR="00AF4812" w:rsidRPr="00E46FB0" w:rsidRDefault="00084371">
      <w:pPr>
        <w:pStyle w:val="TOC2"/>
        <w:rPr>
          <w:rFonts w:asciiTheme="minorHAnsi" w:eastAsiaTheme="minorEastAsia" w:hAnsiTheme="minorHAnsi" w:cstheme="minorBidi"/>
          <w:szCs w:val="22"/>
          <w:lang w:val="en-AU" w:eastAsia="en-AU"/>
        </w:rPr>
      </w:pPr>
      <w:hyperlink w:anchor="_Toc65760519" w:history="1">
        <w:r w:rsidR="00AF4812" w:rsidRPr="00E46FB0">
          <w:rPr>
            <w:rStyle w:val="Hyperlink"/>
            <w14:scene3d>
              <w14:camera w14:prst="orthographicFront"/>
              <w14:lightRig w14:rig="threePt" w14:dir="t">
                <w14:rot w14:lat="0" w14:lon="0" w14:rev="0"/>
              </w14:lightRig>
            </w14:scene3d>
          </w:rPr>
          <w:t>4.5</w:t>
        </w:r>
        <w:r w:rsidR="00AF4812" w:rsidRPr="00ED2279">
          <w:rPr>
            <w:rFonts w:asciiTheme="minorHAnsi" w:eastAsiaTheme="minorEastAsia" w:hAnsiTheme="minorHAnsi" w:cstheme="minorBidi"/>
            <w:szCs w:val="22"/>
            <w:lang w:val="en-AU" w:eastAsia="en-AU"/>
          </w:rPr>
          <w:tab/>
        </w:r>
        <w:r w:rsidR="00AF4812" w:rsidRPr="00ED2279">
          <w:rPr>
            <w:rStyle w:val="Hyperlink"/>
          </w:rPr>
          <w:t>Cyber Security</w:t>
        </w:r>
        <w:r w:rsidR="00AF4812" w:rsidRPr="00ED2279">
          <w:rPr>
            <w:webHidden/>
          </w:rPr>
          <w:tab/>
        </w:r>
        <w:r w:rsidR="00AF4812" w:rsidRPr="00E46FB0">
          <w:rPr>
            <w:webHidden/>
          </w:rPr>
          <w:fldChar w:fldCharType="begin"/>
        </w:r>
        <w:r w:rsidR="00AF4812" w:rsidRPr="00ED2279">
          <w:rPr>
            <w:webHidden/>
          </w:rPr>
          <w:instrText xml:space="preserve"> PAGEREF _Toc65760519 \h </w:instrText>
        </w:r>
        <w:r w:rsidR="00AF4812" w:rsidRPr="00ED2279">
          <w:rPr>
            <w:webHidden/>
          </w:rPr>
        </w:r>
        <w:r w:rsidR="00AF4812" w:rsidRPr="00ED2279">
          <w:rPr>
            <w:webHidden/>
          </w:rPr>
          <w:fldChar w:fldCharType="separate"/>
        </w:r>
        <w:r w:rsidR="00AF4812" w:rsidRPr="00ED2279">
          <w:rPr>
            <w:webHidden/>
          </w:rPr>
          <w:t>58</w:t>
        </w:r>
        <w:r w:rsidR="00AF4812" w:rsidRPr="00ED2279">
          <w:rPr>
            <w:webHidden/>
          </w:rPr>
          <w:fldChar w:fldCharType="end"/>
        </w:r>
      </w:hyperlink>
    </w:p>
    <w:p w14:paraId="584D18A7" w14:textId="0DC48703" w:rsidR="00AF4812" w:rsidRPr="00E46FB0" w:rsidRDefault="00084371">
      <w:pPr>
        <w:pStyle w:val="TOC3"/>
        <w:rPr>
          <w:rFonts w:asciiTheme="minorHAnsi" w:eastAsiaTheme="minorEastAsia" w:hAnsiTheme="minorHAnsi" w:cstheme="minorBidi"/>
          <w:szCs w:val="22"/>
          <w:lang w:val="en-AU" w:eastAsia="en-AU"/>
        </w:rPr>
      </w:pPr>
      <w:hyperlink w:anchor="_Toc65760520" w:history="1">
        <w:r w:rsidR="00AF4812" w:rsidRPr="00E46FB0">
          <w:rPr>
            <w:rStyle w:val="Hyperlink"/>
            <w14:scene3d>
              <w14:camera w14:prst="orthographicFront"/>
              <w14:lightRig w14:rig="threePt" w14:dir="t">
                <w14:rot w14:lat="0" w14:lon="0" w14:rev="0"/>
              </w14:lightRig>
            </w14:scene3d>
          </w:rPr>
          <w:t>4.5.1</w:t>
        </w:r>
        <w:r w:rsidR="00AF4812" w:rsidRPr="00ED2279">
          <w:rPr>
            <w:rFonts w:asciiTheme="minorHAnsi" w:eastAsiaTheme="minorEastAsia" w:hAnsiTheme="minorHAnsi" w:cstheme="minorBidi"/>
            <w:szCs w:val="22"/>
            <w:lang w:val="en-AU" w:eastAsia="en-AU"/>
          </w:rPr>
          <w:tab/>
        </w:r>
        <w:r w:rsidR="00AF4812" w:rsidRPr="00ED2279">
          <w:rPr>
            <w:rStyle w:val="Hyperlink"/>
          </w:rPr>
          <w:t>Securing IoT</w:t>
        </w:r>
        <w:r w:rsidR="00AF4812" w:rsidRPr="00ED2279">
          <w:rPr>
            <w:webHidden/>
          </w:rPr>
          <w:tab/>
        </w:r>
        <w:r w:rsidR="00AF4812" w:rsidRPr="00E46FB0">
          <w:rPr>
            <w:webHidden/>
          </w:rPr>
          <w:fldChar w:fldCharType="begin"/>
        </w:r>
        <w:r w:rsidR="00AF4812" w:rsidRPr="00ED2279">
          <w:rPr>
            <w:webHidden/>
          </w:rPr>
          <w:instrText xml:space="preserve"> PAGEREF _Toc65760520 \h </w:instrText>
        </w:r>
        <w:r w:rsidR="00AF4812" w:rsidRPr="00ED2279">
          <w:rPr>
            <w:webHidden/>
          </w:rPr>
        </w:r>
        <w:r w:rsidR="00AF4812" w:rsidRPr="00ED2279">
          <w:rPr>
            <w:webHidden/>
          </w:rPr>
          <w:fldChar w:fldCharType="separate"/>
        </w:r>
        <w:r w:rsidR="00AF4812" w:rsidRPr="00ED2279">
          <w:rPr>
            <w:webHidden/>
          </w:rPr>
          <w:t>58</w:t>
        </w:r>
        <w:r w:rsidR="00AF4812" w:rsidRPr="00ED2279">
          <w:rPr>
            <w:webHidden/>
          </w:rPr>
          <w:fldChar w:fldCharType="end"/>
        </w:r>
      </w:hyperlink>
    </w:p>
    <w:p w14:paraId="20B7ACBD" w14:textId="4490FEFD" w:rsidR="00AF4812" w:rsidRPr="00E46FB0" w:rsidRDefault="00084371">
      <w:pPr>
        <w:pStyle w:val="TOC3"/>
        <w:rPr>
          <w:rFonts w:asciiTheme="minorHAnsi" w:eastAsiaTheme="minorEastAsia" w:hAnsiTheme="minorHAnsi" w:cstheme="minorBidi"/>
          <w:szCs w:val="22"/>
          <w:lang w:val="en-AU" w:eastAsia="en-AU"/>
        </w:rPr>
      </w:pPr>
      <w:hyperlink w:anchor="_Toc65760521" w:history="1">
        <w:r w:rsidR="00AF4812" w:rsidRPr="00E46FB0">
          <w:rPr>
            <w:rStyle w:val="Hyperlink"/>
            <w14:scene3d>
              <w14:camera w14:prst="orthographicFront"/>
              <w14:lightRig w14:rig="threePt" w14:dir="t">
                <w14:rot w14:lat="0" w14:lon="0" w14:rev="0"/>
              </w14:lightRig>
            </w14:scene3d>
          </w:rPr>
          <w:t>4.5.2</w:t>
        </w:r>
        <w:r w:rsidR="00AF4812" w:rsidRPr="00ED2279">
          <w:rPr>
            <w:rFonts w:asciiTheme="minorHAnsi" w:eastAsiaTheme="minorEastAsia" w:hAnsiTheme="minorHAnsi" w:cstheme="minorBidi"/>
            <w:szCs w:val="22"/>
            <w:lang w:val="en-AU" w:eastAsia="en-AU"/>
          </w:rPr>
          <w:tab/>
        </w:r>
        <w:r w:rsidR="00AF4812" w:rsidRPr="00ED2279">
          <w:rPr>
            <w:rStyle w:val="Hyperlink"/>
          </w:rPr>
          <w:t>NSW Cyber Security Policy requirements</w:t>
        </w:r>
        <w:r w:rsidR="00AF4812" w:rsidRPr="00ED2279">
          <w:rPr>
            <w:webHidden/>
          </w:rPr>
          <w:tab/>
        </w:r>
        <w:r w:rsidR="00AF4812" w:rsidRPr="00E46FB0">
          <w:rPr>
            <w:webHidden/>
          </w:rPr>
          <w:fldChar w:fldCharType="begin"/>
        </w:r>
        <w:r w:rsidR="00AF4812" w:rsidRPr="00ED2279">
          <w:rPr>
            <w:webHidden/>
          </w:rPr>
          <w:instrText xml:space="preserve"> PAGEREF _Toc65760521 \h </w:instrText>
        </w:r>
        <w:r w:rsidR="00AF4812" w:rsidRPr="00ED2279">
          <w:rPr>
            <w:webHidden/>
          </w:rPr>
        </w:r>
        <w:r w:rsidR="00AF4812" w:rsidRPr="00ED2279">
          <w:rPr>
            <w:webHidden/>
          </w:rPr>
          <w:fldChar w:fldCharType="separate"/>
        </w:r>
        <w:r w:rsidR="00AF4812" w:rsidRPr="00ED2279">
          <w:rPr>
            <w:webHidden/>
          </w:rPr>
          <w:t>58</w:t>
        </w:r>
        <w:r w:rsidR="00AF4812" w:rsidRPr="00ED2279">
          <w:rPr>
            <w:webHidden/>
          </w:rPr>
          <w:fldChar w:fldCharType="end"/>
        </w:r>
      </w:hyperlink>
    </w:p>
    <w:p w14:paraId="416AA1FB" w14:textId="366B8C6D" w:rsidR="00AF4812" w:rsidRPr="00E46FB0" w:rsidRDefault="00084371">
      <w:pPr>
        <w:pStyle w:val="TOC3"/>
        <w:rPr>
          <w:rFonts w:asciiTheme="minorHAnsi" w:eastAsiaTheme="minorEastAsia" w:hAnsiTheme="minorHAnsi" w:cstheme="minorBidi"/>
          <w:szCs w:val="22"/>
          <w:lang w:val="en-AU" w:eastAsia="en-AU"/>
        </w:rPr>
      </w:pPr>
      <w:hyperlink w:anchor="_Toc65760522" w:history="1">
        <w:r w:rsidR="00AF4812" w:rsidRPr="00E46FB0">
          <w:rPr>
            <w:rStyle w:val="Hyperlink"/>
            <w14:scene3d>
              <w14:camera w14:prst="orthographicFront"/>
              <w14:lightRig w14:rig="threePt" w14:dir="t">
                <w14:rot w14:lat="0" w14:lon="0" w14:rev="0"/>
              </w14:lightRig>
            </w14:scene3d>
          </w:rPr>
          <w:t>4.5.3</w:t>
        </w:r>
        <w:r w:rsidR="00AF4812" w:rsidRPr="00ED2279">
          <w:rPr>
            <w:rFonts w:asciiTheme="minorHAnsi" w:eastAsiaTheme="minorEastAsia" w:hAnsiTheme="minorHAnsi" w:cstheme="minorBidi"/>
            <w:szCs w:val="22"/>
            <w:lang w:val="en-AU" w:eastAsia="en-AU"/>
          </w:rPr>
          <w:tab/>
        </w:r>
        <w:r w:rsidR="00AF4812" w:rsidRPr="00ED2279">
          <w:rPr>
            <w:rStyle w:val="Hyperlink"/>
          </w:rPr>
          <w:t>Challenges in securing IoT</w:t>
        </w:r>
        <w:r w:rsidR="00AF4812" w:rsidRPr="00ED2279">
          <w:rPr>
            <w:webHidden/>
          </w:rPr>
          <w:tab/>
        </w:r>
        <w:r w:rsidR="00AF4812" w:rsidRPr="00E46FB0">
          <w:rPr>
            <w:webHidden/>
          </w:rPr>
          <w:fldChar w:fldCharType="begin"/>
        </w:r>
        <w:r w:rsidR="00AF4812" w:rsidRPr="00ED2279">
          <w:rPr>
            <w:webHidden/>
          </w:rPr>
          <w:instrText xml:space="preserve"> PAGEREF _Toc65760522 \h </w:instrText>
        </w:r>
        <w:r w:rsidR="00AF4812" w:rsidRPr="00ED2279">
          <w:rPr>
            <w:webHidden/>
          </w:rPr>
        </w:r>
        <w:r w:rsidR="00AF4812" w:rsidRPr="00ED2279">
          <w:rPr>
            <w:webHidden/>
          </w:rPr>
          <w:fldChar w:fldCharType="separate"/>
        </w:r>
        <w:r w:rsidR="00AF4812" w:rsidRPr="00ED2279">
          <w:rPr>
            <w:webHidden/>
          </w:rPr>
          <w:t>59</w:t>
        </w:r>
        <w:r w:rsidR="00AF4812" w:rsidRPr="00ED2279">
          <w:rPr>
            <w:webHidden/>
          </w:rPr>
          <w:fldChar w:fldCharType="end"/>
        </w:r>
      </w:hyperlink>
    </w:p>
    <w:p w14:paraId="32D4F36D" w14:textId="57F494E1" w:rsidR="00AF4812" w:rsidRPr="00E46FB0" w:rsidRDefault="00084371">
      <w:pPr>
        <w:pStyle w:val="TOC3"/>
        <w:rPr>
          <w:rFonts w:asciiTheme="minorHAnsi" w:eastAsiaTheme="minorEastAsia" w:hAnsiTheme="minorHAnsi" w:cstheme="minorBidi"/>
          <w:szCs w:val="22"/>
          <w:lang w:val="en-AU" w:eastAsia="en-AU"/>
        </w:rPr>
      </w:pPr>
      <w:hyperlink w:anchor="_Toc65760523" w:history="1">
        <w:r w:rsidR="00AF4812" w:rsidRPr="00E46FB0">
          <w:rPr>
            <w:rStyle w:val="Hyperlink"/>
            <w14:scene3d>
              <w14:camera w14:prst="orthographicFront"/>
              <w14:lightRig w14:rig="threePt" w14:dir="t">
                <w14:rot w14:lat="0" w14:lon="0" w14:rev="0"/>
              </w14:lightRig>
            </w14:scene3d>
          </w:rPr>
          <w:t>4.5.4</w:t>
        </w:r>
        <w:r w:rsidR="00AF4812" w:rsidRPr="00ED2279">
          <w:rPr>
            <w:rFonts w:asciiTheme="minorHAnsi" w:eastAsiaTheme="minorEastAsia" w:hAnsiTheme="minorHAnsi" w:cstheme="minorBidi"/>
            <w:szCs w:val="22"/>
            <w:lang w:val="en-AU" w:eastAsia="en-AU"/>
          </w:rPr>
          <w:tab/>
        </w:r>
        <w:r w:rsidR="00AF4812" w:rsidRPr="00ED2279">
          <w:rPr>
            <w:rStyle w:val="Hyperlink"/>
          </w:rPr>
          <w:t>Vulnerabilities in consumer IoT devices</w:t>
        </w:r>
        <w:r w:rsidR="00AF4812" w:rsidRPr="00ED2279">
          <w:rPr>
            <w:webHidden/>
          </w:rPr>
          <w:tab/>
        </w:r>
        <w:r w:rsidR="00AF4812" w:rsidRPr="00E46FB0">
          <w:rPr>
            <w:webHidden/>
          </w:rPr>
          <w:fldChar w:fldCharType="begin"/>
        </w:r>
        <w:r w:rsidR="00AF4812" w:rsidRPr="00ED2279">
          <w:rPr>
            <w:webHidden/>
          </w:rPr>
          <w:instrText xml:space="preserve"> PAGEREF _Toc65760523 \h </w:instrText>
        </w:r>
        <w:r w:rsidR="00AF4812" w:rsidRPr="00ED2279">
          <w:rPr>
            <w:webHidden/>
          </w:rPr>
        </w:r>
        <w:r w:rsidR="00AF4812" w:rsidRPr="00ED2279">
          <w:rPr>
            <w:webHidden/>
          </w:rPr>
          <w:fldChar w:fldCharType="separate"/>
        </w:r>
        <w:r w:rsidR="00AF4812" w:rsidRPr="00ED2279">
          <w:rPr>
            <w:webHidden/>
          </w:rPr>
          <w:t>59</w:t>
        </w:r>
        <w:r w:rsidR="00AF4812" w:rsidRPr="00ED2279">
          <w:rPr>
            <w:webHidden/>
          </w:rPr>
          <w:fldChar w:fldCharType="end"/>
        </w:r>
      </w:hyperlink>
    </w:p>
    <w:p w14:paraId="2E8B5CE3" w14:textId="0A78B48A" w:rsidR="00AF4812" w:rsidRPr="00E46FB0" w:rsidRDefault="00084371">
      <w:pPr>
        <w:pStyle w:val="TOC3"/>
        <w:rPr>
          <w:rFonts w:asciiTheme="minorHAnsi" w:eastAsiaTheme="minorEastAsia" w:hAnsiTheme="minorHAnsi" w:cstheme="minorBidi"/>
          <w:szCs w:val="22"/>
          <w:lang w:val="en-AU" w:eastAsia="en-AU"/>
        </w:rPr>
      </w:pPr>
      <w:hyperlink w:anchor="_Toc65760524" w:history="1">
        <w:r w:rsidR="00AF4812" w:rsidRPr="00E46FB0">
          <w:rPr>
            <w:rStyle w:val="Hyperlink"/>
            <w14:scene3d>
              <w14:camera w14:prst="orthographicFront"/>
              <w14:lightRig w14:rig="threePt" w14:dir="t">
                <w14:rot w14:lat="0" w14:lon="0" w14:rev="0"/>
              </w14:lightRig>
            </w14:scene3d>
          </w:rPr>
          <w:t>4.5.5</w:t>
        </w:r>
        <w:r w:rsidR="00AF4812" w:rsidRPr="00ED2279">
          <w:rPr>
            <w:rFonts w:asciiTheme="minorHAnsi" w:eastAsiaTheme="minorEastAsia" w:hAnsiTheme="minorHAnsi" w:cstheme="minorBidi"/>
            <w:szCs w:val="22"/>
            <w:lang w:val="en-AU" w:eastAsia="en-AU"/>
          </w:rPr>
          <w:tab/>
        </w:r>
        <w:r w:rsidR="00AF4812" w:rsidRPr="00ED2279">
          <w:rPr>
            <w:rStyle w:val="Hyperlink"/>
          </w:rPr>
          <w:t>Cyber security guidance for organisations</w:t>
        </w:r>
        <w:r w:rsidR="00AF4812" w:rsidRPr="00ED2279">
          <w:rPr>
            <w:webHidden/>
          </w:rPr>
          <w:tab/>
        </w:r>
        <w:r w:rsidR="00AF4812" w:rsidRPr="00E46FB0">
          <w:rPr>
            <w:webHidden/>
          </w:rPr>
          <w:fldChar w:fldCharType="begin"/>
        </w:r>
        <w:r w:rsidR="00AF4812" w:rsidRPr="00ED2279">
          <w:rPr>
            <w:webHidden/>
          </w:rPr>
          <w:instrText xml:space="preserve"> PAGEREF _Toc65760524 \h </w:instrText>
        </w:r>
        <w:r w:rsidR="00AF4812" w:rsidRPr="00ED2279">
          <w:rPr>
            <w:webHidden/>
          </w:rPr>
        </w:r>
        <w:r w:rsidR="00AF4812" w:rsidRPr="00ED2279">
          <w:rPr>
            <w:webHidden/>
          </w:rPr>
          <w:fldChar w:fldCharType="separate"/>
        </w:r>
        <w:r w:rsidR="00AF4812" w:rsidRPr="00ED2279">
          <w:rPr>
            <w:webHidden/>
          </w:rPr>
          <w:t>62</w:t>
        </w:r>
        <w:r w:rsidR="00AF4812" w:rsidRPr="00ED2279">
          <w:rPr>
            <w:webHidden/>
          </w:rPr>
          <w:fldChar w:fldCharType="end"/>
        </w:r>
      </w:hyperlink>
    </w:p>
    <w:p w14:paraId="33774476" w14:textId="43C42AF9" w:rsidR="00AF4812" w:rsidRPr="00E46FB0" w:rsidRDefault="00084371">
      <w:pPr>
        <w:pStyle w:val="TOC2"/>
        <w:rPr>
          <w:rFonts w:asciiTheme="minorHAnsi" w:eastAsiaTheme="minorEastAsia" w:hAnsiTheme="minorHAnsi" w:cstheme="minorBidi"/>
          <w:szCs w:val="22"/>
          <w:lang w:val="en-AU" w:eastAsia="en-AU"/>
        </w:rPr>
      </w:pPr>
      <w:hyperlink w:anchor="_Toc65760525" w:history="1">
        <w:r w:rsidR="00AF4812" w:rsidRPr="00E46FB0">
          <w:rPr>
            <w:rStyle w:val="Hyperlink"/>
            <w14:scene3d>
              <w14:camera w14:prst="orthographicFront"/>
              <w14:lightRig w14:rig="threePt" w14:dir="t">
                <w14:rot w14:lat="0" w14:lon="0" w14:rev="0"/>
              </w14:lightRig>
            </w14:scene3d>
          </w:rPr>
          <w:t>4.6</w:t>
        </w:r>
        <w:r w:rsidR="00AF4812" w:rsidRPr="00ED2279">
          <w:rPr>
            <w:rFonts w:asciiTheme="minorHAnsi" w:eastAsiaTheme="minorEastAsia" w:hAnsiTheme="minorHAnsi" w:cstheme="minorBidi"/>
            <w:szCs w:val="22"/>
            <w:lang w:val="en-AU" w:eastAsia="en-AU"/>
          </w:rPr>
          <w:tab/>
        </w:r>
        <w:r w:rsidR="00AF4812" w:rsidRPr="00ED2279">
          <w:rPr>
            <w:rStyle w:val="Hyperlink"/>
          </w:rPr>
          <w:t>Data obligations – open, shared and closed data</w:t>
        </w:r>
        <w:r w:rsidR="00AF4812" w:rsidRPr="00ED2279">
          <w:rPr>
            <w:webHidden/>
          </w:rPr>
          <w:tab/>
        </w:r>
        <w:r w:rsidR="00AF4812" w:rsidRPr="00E46FB0">
          <w:rPr>
            <w:webHidden/>
          </w:rPr>
          <w:fldChar w:fldCharType="begin"/>
        </w:r>
        <w:r w:rsidR="00AF4812" w:rsidRPr="00ED2279">
          <w:rPr>
            <w:webHidden/>
          </w:rPr>
          <w:instrText xml:space="preserve"> PAGEREF _Toc65760525 \h </w:instrText>
        </w:r>
        <w:r w:rsidR="00AF4812" w:rsidRPr="00ED2279">
          <w:rPr>
            <w:webHidden/>
          </w:rPr>
        </w:r>
        <w:r w:rsidR="00AF4812" w:rsidRPr="00ED2279">
          <w:rPr>
            <w:webHidden/>
          </w:rPr>
          <w:fldChar w:fldCharType="separate"/>
        </w:r>
        <w:r w:rsidR="00AF4812" w:rsidRPr="00ED2279">
          <w:rPr>
            <w:webHidden/>
          </w:rPr>
          <w:t>66</w:t>
        </w:r>
        <w:r w:rsidR="00AF4812" w:rsidRPr="00ED2279">
          <w:rPr>
            <w:webHidden/>
          </w:rPr>
          <w:fldChar w:fldCharType="end"/>
        </w:r>
      </w:hyperlink>
    </w:p>
    <w:p w14:paraId="018A2E19" w14:textId="390CC364" w:rsidR="00AF4812" w:rsidRPr="00E46FB0" w:rsidRDefault="00084371">
      <w:pPr>
        <w:pStyle w:val="TOC3"/>
        <w:rPr>
          <w:rFonts w:asciiTheme="minorHAnsi" w:eastAsiaTheme="minorEastAsia" w:hAnsiTheme="minorHAnsi" w:cstheme="minorBidi"/>
          <w:szCs w:val="22"/>
          <w:lang w:val="en-AU" w:eastAsia="en-AU"/>
        </w:rPr>
      </w:pPr>
      <w:hyperlink w:anchor="_Toc65760526" w:history="1">
        <w:r w:rsidR="00AF4812" w:rsidRPr="00E46FB0">
          <w:rPr>
            <w:rStyle w:val="Hyperlink"/>
            <w14:scene3d>
              <w14:camera w14:prst="orthographicFront"/>
              <w14:lightRig w14:rig="threePt" w14:dir="t">
                <w14:rot w14:lat="0" w14:lon="0" w14:rev="0"/>
              </w14:lightRig>
            </w14:scene3d>
          </w:rPr>
          <w:t>4.6.1</w:t>
        </w:r>
        <w:r w:rsidR="00AF4812" w:rsidRPr="00ED2279">
          <w:rPr>
            <w:rFonts w:asciiTheme="minorHAnsi" w:eastAsiaTheme="minorEastAsia" w:hAnsiTheme="minorHAnsi" w:cstheme="minorBidi"/>
            <w:szCs w:val="22"/>
            <w:lang w:val="en-AU" w:eastAsia="en-AU"/>
          </w:rPr>
          <w:tab/>
        </w:r>
        <w:r w:rsidR="00AF4812" w:rsidRPr="00ED2279">
          <w:rPr>
            <w:rStyle w:val="Hyperlink"/>
          </w:rPr>
          <w:t>Open data</w:t>
        </w:r>
        <w:r w:rsidR="00AF4812" w:rsidRPr="00ED2279">
          <w:rPr>
            <w:webHidden/>
          </w:rPr>
          <w:tab/>
        </w:r>
        <w:r w:rsidR="00AF4812" w:rsidRPr="00E46FB0">
          <w:rPr>
            <w:webHidden/>
          </w:rPr>
          <w:fldChar w:fldCharType="begin"/>
        </w:r>
        <w:r w:rsidR="00AF4812" w:rsidRPr="00ED2279">
          <w:rPr>
            <w:webHidden/>
          </w:rPr>
          <w:instrText xml:space="preserve"> PAGEREF _Toc65760526 \h </w:instrText>
        </w:r>
        <w:r w:rsidR="00AF4812" w:rsidRPr="00ED2279">
          <w:rPr>
            <w:webHidden/>
          </w:rPr>
        </w:r>
        <w:r w:rsidR="00AF4812" w:rsidRPr="00ED2279">
          <w:rPr>
            <w:webHidden/>
          </w:rPr>
          <w:fldChar w:fldCharType="separate"/>
        </w:r>
        <w:r w:rsidR="00AF4812" w:rsidRPr="00ED2279">
          <w:rPr>
            <w:webHidden/>
          </w:rPr>
          <w:t>66</w:t>
        </w:r>
        <w:r w:rsidR="00AF4812" w:rsidRPr="00ED2279">
          <w:rPr>
            <w:webHidden/>
          </w:rPr>
          <w:fldChar w:fldCharType="end"/>
        </w:r>
      </w:hyperlink>
    </w:p>
    <w:p w14:paraId="2D1736A5" w14:textId="5B54133E" w:rsidR="00AF4812" w:rsidRPr="00E46FB0" w:rsidRDefault="00084371">
      <w:pPr>
        <w:pStyle w:val="TOC3"/>
        <w:rPr>
          <w:rFonts w:asciiTheme="minorHAnsi" w:eastAsiaTheme="minorEastAsia" w:hAnsiTheme="minorHAnsi" w:cstheme="minorBidi"/>
          <w:szCs w:val="22"/>
          <w:lang w:val="en-AU" w:eastAsia="en-AU"/>
        </w:rPr>
      </w:pPr>
      <w:hyperlink w:anchor="_Toc65760527" w:history="1">
        <w:r w:rsidR="00AF4812" w:rsidRPr="00E46FB0">
          <w:rPr>
            <w:rStyle w:val="Hyperlink"/>
            <w14:scene3d>
              <w14:camera w14:prst="orthographicFront"/>
              <w14:lightRig w14:rig="threePt" w14:dir="t">
                <w14:rot w14:lat="0" w14:lon="0" w14:rev="0"/>
              </w14:lightRig>
            </w14:scene3d>
          </w:rPr>
          <w:t>4.6.2</w:t>
        </w:r>
        <w:r w:rsidR="00AF4812" w:rsidRPr="00ED2279">
          <w:rPr>
            <w:rFonts w:asciiTheme="minorHAnsi" w:eastAsiaTheme="minorEastAsia" w:hAnsiTheme="minorHAnsi" w:cstheme="minorBidi"/>
            <w:szCs w:val="22"/>
            <w:lang w:val="en-AU" w:eastAsia="en-AU"/>
          </w:rPr>
          <w:tab/>
        </w:r>
        <w:r w:rsidR="00AF4812" w:rsidRPr="00ED2279">
          <w:rPr>
            <w:rStyle w:val="Hyperlink"/>
          </w:rPr>
          <w:t>Shared data</w:t>
        </w:r>
        <w:r w:rsidR="00AF4812" w:rsidRPr="00ED2279">
          <w:rPr>
            <w:webHidden/>
          </w:rPr>
          <w:tab/>
        </w:r>
        <w:r w:rsidR="00AF4812" w:rsidRPr="00E46FB0">
          <w:rPr>
            <w:webHidden/>
          </w:rPr>
          <w:fldChar w:fldCharType="begin"/>
        </w:r>
        <w:r w:rsidR="00AF4812" w:rsidRPr="00ED2279">
          <w:rPr>
            <w:webHidden/>
          </w:rPr>
          <w:instrText xml:space="preserve"> PAGEREF _Toc65760527 \h </w:instrText>
        </w:r>
        <w:r w:rsidR="00AF4812" w:rsidRPr="00ED2279">
          <w:rPr>
            <w:webHidden/>
          </w:rPr>
        </w:r>
        <w:r w:rsidR="00AF4812" w:rsidRPr="00ED2279">
          <w:rPr>
            <w:webHidden/>
          </w:rPr>
          <w:fldChar w:fldCharType="separate"/>
        </w:r>
        <w:r w:rsidR="00AF4812" w:rsidRPr="00ED2279">
          <w:rPr>
            <w:webHidden/>
          </w:rPr>
          <w:t>66</w:t>
        </w:r>
        <w:r w:rsidR="00AF4812" w:rsidRPr="00ED2279">
          <w:rPr>
            <w:webHidden/>
          </w:rPr>
          <w:fldChar w:fldCharType="end"/>
        </w:r>
      </w:hyperlink>
    </w:p>
    <w:p w14:paraId="6E982F4E" w14:textId="063DB894" w:rsidR="00AF4812" w:rsidRPr="00E46FB0" w:rsidRDefault="00084371">
      <w:pPr>
        <w:pStyle w:val="TOC3"/>
        <w:rPr>
          <w:rFonts w:asciiTheme="minorHAnsi" w:eastAsiaTheme="minorEastAsia" w:hAnsiTheme="minorHAnsi" w:cstheme="minorBidi"/>
          <w:szCs w:val="22"/>
          <w:lang w:val="en-AU" w:eastAsia="en-AU"/>
        </w:rPr>
      </w:pPr>
      <w:hyperlink w:anchor="_Toc65760528" w:history="1">
        <w:r w:rsidR="00AF4812" w:rsidRPr="00E46FB0">
          <w:rPr>
            <w:rStyle w:val="Hyperlink"/>
            <w14:scene3d>
              <w14:camera w14:prst="orthographicFront"/>
              <w14:lightRig w14:rig="threePt" w14:dir="t">
                <w14:rot w14:lat="0" w14:lon="0" w14:rev="0"/>
              </w14:lightRig>
            </w14:scene3d>
          </w:rPr>
          <w:t>4.6.3</w:t>
        </w:r>
        <w:r w:rsidR="00AF4812" w:rsidRPr="00ED2279">
          <w:rPr>
            <w:rFonts w:asciiTheme="minorHAnsi" w:eastAsiaTheme="minorEastAsia" w:hAnsiTheme="minorHAnsi" w:cstheme="minorBidi"/>
            <w:szCs w:val="22"/>
            <w:lang w:val="en-AU" w:eastAsia="en-AU"/>
          </w:rPr>
          <w:tab/>
        </w:r>
        <w:r w:rsidR="00AF4812" w:rsidRPr="00ED2279">
          <w:rPr>
            <w:rStyle w:val="Hyperlink"/>
          </w:rPr>
          <w:t>Closed data</w:t>
        </w:r>
        <w:r w:rsidR="00AF4812" w:rsidRPr="00ED2279">
          <w:rPr>
            <w:webHidden/>
          </w:rPr>
          <w:tab/>
        </w:r>
        <w:r w:rsidR="00AF4812" w:rsidRPr="00E46FB0">
          <w:rPr>
            <w:webHidden/>
          </w:rPr>
          <w:fldChar w:fldCharType="begin"/>
        </w:r>
        <w:r w:rsidR="00AF4812" w:rsidRPr="00ED2279">
          <w:rPr>
            <w:webHidden/>
          </w:rPr>
          <w:instrText xml:space="preserve"> PAGEREF _Toc65760528 \h </w:instrText>
        </w:r>
        <w:r w:rsidR="00AF4812" w:rsidRPr="00ED2279">
          <w:rPr>
            <w:webHidden/>
          </w:rPr>
        </w:r>
        <w:r w:rsidR="00AF4812" w:rsidRPr="00ED2279">
          <w:rPr>
            <w:webHidden/>
          </w:rPr>
          <w:fldChar w:fldCharType="separate"/>
        </w:r>
        <w:r w:rsidR="00AF4812" w:rsidRPr="00ED2279">
          <w:rPr>
            <w:webHidden/>
          </w:rPr>
          <w:t>67</w:t>
        </w:r>
        <w:r w:rsidR="00AF4812" w:rsidRPr="00ED2279">
          <w:rPr>
            <w:webHidden/>
          </w:rPr>
          <w:fldChar w:fldCharType="end"/>
        </w:r>
      </w:hyperlink>
    </w:p>
    <w:p w14:paraId="5F5BC719" w14:textId="3854F1BA" w:rsidR="00AF4812" w:rsidRPr="00E46FB0" w:rsidRDefault="00084371">
      <w:pPr>
        <w:pStyle w:val="TOC2"/>
        <w:rPr>
          <w:rFonts w:asciiTheme="minorHAnsi" w:eastAsiaTheme="minorEastAsia" w:hAnsiTheme="minorHAnsi" w:cstheme="minorBidi"/>
          <w:szCs w:val="22"/>
          <w:lang w:val="en-AU" w:eastAsia="en-AU"/>
        </w:rPr>
      </w:pPr>
      <w:hyperlink w:anchor="_Toc65760529" w:history="1">
        <w:r w:rsidR="00AF4812" w:rsidRPr="00E46FB0">
          <w:rPr>
            <w:rStyle w:val="Hyperlink"/>
            <w14:scene3d>
              <w14:camera w14:prst="orthographicFront"/>
              <w14:lightRig w14:rig="threePt" w14:dir="t">
                <w14:rot w14:lat="0" w14:lon="0" w14:rev="0"/>
              </w14:lightRig>
            </w14:scene3d>
          </w:rPr>
          <w:t>4.7</w:t>
        </w:r>
        <w:r w:rsidR="00AF4812" w:rsidRPr="00ED2279">
          <w:rPr>
            <w:rFonts w:asciiTheme="minorHAnsi" w:eastAsiaTheme="minorEastAsia" w:hAnsiTheme="minorHAnsi" w:cstheme="minorBidi"/>
            <w:szCs w:val="22"/>
            <w:lang w:val="en-AU" w:eastAsia="en-AU"/>
          </w:rPr>
          <w:tab/>
        </w:r>
        <w:r w:rsidR="00AF4812" w:rsidRPr="00ED2279">
          <w:rPr>
            <w:rStyle w:val="Hyperlink"/>
          </w:rPr>
          <w:t>Technology for IoT</w:t>
        </w:r>
        <w:r w:rsidR="00AF4812" w:rsidRPr="00ED2279">
          <w:rPr>
            <w:webHidden/>
          </w:rPr>
          <w:tab/>
        </w:r>
        <w:r w:rsidR="00AF4812" w:rsidRPr="00E46FB0">
          <w:rPr>
            <w:webHidden/>
          </w:rPr>
          <w:fldChar w:fldCharType="begin"/>
        </w:r>
        <w:r w:rsidR="00AF4812" w:rsidRPr="00ED2279">
          <w:rPr>
            <w:webHidden/>
          </w:rPr>
          <w:instrText xml:space="preserve"> PAGEREF _Toc65760529 \h </w:instrText>
        </w:r>
        <w:r w:rsidR="00AF4812" w:rsidRPr="00ED2279">
          <w:rPr>
            <w:webHidden/>
          </w:rPr>
        </w:r>
        <w:r w:rsidR="00AF4812" w:rsidRPr="00ED2279">
          <w:rPr>
            <w:webHidden/>
          </w:rPr>
          <w:fldChar w:fldCharType="separate"/>
        </w:r>
        <w:r w:rsidR="00AF4812" w:rsidRPr="00ED2279">
          <w:rPr>
            <w:webHidden/>
          </w:rPr>
          <w:t>69</w:t>
        </w:r>
        <w:r w:rsidR="00AF4812" w:rsidRPr="00ED2279">
          <w:rPr>
            <w:webHidden/>
          </w:rPr>
          <w:fldChar w:fldCharType="end"/>
        </w:r>
      </w:hyperlink>
    </w:p>
    <w:p w14:paraId="5EF1E0C6" w14:textId="0A93BBA8" w:rsidR="00AF4812" w:rsidRPr="00E46FB0" w:rsidRDefault="00084371">
      <w:pPr>
        <w:pStyle w:val="TOC3"/>
        <w:rPr>
          <w:rFonts w:asciiTheme="minorHAnsi" w:eastAsiaTheme="minorEastAsia" w:hAnsiTheme="minorHAnsi" w:cstheme="minorBidi"/>
          <w:szCs w:val="22"/>
          <w:lang w:val="en-AU" w:eastAsia="en-AU"/>
        </w:rPr>
      </w:pPr>
      <w:hyperlink w:anchor="_Toc65760530" w:history="1">
        <w:r w:rsidR="00AF4812" w:rsidRPr="00E46FB0">
          <w:rPr>
            <w:rStyle w:val="Hyperlink"/>
            <w14:scene3d>
              <w14:camera w14:prst="orthographicFront"/>
              <w14:lightRig w14:rig="threePt" w14:dir="t">
                <w14:rot w14:lat="0" w14:lon="0" w14:rev="0"/>
              </w14:lightRig>
            </w14:scene3d>
          </w:rPr>
          <w:t>4.7.1</w:t>
        </w:r>
        <w:r w:rsidR="00AF4812" w:rsidRPr="00ED2279">
          <w:rPr>
            <w:rFonts w:asciiTheme="minorHAnsi" w:eastAsiaTheme="minorEastAsia" w:hAnsiTheme="minorHAnsi" w:cstheme="minorBidi"/>
            <w:szCs w:val="22"/>
            <w:lang w:val="en-AU" w:eastAsia="en-AU"/>
          </w:rPr>
          <w:tab/>
        </w:r>
        <w:r w:rsidR="00AF4812" w:rsidRPr="00ED2279">
          <w:rPr>
            <w:rStyle w:val="Hyperlink"/>
          </w:rPr>
          <w:t>IoT architecture</w:t>
        </w:r>
        <w:r w:rsidR="00AF4812" w:rsidRPr="00ED2279">
          <w:rPr>
            <w:webHidden/>
          </w:rPr>
          <w:tab/>
        </w:r>
        <w:r w:rsidR="00AF4812" w:rsidRPr="00E46FB0">
          <w:rPr>
            <w:webHidden/>
          </w:rPr>
          <w:fldChar w:fldCharType="begin"/>
        </w:r>
        <w:r w:rsidR="00AF4812" w:rsidRPr="00ED2279">
          <w:rPr>
            <w:webHidden/>
          </w:rPr>
          <w:instrText xml:space="preserve"> PAGEREF _Toc65760530 \h </w:instrText>
        </w:r>
        <w:r w:rsidR="00AF4812" w:rsidRPr="00ED2279">
          <w:rPr>
            <w:webHidden/>
          </w:rPr>
        </w:r>
        <w:r w:rsidR="00AF4812" w:rsidRPr="00ED2279">
          <w:rPr>
            <w:webHidden/>
          </w:rPr>
          <w:fldChar w:fldCharType="separate"/>
        </w:r>
        <w:r w:rsidR="00AF4812" w:rsidRPr="00ED2279">
          <w:rPr>
            <w:webHidden/>
          </w:rPr>
          <w:t>69</w:t>
        </w:r>
        <w:r w:rsidR="00AF4812" w:rsidRPr="00ED2279">
          <w:rPr>
            <w:webHidden/>
          </w:rPr>
          <w:fldChar w:fldCharType="end"/>
        </w:r>
      </w:hyperlink>
    </w:p>
    <w:p w14:paraId="0048EBD8" w14:textId="522FB5D5" w:rsidR="00AF4812" w:rsidRPr="00E46FB0" w:rsidRDefault="00084371">
      <w:pPr>
        <w:pStyle w:val="TOC3"/>
        <w:rPr>
          <w:rFonts w:asciiTheme="minorHAnsi" w:eastAsiaTheme="minorEastAsia" w:hAnsiTheme="minorHAnsi" w:cstheme="minorBidi"/>
          <w:szCs w:val="22"/>
          <w:lang w:val="en-AU" w:eastAsia="en-AU"/>
        </w:rPr>
      </w:pPr>
      <w:hyperlink w:anchor="_Toc65760531" w:history="1">
        <w:r w:rsidR="00AF4812" w:rsidRPr="00E46FB0">
          <w:rPr>
            <w:rStyle w:val="Hyperlink"/>
            <w14:scene3d>
              <w14:camera w14:prst="orthographicFront"/>
              <w14:lightRig w14:rig="threePt" w14:dir="t">
                <w14:rot w14:lat="0" w14:lon="0" w14:rev="0"/>
              </w14:lightRig>
            </w14:scene3d>
          </w:rPr>
          <w:t>4.7.2</w:t>
        </w:r>
        <w:r w:rsidR="00AF4812" w:rsidRPr="00ED2279">
          <w:rPr>
            <w:rFonts w:asciiTheme="minorHAnsi" w:eastAsiaTheme="minorEastAsia" w:hAnsiTheme="minorHAnsi" w:cstheme="minorBidi"/>
            <w:szCs w:val="22"/>
            <w:lang w:val="en-AU" w:eastAsia="en-AU"/>
          </w:rPr>
          <w:tab/>
        </w:r>
        <w:r w:rsidR="00AF4812" w:rsidRPr="00ED2279">
          <w:rPr>
            <w:rStyle w:val="Hyperlink"/>
          </w:rPr>
          <w:t>Requirements in designing your architecture</w:t>
        </w:r>
        <w:r w:rsidR="00AF4812" w:rsidRPr="00ED2279">
          <w:rPr>
            <w:webHidden/>
          </w:rPr>
          <w:tab/>
        </w:r>
        <w:r w:rsidR="00AF4812" w:rsidRPr="00E46FB0">
          <w:rPr>
            <w:webHidden/>
          </w:rPr>
          <w:fldChar w:fldCharType="begin"/>
        </w:r>
        <w:r w:rsidR="00AF4812" w:rsidRPr="00ED2279">
          <w:rPr>
            <w:webHidden/>
          </w:rPr>
          <w:instrText xml:space="preserve"> PAGEREF _Toc65760531 \h </w:instrText>
        </w:r>
        <w:r w:rsidR="00AF4812" w:rsidRPr="00ED2279">
          <w:rPr>
            <w:webHidden/>
          </w:rPr>
        </w:r>
        <w:r w:rsidR="00AF4812" w:rsidRPr="00ED2279">
          <w:rPr>
            <w:webHidden/>
          </w:rPr>
          <w:fldChar w:fldCharType="separate"/>
        </w:r>
        <w:r w:rsidR="00AF4812" w:rsidRPr="00ED2279">
          <w:rPr>
            <w:webHidden/>
          </w:rPr>
          <w:t>69</w:t>
        </w:r>
        <w:r w:rsidR="00AF4812" w:rsidRPr="00ED2279">
          <w:rPr>
            <w:webHidden/>
          </w:rPr>
          <w:fldChar w:fldCharType="end"/>
        </w:r>
      </w:hyperlink>
    </w:p>
    <w:p w14:paraId="088C5DC4" w14:textId="69F29392" w:rsidR="00AF4812" w:rsidRPr="00E46FB0" w:rsidRDefault="00084371">
      <w:pPr>
        <w:pStyle w:val="TOC3"/>
        <w:rPr>
          <w:rFonts w:asciiTheme="minorHAnsi" w:eastAsiaTheme="minorEastAsia" w:hAnsiTheme="minorHAnsi" w:cstheme="minorBidi"/>
          <w:szCs w:val="22"/>
          <w:lang w:val="en-AU" w:eastAsia="en-AU"/>
        </w:rPr>
      </w:pPr>
      <w:hyperlink w:anchor="_Toc65760532" w:history="1">
        <w:r w:rsidR="00AF4812" w:rsidRPr="00E46FB0">
          <w:rPr>
            <w:rStyle w:val="Hyperlink"/>
            <w14:scene3d>
              <w14:camera w14:prst="orthographicFront"/>
              <w14:lightRig w14:rig="threePt" w14:dir="t">
                <w14:rot w14:lat="0" w14:lon="0" w14:rev="0"/>
              </w14:lightRig>
            </w14:scene3d>
          </w:rPr>
          <w:t>4.7.3</w:t>
        </w:r>
        <w:r w:rsidR="00AF4812" w:rsidRPr="00ED2279">
          <w:rPr>
            <w:rFonts w:asciiTheme="minorHAnsi" w:eastAsiaTheme="minorEastAsia" w:hAnsiTheme="minorHAnsi" w:cstheme="minorBidi"/>
            <w:szCs w:val="22"/>
            <w:lang w:val="en-AU" w:eastAsia="en-AU"/>
          </w:rPr>
          <w:tab/>
        </w:r>
        <w:r w:rsidR="00AF4812" w:rsidRPr="00ED2279">
          <w:rPr>
            <w:rStyle w:val="Hyperlink"/>
          </w:rPr>
          <w:t>The importance of interoperability in IoT solutions</w:t>
        </w:r>
        <w:r w:rsidR="00AF4812" w:rsidRPr="00ED2279">
          <w:rPr>
            <w:webHidden/>
          </w:rPr>
          <w:tab/>
        </w:r>
        <w:r w:rsidR="00AF4812" w:rsidRPr="00E46FB0">
          <w:rPr>
            <w:webHidden/>
          </w:rPr>
          <w:fldChar w:fldCharType="begin"/>
        </w:r>
        <w:r w:rsidR="00AF4812" w:rsidRPr="00ED2279">
          <w:rPr>
            <w:webHidden/>
          </w:rPr>
          <w:instrText xml:space="preserve"> PAGEREF _Toc65760532 \h </w:instrText>
        </w:r>
        <w:r w:rsidR="00AF4812" w:rsidRPr="00ED2279">
          <w:rPr>
            <w:webHidden/>
          </w:rPr>
        </w:r>
        <w:r w:rsidR="00AF4812" w:rsidRPr="00ED2279">
          <w:rPr>
            <w:webHidden/>
          </w:rPr>
          <w:fldChar w:fldCharType="separate"/>
        </w:r>
        <w:r w:rsidR="00AF4812" w:rsidRPr="00ED2279">
          <w:rPr>
            <w:webHidden/>
          </w:rPr>
          <w:t>71</w:t>
        </w:r>
        <w:r w:rsidR="00AF4812" w:rsidRPr="00ED2279">
          <w:rPr>
            <w:webHidden/>
          </w:rPr>
          <w:fldChar w:fldCharType="end"/>
        </w:r>
      </w:hyperlink>
    </w:p>
    <w:p w14:paraId="0BF5E6B3" w14:textId="5FD99F4A" w:rsidR="00AF4812" w:rsidRPr="00E46FB0" w:rsidRDefault="00084371">
      <w:pPr>
        <w:pStyle w:val="TOC3"/>
        <w:rPr>
          <w:rFonts w:asciiTheme="minorHAnsi" w:eastAsiaTheme="minorEastAsia" w:hAnsiTheme="minorHAnsi" w:cstheme="minorBidi"/>
          <w:szCs w:val="22"/>
          <w:lang w:val="en-AU" w:eastAsia="en-AU"/>
        </w:rPr>
      </w:pPr>
      <w:hyperlink w:anchor="_Toc65760533" w:history="1">
        <w:r w:rsidR="00AF4812" w:rsidRPr="00E46FB0">
          <w:rPr>
            <w:rStyle w:val="Hyperlink"/>
            <w14:scene3d>
              <w14:camera w14:prst="orthographicFront"/>
              <w14:lightRig w14:rig="threePt" w14:dir="t">
                <w14:rot w14:lat="0" w14:lon="0" w14:rev="0"/>
              </w14:lightRig>
            </w14:scene3d>
          </w:rPr>
          <w:t>4.7.4</w:t>
        </w:r>
        <w:r w:rsidR="00AF4812" w:rsidRPr="00ED2279">
          <w:rPr>
            <w:rFonts w:asciiTheme="minorHAnsi" w:eastAsiaTheme="minorEastAsia" w:hAnsiTheme="minorHAnsi" w:cstheme="minorBidi"/>
            <w:szCs w:val="22"/>
            <w:lang w:val="en-AU" w:eastAsia="en-AU"/>
          </w:rPr>
          <w:tab/>
        </w:r>
        <w:r w:rsidR="00AF4812" w:rsidRPr="00ED2279">
          <w:rPr>
            <w:rStyle w:val="Hyperlink"/>
          </w:rPr>
          <w:t>‘What technology do I want or need?’ – Things to consider</w:t>
        </w:r>
        <w:r w:rsidR="00AF4812" w:rsidRPr="00ED2279">
          <w:rPr>
            <w:webHidden/>
          </w:rPr>
          <w:tab/>
        </w:r>
        <w:r w:rsidR="00AF4812" w:rsidRPr="00E46FB0">
          <w:rPr>
            <w:webHidden/>
          </w:rPr>
          <w:fldChar w:fldCharType="begin"/>
        </w:r>
        <w:r w:rsidR="00AF4812" w:rsidRPr="00ED2279">
          <w:rPr>
            <w:webHidden/>
          </w:rPr>
          <w:instrText xml:space="preserve"> PAGEREF _Toc65760533 \h </w:instrText>
        </w:r>
        <w:r w:rsidR="00AF4812" w:rsidRPr="00ED2279">
          <w:rPr>
            <w:webHidden/>
          </w:rPr>
        </w:r>
        <w:r w:rsidR="00AF4812" w:rsidRPr="00ED2279">
          <w:rPr>
            <w:webHidden/>
          </w:rPr>
          <w:fldChar w:fldCharType="separate"/>
        </w:r>
        <w:r w:rsidR="00AF4812" w:rsidRPr="00ED2279">
          <w:rPr>
            <w:webHidden/>
          </w:rPr>
          <w:t>72</w:t>
        </w:r>
        <w:r w:rsidR="00AF4812" w:rsidRPr="00ED2279">
          <w:rPr>
            <w:webHidden/>
          </w:rPr>
          <w:fldChar w:fldCharType="end"/>
        </w:r>
      </w:hyperlink>
    </w:p>
    <w:p w14:paraId="73A00F3F" w14:textId="56575727" w:rsidR="00AF4812" w:rsidRPr="00E46FB0" w:rsidRDefault="00084371">
      <w:pPr>
        <w:pStyle w:val="TOC2"/>
        <w:rPr>
          <w:rFonts w:asciiTheme="minorHAnsi" w:eastAsiaTheme="minorEastAsia" w:hAnsiTheme="minorHAnsi" w:cstheme="minorBidi"/>
          <w:szCs w:val="22"/>
          <w:lang w:val="en-AU" w:eastAsia="en-AU"/>
        </w:rPr>
      </w:pPr>
      <w:hyperlink w:anchor="_Toc65760534" w:history="1">
        <w:r w:rsidR="00AF4812" w:rsidRPr="00E46FB0">
          <w:rPr>
            <w:rStyle w:val="Hyperlink"/>
            <w14:scene3d>
              <w14:camera w14:prst="orthographicFront"/>
              <w14:lightRig w14:rig="threePt" w14:dir="t">
                <w14:rot w14:lat="0" w14:lon="0" w14:rev="0"/>
              </w14:lightRig>
            </w14:scene3d>
          </w:rPr>
          <w:t>4.8</w:t>
        </w:r>
        <w:r w:rsidR="00AF4812" w:rsidRPr="00ED2279">
          <w:rPr>
            <w:rFonts w:asciiTheme="minorHAnsi" w:eastAsiaTheme="minorEastAsia" w:hAnsiTheme="minorHAnsi" w:cstheme="minorBidi"/>
            <w:szCs w:val="22"/>
            <w:lang w:val="en-AU" w:eastAsia="en-AU"/>
          </w:rPr>
          <w:tab/>
        </w:r>
        <w:r w:rsidR="00AF4812" w:rsidRPr="00ED2279">
          <w:rPr>
            <w:rStyle w:val="Hyperlink"/>
          </w:rPr>
          <w:t>Assurance</w:t>
        </w:r>
        <w:r w:rsidR="00AF4812" w:rsidRPr="00ED2279">
          <w:rPr>
            <w:webHidden/>
          </w:rPr>
          <w:tab/>
        </w:r>
        <w:r w:rsidR="00AF4812" w:rsidRPr="00E46FB0">
          <w:rPr>
            <w:webHidden/>
          </w:rPr>
          <w:fldChar w:fldCharType="begin"/>
        </w:r>
        <w:r w:rsidR="00AF4812" w:rsidRPr="00ED2279">
          <w:rPr>
            <w:webHidden/>
          </w:rPr>
          <w:instrText xml:space="preserve"> PAGEREF _Toc65760534 \h </w:instrText>
        </w:r>
        <w:r w:rsidR="00AF4812" w:rsidRPr="00ED2279">
          <w:rPr>
            <w:webHidden/>
          </w:rPr>
        </w:r>
        <w:r w:rsidR="00AF4812" w:rsidRPr="00ED2279">
          <w:rPr>
            <w:webHidden/>
          </w:rPr>
          <w:fldChar w:fldCharType="separate"/>
        </w:r>
        <w:r w:rsidR="00AF4812" w:rsidRPr="00ED2279">
          <w:rPr>
            <w:webHidden/>
          </w:rPr>
          <w:t>83</w:t>
        </w:r>
        <w:r w:rsidR="00AF4812" w:rsidRPr="00ED2279">
          <w:rPr>
            <w:webHidden/>
          </w:rPr>
          <w:fldChar w:fldCharType="end"/>
        </w:r>
      </w:hyperlink>
    </w:p>
    <w:p w14:paraId="63612DC1" w14:textId="6EA79908" w:rsidR="00AF4812" w:rsidRPr="00E46FB0" w:rsidRDefault="00084371">
      <w:pPr>
        <w:pStyle w:val="TOC3"/>
        <w:rPr>
          <w:rFonts w:asciiTheme="minorHAnsi" w:eastAsiaTheme="minorEastAsia" w:hAnsiTheme="minorHAnsi" w:cstheme="minorBidi"/>
          <w:szCs w:val="22"/>
          <w:lang w:val="en-AU" w:eastAsia="en-AU"/>
        </w:rPr>
      </w:pPr>
      <w:hyperlink w:anchor="_Toc65760537" w:history="1">
        <w:r w:rsidR="00AF4812" w:rsidRPr="00E46FB0">
          <w:rPr>
            <w:rStyle w:val="Hyperlink"/>
            <w14:scene3d>
              <w14:camera w14:prst="orthographicFront"/>
              <w14:lightRig w14:rig="threePt" w14:dir="t">
                <w14:rot w14:lat="0" w14:lon="0" w14:rev="0"/>
              </w14:lightRig>
            </w14:scene3d>
          </w:rPr>
          <w:t>4.8.2</w:t>
        </w:r>
        <w:r w:rsidR="00AF4812" w:rsidRPr="00ED2279">
          <w:rPr>
            <w:rFonts w:asciiTheme="minorHAnsi" w:eastAsiaTheme="minorEastAsia" w:hAnsiTheme="minorHAnsi" w:cstheme="minorBidi"/>
            <w:szCs w:val="22"/>
            <w:lang w:val="en-AU" w:eastAsia="en-AU"/>
          </w:rPr>
          <w:tab/>
        </w:r>
        <w:r w:rsidR="00AF4812" w:rsidRPr="00ED2279">
          <w:rPr>
            <w:rStyle w:val="Hyperlink"/>
          </w:rPr>
          <w:t>What assurance does my project need?</w:t>
        </w:r>
        <w:r w:rsidR="00AF4812" w:rsidRPr="00ED2279">
          <w:rPr>
            <w:webHidden/>
          </w:rPr>
          <w:tab/>
        </w:r>
        <w:r w:rsidR="00AF4812" w:rsidRPr="00E46FB0">
          <w:rPr>
            <w:webHidden/>
          </w:rPr>
          <w:fldChar w:fldCharType="begin"/>
        </w:r>
        <w:r w:rsidR="00AF4812" w:rsidRPr="00ED2279">
          <w:rPr>
            <w:webHidden/>
          </w:rPr>
          <w:instrText xml:space="preserve"> PAGEREF _Toc65760537 \h </w:instrText>
        </w:r>
        <w:r w:rsidR="00AF4812" w:rsidRPr="00ED2279">
          <w:rPr>
            <w:webHidden/>
          </w:rPr>
        </w:r>
        <w:r w:rsidR="00AF4812" w:rsidRPr="00ED2279">
          <w:rPr>
            <w:webHidden/>
          </w:rPr>
          <w:fldChar w:fldCharType="separate"/>
        </w:r>
        <w:r w:rsidR="00AF4812" w:rsidRPr="00ED2279">
          <w:rPr>
            <w:webHidden/>
          </w:rPr>
          <w:t>84</w:t>
        </w:r>
        <w:r w:rsidR="00AF4812" w:rsidRPr="00ED2279">
          <w:rPr>
            <w:webHidden/>
          </w:rPr>
          <w:fldChar w:fldCharType="end"/>
        </w:r>
      </w:hyperlink>
    </w:p>
    <w:p w14:paraId="22252B64" w14:textId="66484580" w:rsidR="00AF4812" w:rsidRPr="00E46FB0" w:rsidRDefault="00084371">
      <w:pPr>
        <w:pStyle w:val="TOC1"/>
        <w:rPr>
          <w:rFonts w:asciiTheme="minorHAnsi" w:eastAsiaTheme="minorEastAsia" w:hAnsiTheme="minorHAnsi" w:cstheme="minorBidi"/>
          <w:b w:val="0"/>
          <w:szCs w:val="22"/>
          <w:lang w:val="en-AU" w:eastAsia="en-AU"/>
        </w:rPr>
      </w:pPr>
      <w:hyperlink w:anchor="_Toc65760538" w:history="1">
        <w:r w:rsidR="00AF4812" w:rsidRPr="00E46FB0">
          <w:rPr>
            <w:rStyle w:val="Hyperlink"/>
          </w:rPr>
          <w:t>5.</w:t>
        </w:r>
        <w:r w:rsidR="00AF4812" w:rsidRPr="00ED2279">
          <w:rPr>
            <w:rFonts w:asciiTheme="minorHAnsi" w:eastAsiaTheme="minorEastAsia" w:hAnsiTheme="minorHAnsi" w:cstheme="minorBidi"/>
            <w:b w:val="0"/>
            <w:szCs w:val="22"/>
            <w:lang w:val="en-AU" w:eastAsia="en-AU"/>
          </w:rPr>
          <w:tab/>
        </w:r>
        <w:r w:rsidR="00AF4812" w:rsidRPr="00ED2279">
          <w:rPr>
            <w:rStyle w:val="Hyperlink"/>
          </w:rPr>
          <w:t>Making the Case</w:t>
        </w:r>
        <w:r w:rsidR="00AF4812" w:rsidRPr="00ED2279">
          <w:rPr>
            <w:webHidden/>
          </w:rPr>
          <w:tab/>
        </w:r>
        <w:r w:rsidR="00AF4812" w:rsidRPr="00E46FB0">
          <w:rPr>
            <w:webHidden/>
          </w:rPr>
          <w:fldChar w:fldCharType="begin"/>
        </w:r>
        <w:r w:rsidR="00AF4812" w:rsidRPr="00ED2279">
          <w:rPr>
            <w:webHidden/>
          </w:rPr>
          <w:instrText xml:space="preserve"> PAGEREF _Toc65760538 \h </w:instrText>
        </w:r>
        <w:r w:rsidR="00AF4812" w:rsidRPr="00ED2279">
          <w:rPr>
            <w:webHidden/>
          </w:rPr>
        </w:r>
        <w:r w:rsidR="00AF4812" w:rsidRPr="00ED2279">
          <w:rPr>
            <w:webHidden/>
          </w:rPr>
          <w:fldChar w:fldCharType="separate"/>
        </w:r>
        <w:r w:rsidR="00AF4812" w:rsidRPr="00ED2279">
          <w:rPr>
            <w:webHidden/>
          </w:rPr>
          <w:t>87</w:t>
        </w:r>
        <w:r w:rsidR="00AF4812" w:rsidRPr="00ED2279">
          <w:rPr>
            <w:webHidden/>
          </w:rPr>
          <w:fldChar w:fldCharType="end"/>
        </w:r>
      </w:hyperlink>
    </w:p>
    <w:p w14:paraId="06FE72D9" w14:textId="0288112A" w:rsidR="00AF4812" w:rsidRPr="00E46FB0" w:rsidRDefault="00084371">
      <w:pPr>
        <w:pStyle w:val="TOC2"/>
        <w:rPr>
          <w:rFonts w:asciiTheme="minorHAnsi" w:eastAsiaTheme="minorEastAsia" w:hAnsiTheme="minorHAnsi" w:cstheme="minorBidi"/>
          <w:szCs w:val="22"/>
          <w:lang w:val="en-AU" w:eastAsia="en-AU"/>
        </w:rPr>
      </w:pPr>
      <w:hyperlink w:anchor="_Toc65760540" w:history="1">
        <w:r w:rsidR="00AF4812" w:rsidRPr="00E46FB0">
          <w:rPr>
            <w:rStyle w:val="Hyperlink"/>
            <w14:scene3d>
              <w14:camera w14:prst="orthographicFront"/>
              <w14:lightRig w14:rig="threePt" w14:dir="t">
                <w14:rot w14:lat="0" w14:lon="0" w14:rev="0"/>
              </w14:lightRig>
            </w14:scene3d>
          </w:rPr>
          <w:t>5.1</w:t>
        </w:r>
        <w:r w:rsidR="00AF4812" w:rsidRPr="00ED2279">
          <w:rPr>
            <w:rFonts w:asciiTheme="minorHAnsi" w:eastAsiaTheme="minorEastAsia" w:hAnsiTheme="minorHAnsi" w:cstheme="minorBidi"/>
            <w:szCs w:val="22"/>
            <w:lang w:val="en-AU" w:eastAsia="en-AU"/>
          </w:rPr>
          <w:tab/>
        </w:r>
        <w:r w:rsidR="00AF4812" w:rsidRPr="00ED2279">
          <w:rPr>
            <w:rStyle w:val="Hyperlink"/>
          </w:rPr>
          <w:t>Business case</w:t>
        </w:r>
        <w:r w:rsidR="00AF4812" w:rsidRPr="00ED2279">
          <w:rPr>
            <w:webHidden/>
          </w:rPr>
          <w:tab/>
        </w:r>
        <w:r w:rsidR="00AF4812" w:rsidRPr="00E46FB0">
          <w:rPr>
            <w:webHidden/>
          </w:rPr>
          <w:fldChar w:fldCharType="begin"/>
        </w:r>
        <w:r w:rsidR="00AF4812" w:rsidRPr="00ED2279">
          <w:rPr>
            <w:webHidden/>
          </w:rPr>
          <w:instrText xml:space="preserve"> PAGEREF _Toc65760540 \h </w:instrText>
        </w:r>
        <w:r w:rsidR="00AF4812" w:rsidRPr="00ED2279">
          <w:rPr>
            <w:webHidden/>
          </w:rPr>
        </w:r>
        <w:r w:rsidR="00AF4812" w:rsidRPr="00ED2279">
          <w:rPr>
            <w:webHidden/>
          </w:rPr>
          <w:fldChar w:fldCharType="separate"/>
        </w:r>
        <w:r w:rsidR="00AF4812" w:rsidRPr="00ED2279">
          <w:rPr>
            <w:webHidden/>
          </w:rPr>
          <w:t>88</w:t>
        </w:r>
        <w:r w:rsidR="00AF4812" w:rsidRPr="00ED2279">
          <w:rPr>
            <w:webHidden/>
          </w:rPr>
          <w:fldChar w:fldCharType="end"/>
        </w:r>
      </w:hyperlink>
    </w:p>
    <w:p w14:paraId="6A88A84D" w14:textId="05336789" w:rsidR="00AF4812" w:rsidRPr="00E46FB0" w:rsidRDefault="00084371">
      <w:pPr>
        <w:pStyle w:val="TOC3"/>
        <w:rPr>
          <w:rFonts w:asciiTheme="minorHAnsi" w:eastAsiaTheme="minorEastAsia" w:hAnsiTheme="minorHAnsi" w:cstheme="minorBidi"/>
          <w:szCs w:val="22"/>
          <w:lang w:val="en-AU" w:eastAsia="en-AU"/>
        </w:rPr>
      </w:pPr>
      <w:hyperlink w:anchor="_Toc65760541" w:history="1">
        <w:r w:rsidR="00AF4812" w:rsidRPr="00E46FB0">
          <w:rPr>
            <w:rStyle w:val="Hyperlink"/>
            <w14:scene3d>
              <w14:camera w14:prst="orthographicFront"/>
              <w14:lightRig w14:rig="threePt" w14:dir="t">
                <w14:rot w14:lat="0" w14:lon="0" w14:rev="0"/>
              </w14:lightRig>
            </w14:scene3d>
          </w:rPr>
          <w:t>5.1.1</w:t>
        </w:r>
        <w:r w:rsidR="00AF4812" w:rsidRPr="00ED2279">
          <w:rPr>
            <w:rFonts w:asciiTheme="minorHAnsi" w:eastAsiaTheme="minorEastAsia" w:hAnsiTheme="minorHAnsi" w:cstheme="minorBidi"/>
            <w:szCs w:val="22"/>
            <w:lang w:val="en-AU" w:eastAsia="en-AU"/>
          </w:rPr>
          <w:tab/>
        </w:r>
        <w:r w:rsidR="00AF4812" w:rsidRPr="00ED2279">
          <w:rPr>
            <w:rStyle w:val="Hyperlink"/>
          </w:rPr>
          <w:t>What is a business case?</w:t>
        </w:r>
        <w:r w:rsidR="00AF4812" w:rsidRPr="00ED2279">
          <w:rPr>
            <w:webHidden/>
          </w:rPr>
          <w:tab/>
        </w:r>
        <w:r w:rsidR="00AF4812" w:rsidRPr="00E46FB0">
          <w:rPr>
            <w:webHidden/>
          </w:rPr>
          <w:fldChar w:fldCharType="begin"/>
        </w:r>
        <w:r w:rsidR="00AF4812" w:rsidRPr="00ED2279">
          <w:rPr>
            <w:webHidden/>
          </w:rPr>
          <w:instrText xml:space="preserve"> PAGEREF _Toc65760541 \h </w:instrText>
        </w:r>
        <w:r w:rsidR="00AF4812" w:rsidRPr="00ED2279">
          <w:rPr>
            <w:webHidden/>
          </w:rPr>
        </w:r>
        <w:r w:rsidR="00AF4812" w:rsidRPr="00ED2279">
          <w:rPr>
            <w:webHidden/>
          </w:rPr>
          <w:fldChar w:fldCharType="separate"/>
        </w:r>
        <w:r w:rsidR="00AF4812" w:rsidRPr="00ED2279">
          <w:rPr>
            <w:webHidden/>
          </w:rPr>
          <w:t>88</w:t>
        </w:r>
        <w:r w:rsidR="00AF4812" w:rsidRPr="00ED2279">
          <w:rPr>
            <w:webHidden/>
          </w:rPr>
          <w:fldChar w:fldCharType="end"/>
        </w:r>
      </w:hyperlink>
    </w:p>
    <w:p w14:paraId="17AD7807" w14:textId="6F120067" w:rsidR="00AF4812" w:rsidRPr="00E46FB0" w:rsidRDefault="00084371">
      <w:pPr>
        <w:pStyle w:val="TOC3"/>
        <w:rPr>
          <w:rFonts w:asciiTheme="minorHAnsi" w:eastAsiaTheme="minorEastAsia" w:hAnsiTheme="minorHAnsi" w:cstheme="minorBidi"/>
          <w:szCs w:val="22"/>
          <w:lang w:val="en-AU" w:eastAsia="en-AU"/>
        </w:rPr>
      </w:pPr>
      <w:hyperlink w:anchor="_Toc65760542" w:history="1">
        <w:r w:rsidR="00AF4812" w:rsidRPr="00E46FB0">
          <w:rPr>
            <w:rStyle w:val="Hyperlink"/>
            <w14:scene3d>
              <w14:camera w14:prst="orthographicFront"/>
              <w14:lightRig w14:rig="threePt" w14:dir="t">
                <w14:rot w14:lat="0" w14:lon="0" w14:rev="0"/>
              </w14:lightRig>
            </w14:scene3d>
          </w:rPr>
          <w:t>5.1.2</w:t>
        </w:r>
        <w:r w:rsidR="00AF4812" w:rsidRPr="00ED2279">
          <w:rPr>
            <w:rFonts w:asciiTheme="minorHAnsi" w:eastAsiaTheme="minorEastAsia" w:hAnsiTheme="minorHAnsi" w:cstheme="minorBidi"/>
            <w:szCs w:val="22"/>
            <w:lang w:val="en-AU" w:eastAsia="en-AU"/>
          </w:rPr>
          <w:tab/>
        </w:r>
        <w:r w:rsidR="00AF4812" w:rsidRPr="00ED2279">
          <w:rPr>
            <w:rStyle w:val="Hyperlink"/>
          </w:rPr>
          <w:t>Why should a business case be prepared?</w:t>
        </w:r>
        <w:r w:rsidR="00AF4812" w:rsidRPr="00ED2279">
          <w:rPr>
            <w:webHidden/>
          </w:rPr>
          <w:tab/>
        </w:r>
        <w:r w:rsidR="00AF4812" w:rsidRPr="00E46FB0">
          <w:rPr>
            <w:webHidden/>
          </w:rPr>
          <w:fldChar w:fldCharType="begin"/>
        </w:r>
        <w:r w:rsidR="00AF4812" w:rsidRPr="00ED2279">
          <w:rPr>
            <w:webHidden/>
          </w:rPr>
          <w:instrText xml:space="preserve"> PAGEREF _Toc65760542 \h </w:instrText>
        </w:r>
        <w:r w:rsidR="00AF4812" w:rsidRPr="00ED2279">
          <w:rPr>
            <w:webHidden/>
          </w:rPr>
        </w:r>
        <w:r w:rsidR="00AF4812" w:rsidRPr="00ED2279">
          <w:rPr>
            <w:webHidden/>
          </w:rPr>
          <w:fldChar w:fldCharType="separate"/>
        </w:r>
        <w:r w:rsidR="00AF4812" w:rsidRPr="00ED2279">
          <w:rPr>
            <w:webHidden/>
          </w:rPr>
          <w:t>89</w:t>
        </w:r>
        <w:r w:rsidR="00AF4812" w:rsidRPr="00ED2279">
          <w:rPr>
            <w:webHidden/>
          </w:rPr>
          <w:fldChar w:fldCharType="end"/>
        </w:r>
      </w:hyperlink>
    </w:p>
    <w:p w14:paraId="74E26727" w14:textId="59147AD3" w:rsidR="00AF4812" w:rsidRPr="00E46FB0" w:rsidRDefault="00084371">
      <w:pPr>
        <w:pStyle w:val="TOC3"/>
        <w:rPr>
          <w:rFonts w:asciiTheme="minorHAnsi" w:eastAsiaTheme="minorEastAsia" w:hAnsiTheme="minorHAnsi" w:cstheme="minorBidi"/>
          <w:szCs w:val="22"/>
          <w:lang w:val="en-AU" w:eastAsia="en-AU"/>
        </w:rPr>
      </w:pPr>
      <w:hyperlink w:anchor="_Toc65760543" w:history="1">
        <w:r w:rsidR="00AF4812" w:rsidRPr="00E46FB0">
          <w:rPr>
            <w:rStyle w:val="Hyperlink"/>
            <w14:scene3d>
              <w14:camera w14:prst="orthographicFront"/>
              <w14:lightRig w14:rig="threePt" w14:dir="t">
                <w14:rot w14:lat="0" w14:lon="0" w14:rev="0"/>
              </w14:lightRig>
            </w14:scene3d>
          </w:rPr>
          <w:t>5.1.3</w:t>
        </w:r>
        <w:r w:rsidR="00AF4812" w:rsidRPr="00ED2279">
          <w:rPr>
            <w:rFonts w:asciiTheme="minorHAnsi" w:eastAsiaTheme="minorEastAsia" w:hAnsiTheme="minorHAnsi" w:cstheme="minorBidi"/>
            <w:szCs w:val="22"/>
            <w:lang w:val="en-AU" w:eastAsia="en-AU"/>
          </w:rPr>
          <w:tab/>
        </w:r>
        <w:r w:rsidR="00AF4812" w:rsidRPr="00ED2279">
          <w:rPr>
            <w:rStyle w:val="Hyperlink"/>
          </w:rPr>
          <w:t>When should a business case be prepared?</w:t>
        </w:r>
        <w:r w:rsidR="00AF4812" w:rsidRPr="00ED2279">
          <w:rPr>
            <w:webHidden/>
          </w:rPr>
          <w:tab/>
        </w:r>
        <w:r w:rsidR="00AF4812" w:rsidRPr="00E46FB0">
          <w:rPr>
            <w:webHidden/>
          </w:rPr>
          <w:fldChar w:fldCharType="begin"/>
        </w:r>
        <w:r w:rsidR="00AF4812" w:rsidRPr="00ED2279">
          <w:rPr>
            <w:webHidden/>
          </w:rPr>
          <w:instrText xml:space="preserve"> PAGEREF _Toc65760543 \h </w:instrText>
        </w:r>
        <w:r w:rsidR="00AF4812" w:rsidRPr="00ED2279">
          <w:rPr>
            <w:webHidden/>
          </w:rPr>
        </w:r>
        <w:r w:rsidR="00AF4812" w:rsidRPr="00ED2279">
          <w:rPr>
            <w:webHidden/>
          </w:rPr>
          <w:fldChar w:fldCharType="separate"/>
        </w:r>
        <w:r w:rsidR="00AF4812" w:rsidRPr="00ED2279">
          <w:rPr>
            <w:webHidden/>
          </w:rPr>
          <w:t>89</w:t>
        </w:r>
        <w:r w:rsidR="00AF4812" w:rsidRPr="00ED2279">
          <w:rPr>
            <w:webHidden/>
          </w:rPr>
          <w:fldChar w:fldCharType="end"/>
        </w:r>
      </w:hyperlink>
    </w:p>
    <w:p w14:paraId="2C9C2F5E" w14:textId="76F775D7" w:rsidR="00AF4812" w:rsidRPr="00E46FB0" w:rsidRDefault="00084371">
      <w:pPr>
        <w:pStyle w:val="TOC3"/>
        <w:rPr>
          <w:rFonts w:asciiTheme="minorHAnsi" w:eastAsiaTheme="minorEastAsia" w:hAnsiTheme="minorHAnsi" w:cstheme="minorBidi"/>
          <w:szCs w:val="22"/>
          <w:lang w:val="en-AU" w:eastAsia="en-AU"/>
        </w:rPr>
      </w:pPr>
      <w:hyperlink w:anchor="_Toc65760544" w:history="1">
        <w:r w:rsidR="00AF4812" w:rsidRPr="00E46FB0">
          <w:rPr>
            <w:rStyle w:val="Hyperlink"/>
            <w14:scene3d>
              <w14:camera w14:prst="orthographicFront"/>
              <w14:lightRig w14:rig="threePt" w14:dir="t">
                <w14:rot w14:lat="0" w14:lon="0" w14:rev="0"/>
              </w14:lightRig>
            </w14:scene3d>
          </w:rPr>
          <w:t>5.1.4</w:t>
        </w:r>
        <w:r w:rsidR="00AF4812" w:rsidRPr="00ED2279">
          <w:rPr>
            <w:rFonts w:asciiTheme="minorHAnsi" w:eastAsiaTheme="minorEastAsia" w:hAnsiTheme="minorHAnsi" w:cstheme="minorBidi"/>
            <w:szCs w:val="22"/>
            <w:lang w:val="en-AU" w:eastAsia="en-AU"/>
          </w:rPr>
          <w:tab/>
        </w:r>
        <w:r w:rsidR="00AF4812" w:rsidRPr="00ED2279">
          <w:rPr>
            <w:rStyle w:val="Hyperlink"/>
          </w:rPr>
          <w:t>How to prepare a business case</w:t>
        </w:r>
        <w:r w:rsidR="00AF4812" w:rsidRPr="00ED2279">
          <w:rPr>
            <w:webHidden/>
          </w:rPr>
          <w:tab/>
        </w:r>
        <w:r w:rsidR="00AF4812" w:rsidRPr="00E46FB0">
          <w:rPr>
            <w:webHidden/>
          </w:rPr>
          <w:fldChar w:fldCharType="begin"/>
        </w:r>
        <w:r w:rsidR="00AF4812" w:rsidRPr="00ED2279">
          <w:rPr>
            <w:webHidden/>
          </w:rPr>
          <w:instrText xml:space="preserve"> PAGEREF _Toc65760544 \h </w:instrText>
        </w:r>
        <w:r w:rsidR="00AF4812" w:rsidRPr="00ED2279">
          <w:rPr>
            <w:webHidden/>
          </w:rPr>
        </w:r>
        <w:r w:rsidR="00AF4812" w:rsidRPr="00ED2279">
          <w:rPr>
            <w:webHidden/>
          </w:rPr>
          <w:fldChar w:fldCharType="separate"/>
        </w:r>
        <w:r w:rsidR="00AF4812" w:rsidRPr="00ED2279">
          <w:rPr>
            <w:webHidden/>
          </w:rPr>
          <w:t>89</w:t>
        </w:r>
        <w:r w:rsidR="00AF4812" w:rsidRPr="00ED2279">
          <w:rPr>
            <w:webHidden/>
          </w:rPr>
          <w:fldChar w:fldCharType="end"/>
        </w:r>
      </w:hyperlink>
    </w:p>
    <w:p w14:paraId="7ED1E7B6" w14:textId="0B292390" w:rsidR="00AF4812" w:rsidRPr="00E46FB0" w:rsidRDefault="00084371">
      <w:pPr>
        <w:pStyle w:val="TOC3"/>
        <w:rPr>
          <w:rFonts w:asciiTheme="minorHAnsi" w:eastAsiaTheme="minorEastAsia" w:hAnsiTheme="minorHAnsi" w:cstheme="minorBidi"/>
          <w:szCs w:val="22"/>
          <w:lang w:val="en-AU" w:eastAsia="en-AU"/>
        </w:rPr>
      </w:pPr>
      <w:hyperlink w:anchor="_Toc65760545" w:history="1">
        <w:r w:rsidR="00AF4812" w:rsidRPr="00E46FB0">
          <w:rPr>
            <w:rStyle w:val="Hyperlink"/>
            <w14:scene3d>
              <w14:camera w14:prst="orthographicFront"/>
              <w14:lightRig w14:rig="threePt" w14:dir="t">
                <w14:rot w14:lat="0" w14:lon="0" w14:rev="0"/>
              </w14:lightRig>
            </w14:scene3d>
          </w:rPr>
          <w:t>5.1.5</w:t>
        </w:r>
        <w:r w:rsidR="00AF4812" w:rsidRPr="00ED2279">
          <w:rPr>
            <w:rFonts w:asciiTheme="minorHAnsi" w:eastAsiaTheme="minorEastAsia" w:hAnsiTheme="minorHAnsi" w:cstheme="minorBidi"/>
            <w:szCs w:val="22"/>
            <w:lang w:val="en-AU" w:eastAsia="en-AU"/>
          </w:rPr>
          <w:tab/>
        </w:r>
        <w:r w:rsidR="00AF4812" w:rsidRPr="00ED2279">
          <w:rPr>
            <w:rStyle w:val="Hyperlink"/>
          </w:rPr>
          <w:t>Additional resources</w:t>
        </w:r>
        <w:r w:rsidR="00AF4812" w:rsidRPr="00ED2279">
          <w:rPr>
            <w:webHidden/>
          </w:rPr>
          <w:tab/>
        </w:r>
        <w:r w:rsidR="00AF4812" w:rsidRPr="00E46FB0">
          <w:rPr>
            <w:webHidden/>
          </w:rPr>
          <w:fldChar w:fldCharType="begin"/>
        </w:r>
        <w:r w:rsidR="00AF4812" w:rsidRPr="00ED2279">
          <w:rPr>
            <w:webHidden/>
          </w:rPr>
          <w:instrText xml:space="preserve"> PAGEREF _Toc65760545 \h </w:instrText>
        </w:r>
        <w:r w:rsidR="00AF4812" w:rsidRPr="00ED2279">
          <w:rPr>
            <w:webHidden/>
          </w:rPr>
        </w:r>
        <w:r w:rsidR="00AF4812" w:rsidRPr="00ED2279">
          <w:rPr>
            <w:webHidden/>
          </w:rPr>
          <w:fldChar w:fldCharType="separate"/>
        </w:r>
        <w:r w:rsidR="00AF4812" w:rsidRPr="00ED2279">
          <w:rPr>
            <w:webHidden/>
          </w:rPr>
          <w:t>94</w:t>
        </w:r>
        <w:r w:rsidR="00AF4812" w:rsidRPr="00ED2279">
          <w:rPr>
            <w:webHidden/>
          </w:rPr>
          <w:fldChar w:fldCharType="end"/>
        </w:r>
      </w:hyperlink>
    </w:p>
    <w:p w14:paraId="55B324A8" w14:textId="0455E4A4" w:rsidR="00AF4812" w:rsidRPr="00E46FB0" w:rsidRDefault="00084371">
      <w:pPr>
        <w:pStyle w:val="TOC2"/>
        <w:rPr>
          <w:rFonts w:asciiTheme="minorHAnsi" w:eastAsiaTheme="minorEastAsia" w:hAnsiTheme="minorHAnsi" w:cstheme="minorBidi"/>
          <w:szCs w:val="22"/>
          <w:lang w:val="en-AU" w:eastAsia="en-AU"/>
        </w:rPr>
      </w:pPr>
      <w:hyperlink w:anchor="_Toc65760546" w:history="1">
        <w:r w:rsidR="00AF4812" w:rsidRPr="00E46FB0">
          <w:rPr>
            <w:rStyle w:val="Hyperlink"/>
            <w14:scene3d>
              <w14:camera w14:prst="orthographicFront"/>
              <w14:lightRig w14:rig="threePt" w14:dir="t">
                <w14:rot w14:lat="0" w14:lon="0" w14:rev="0"/>
              </w14:lightRig>
            </w14:scene3d>
          </w:rPr>
          <w:t>5.2</w:t>
        </w:r>
        <w:r w:rsidR="00AF4812" w:rsidRPr="00ED2279">
          <w:rPr>
            <w:rFonts w:asciiTheme="minorHAnsi" w:eastAsiaTheme="minorEastAsia" w:hAnsiTheme="minorHAnsi" w:cstheme="minorBidi"/>
            <w:szCs w:val="22"/>
            <w:lang w:val="en-AU" w:eastAsia="en-AU"/>
          </w:rPr>
          <w:tab/>
        </w:r>
        <w:r w:rsidR="00AF4812" w:rsidRPr="00ED2279">
          <w:rPr>
            <w:rStyle w:val="Hyperlink"/>
          </w:rPr>
          <w:t>Cost-benefit analysis</w:t>
        </w:r>
        <w:r w:rsidR="00AF4812" w:rsidRPr="00ED2279">
          <w:rPr>
            <w:webHidden/>
          </w:rPr>
          <w:tab/>
        </w:r>
        <w:r w:rsidR="00AF4812" w:rsidRPr="00E46FB0">
          <w:rPr>
            <w:webHidden/>
          </w:rPr>
          <w:fldChar w:fldCharType="begin"/>
        </w:r>
        <w:r w:rsidR="00AF4812" w:rsidRPr="00ED2279">
          <w:rPr>
            <w:webHidden/>
          </w:rPr>
          <w:instrText xml:space="preserve"> PAGEREF _Toc65760546 \h </w:instrText>
        </w:r>
        <w:r w:rsidR="00AF4812" w:rsidRPr="00ED2279">
          <w:rPr>
            <w:webHidden/>
          </w:rPr>
        </w:r>
        <w:r w:rsidR="00AF4812" w:rsidRPr="00ED2279">
          <w:rPr>
            <w:webHidden/>
          </w:rPr>
          <w:fldChar w:fldCharType="separate"/>
        </w:r>
        <w:r w:rsidR="00AF4812" w:rsidRPr="00ED2279">
          <w:rPr>
            <w:webHidden/>
          </w:rPr>
          <w:t>94</w:t>
        </w:r>
        <w:r w:rsidR="00AF4812" w:rsidRPr="00ED2279">
          <w:rPr>
            <w:webHidden/>
          </w:rPr>
          <w:fldChar w:fldCharType="end"/>
        </w:r>
      </w:hyperlink>
    </w:p>
    <w:p w14:paraId="54921E77" w14:textId="148C3934" w:rsidR="00AF4812" w:rsidRPr="00E46FB0" w:rsidRDefault="00084371">
      <w:pPr>
        <w:pStyle w:val="TOC3"/>
        <w:rPr>
          <w:rFonts w:asciiTheme="minorHAnsi" w:eastAsiaTheme="minorEastAsia" w:hAnsiTheme="minorHAnsi" w:cstheme="minorBidi"/>
          <w:szCs w:val="22"/>
          <w:lang w:val="en-AU" w:eastAsia="en-AU"/>
        </w:rPr>
      </w:pPr>
      <w:hyperlink w:anchor="_Toc65760547" w:history="1">
        <w:r w:rsidR="00AF4812" w:rsidRPr="00E46FB0">
          <w:rPr>
            <w:rStyle w:val="Hyperlink"/>
            <w14:scene3d>
              <w14:camera w14:prst="orthographicFront"/>
              <w14:lightRig w14:rig="threePt" w14:dir="t">
                <w14:rot w14:lat="0" w14:lon="0" w14:rev="0"/>
              </w14:lightRig>
            </w14:scene3d>
          </w:rPr>
          <w:t>5.2.1</w:t>
        </w:r>
        <w:r w:rsidR="00AF4812" w:rsidRPr="00ED2279">
          <w:rPr>
            <w:rFonts w:asciiTheme="minorHAnsi" w:eastAsiaTheme="minorEastAsia" w:hAnsiTheme="minorHAnsi" w:cstheme="minorBidi"/>
            <w:szCs w:val="22"/>
            <w:lang w:val="en-AU" w:eastAsia="en-AU"/>
          </w:rPr>
          <w:tab/>
        </w:r>
        <w:r w:rsidR="00AF4812" w:rsidRPr="00ED2279">
          <w:rPr>
            <w:rStyle w:val="Hyperlink"/>
          </w:rPr>
          <w:t>What is a cost-benefit analysis?</w:t>
        </w:r>
        <w:r w:rsidR="00AF4812" w:rsidRPr="00ED2279">
          <w:rPr>
            <w:webHidden/>
          </w:rPr>
          <w:tab/>
        </w:r>
        <w:r w:rsidR="00AF4812" w:rsidRPr="00E46FB0">
          <w:rPr>
            <w:webHidden/>
          </w:rPr>
          <w:fldChar w:fldCharType="begin"/>
        </w:r>
        <w:r w:rsidR="00AF4812" w:rsidRPr="00ED2279">
          <w:rPr>
            <w:webHidden/>
          </w:rPr>
          <w:instrText xml:space="preserve"> PAGEREF _Toc65760547 \h </w:instrText>
        </w:r>
        <w:r w:rsidR="00AF4812" w:rsidRPr="00ED2279">
          <w:rPr>
            <w:webHidden/>
          </w:rPr>
        </w:r>
        <w:r w:rsidR="00AF4812" w:rsidRPr="00ED2279">
          <w:rPr>
            <w:webHidden/>
          </w:rPr>
          <w:fldChar w:fldCharType="separate"/>
        </w:r>
        <w:r w:rsidR="00AF4812" w:rsidRPr="00ED2279">
          <w:rPr>
            <w:webHidden/>
          </w:rPr>
          <w:t>94</w:t>
        </w:r>
        <w:r w:rsidR="00AF4812" w:rsidRPr="00ED2279">
          <w:rPr>
            <w:webHidden/>
          </w:rPr>
          <w:fldChar w:fldCharType="end"/>
        </w:r>
      </w:hyperlink>
    </w:p>
    <w:p w14:paraId="04A7A87B" w14:textId="475FA7BD" w:rsidR="00AF4812" w:rsidRPr="00E46FB0" w:rsidRDefault="00084371">
      <w:pPr>
        <w:pStyle w:val="TOC3"/>
        <w:rPr>
          <w:rFonts w:asciiTheme="minorHAnsi" w:eastAsiaTheme="minorEastAsia" w:hAnsiTheme="minorHAnsi" w:cstheme="minorBidi"/>
          <w:szCs w:val="22"/>
          <w:lang w:val="en-AU" w:eastAsia="en-AU"/>
        </w:rPr>
      </w:pPr>
      <w:hyperlink w:anchor="_Toc65760548" w:history="1">
        <w:r w:rsidR="00AF4812" w:rsidRPr="00E46FB0">
          <w:rPr>
            <w:rStyle w:val="Hyperlink"/>
            <w14:scene3d>
              <w14:camera w14:prst="orthographicFront"/>
              <w14:lightRig w14:rig="threePt" w14:dir="t">
                <w14:rot w14:lat="0" w14:lon="0" w14:rev="0"/>
              </w14:lightRig>
            </w14:scene3d>
          </w:rPr>
          <w:t>5.2.2</w:t>
        </w:r>
        <w:r w:rsidR="00AF4812" w:rsidRPr="00ED2279">
          <w:rPr>
            <w:rFonts w:asciiTheme="minorHAnsi" w:eastAsiaTheme="minorEastAsia" w:hAnsiTheme="minorHAnsi" w:cstheme="minorBidi"/>
            <w:szCs w:val="22"/>
            <w:lang w:val="en-AU" w:eastAsia="en-AU"/>
          </w:rPr>
          <w:tab/>
        </w:r>
        <w:r w:rsidR="00AF4812" w:rsidRPr="00ED2279">
          <w:rPr>
            <w:rStyle w:val="Hyperlink"/>
          </w:rPr>
          <w:t>How to conduct a cost-benefit analysis</w:t>
        </w:r>
        <w:r w:rsidR="00AF4812" w:rsidRPr="00ED2279">
          <w:rPr>
            <w:webHidden/>
          </w:rPr>
          <w:tab/>
        </w:r>
        <w:r w:rsidR="00AF4812" w:rsidRPr="00E46FB0">
          <w:rPr>
            <w:webHidden/>
          </w:rPr>
          <w:fldChar w:fldCharType="begin"/>
        </w:r>
        <w:r w:rsidR="00AF4812" w:rsidRPr="00ED2279">
          <w:rPr>
            <w:webHidden/>
          </w:rPr>
          <w:instrText xml:space="preserve"> PAGEREF _Toc65760548 \h </w:instrText>
        </w:r>
        <w:r w:rsidR="00AF4812" w:rsidRPr="00ED2279">
          <w:rPr>
            <w:webHidden/>
          </w:rPr>
        </w:r>
        <w:r w:rsidR="00AF4812" w:rsidRPr="00ED2279">
          <w:rPr>
            <w:webHidden/>
          </w:rPr>
          <w:fldChar w:fldCharType="separate"/>
        </w:r>
        <w:r w:rsidR="00AF4812" w:rsidRPr="00ED2279">
          <w:rPr>
            <w:webHidden/>
          </w:rPr>
          <w:t>94</w:t>
        </w:r>
        <w:r w:rsidR="00AF4812" w:rsidRPr="00ED2279">
          <w:rPr>
            <w:webHidden/>
          </w:rPr>
          <w:fldChar w:fldCharType="end"/>
        </w:r>
      </w:hyperlink>
    </w:p>
    <w:p w14:paraId="2EF723B8" w14:textId="7A17849F" w:rsidR="00AF4812" w:rsidRPr="00E46FB0" w:rsidRDefault="00084371">
      <w:pPr>
        <w:pStyle w:val="TOC3"/>
        <w:rPr>
          <w:rFonts w:asciiTheme="minorHAnsi" w:eastAsiaTheme="minorEastAsia" w:hAnsiTheme="minorHAnsi" w:cstheme="minorBidi"/>
          <w:szCs w:val="22"/>
          <w:lang w:val="en-AU" w:eastAsia="en-AU"/>
        </w:rPr>
      </w:pPr>
      <w:hyperlink w:anchor="_Toc65760549" w:history="1">
        <w:r w:rsidR="00AF4812" w:rsidRPr="00E46FB0">
          <w:rPr>
            <w:rStyle w:val="Hyperlink"/>
            <w14:scene3d>
              <w14:camera w14:prst="orthographicFront"/>
              <w14:lightRig w14:rig="threePt" w14:dir="t">
                <w14:rot w14:lat="0" w14:lon="0" w14:rev="0"/>
              </w14:lightRig>
            </w14:scene3d>
          </w:rPr>
          <w:t>5.2.3</w:t>
        </w:r>
        <w:r w:rsidR="00AF4812" w:rsidRPr="00ED2279">
          <w:rPr>
            <w:rFonts w:asciiTheme="minorHAnsi" w:eastAsiaTheme="minorEastAsia" w:hAnsiTheme="minorHAnsi" w:cstheme="minorBidi"/>
            <w:szCs w:val="22"/>
            <w:lang w:val="en-AU" w:eastAsia="en-AU"/>
          </w:rPr>
          <w:tab/>
        </w:r>
        <w:r w:rsidR="00AF4812" w:rsidRPr="00ED2279">
          <w:rPr>
            <w:rStyle w:val="Hyperlink"/>
          </w:rPr>
          <w:t>Considering costs and benefits for IoT-enabled projects</w:t>
        </w:r>
        <w:r w:rsidR="00AF4812" w:rsidRPr="00ED2279">
          <w:rPr>
            <w:webHidden/>
          </w:rPr>
          <w:tab/>
        </w:r>
        <w:r w:rsidR="00AF4812" w:rsidRPr="00E46FB0">
          <w:rPr>
            <w:webHidden/>
          </w:rPr>
          <w:fldChar w:fldCharType="begin"/>
        </w:r>
        <w:r w:rsidR="00AF4812" w:rsidRPr="00ED2279">
          <w:rPr>
            <w:webHidden/>
          </w:rPr>
          <w:instrText xml:space="preserve"> PAGEREF _Toc65760549 \h </w:instrText>
        </w:r>
        <w:r w:rsidR="00AF4812" w:rsidRPr="00ED2279">
          <w:rPr>
            <w:webHidden/>
          </w:rPr>
        </w:r>
        <w:r w:rsidR="00AF4812" w:rsidRPr="00ED2279">
          <w:rPr>
            <w:webHidden/>
          </w:rPr>
          <w:fldChar w:fldCharType="separate"/>
        </w:r>
        <w:r w:rsidR="00AF4812" w:rsidRPr="00ED2279">
          <w:rPr>
            <w:webHidden/>
          </w:rPr>
          <w:t>95</w:t>
        </w:r>
        <w:r w:rsidR="00AF4812" w:rsidRPr="00ED2279">
          <w:rPr>
            <w:webHidden/>
          </w:rPr>
          <w:fldChar w:fldCharType="end"/>
        </w:r>
      </w:hyperlink>
    </w:p>
    <w:p w14:paraId="5A2203B0" w14:textId="1D9F4BB0" w:rsidR="00AF4812" w:rsidRPr="00E46FB0" w:rsidRDefault="00084371">
      <w:pPr>
        <w:pStyle w:val="TOC1"/>
        <w:rPr>
          <w:rFonts w:asciiTheme="minorHAnsi" w:eastAsiaTheme="minorEastAsia" w:hAnsiTheme="minorHAnsi" w:cstheme="minorBidi"/>
          <w:b w:val="0"/>
          <w:szCs w:val="22"/>
          <w:lang w:val="en-AU" w:eastAsia="en-AU"/>
        </w:rPr>
      </w:pPr>
      <w:hyperlink w:anchor="_Toc65760550" w:history="1">
        <w:r w:rsidR="00AF4812" w:rsidRPr="00E46FB0">
          <w:rPr>
            <w:rStyle w:val="Hyperlink"/>
          </w:rPr>
          <w:t>6.</w:t>
        </w:r>
        <w:r w:rsidR="00AF4812" w:rsidRPr="00ED2279">
          <w:rPr>
            <w:rFonts w:asciiTheme="minorHAnsi" w:eastAsiaTheme="minorEastAsia" w:hAnsiTheme="minorHAnsi" w:cstheme="minorBidi"/>
            <w:b w:val="0"/>
            <w:szCs w:val="22"/>
            <w:lang w:val="en-AU" w:eastAsia="en-AU"/>
          </w:rPr>
          <w:tab/>
        </w:r>
        <w:r w:rsidR="00AF4812" w:rsidRPr="00ED2279">
          <w:rPr>
            <w:rStyle w:val="Hyperlink"/>
          </w:rPr>
          <w:t>Procure</w:t>
        </w:r>
        <w:r w:rsidR="00AF4812" w:rsidRPr="00ED2279">
          <w:rPr>
            <w:webHidden/>
          </w:rPr>
          <w:tab/>
        </w:r>
        <w:r w:rsidR="00AF4812" w:rsidRPr="00E46FB0">
          <w:rPr>
            <w:webHidden/>
          </w:rPr>
          <w:fldChar w:fldCharType="begin"/>
        </w:r>
        <w:r w:rsidR="00AF4812" w:rsidRPr="00ED2279">
          <w:rPr>
            <w:webHidden/>
          </w:rPr>
          <w:instrText xml:space="preserve"> PAGEREF _Toc65760550 \h </w:instrText>
        </w:r>
        <w:r w:rsidR="00AF4812" w:rsidRPr="00ED2279">
          <w:rPr>
            <w:webHidden/>
          </w:rPr>
        </w:r>
        <w:r w:rsidR="00AF4812" w:rsidRPr="00ED2279">
          <w:rPr>
            <w:webHidden/>
          </w:rPr>
          <w:fldChar w:fldCharType="separate"/>
        </w:r>
        <w:r w:rsidR="00AF4812" w:rsidRPr="00ED2279">
          <w:rPr>
            <w:webHidden/>
          </w:rPr>
          <w:t>98</w:t>
        </w:r>
        <w:r w:rsidR="00AF4812" w:rsidRPr="00ED2279">
          <w:rPr>
            <w:webHidden/>
          </w:rPr>
          <w:fldChar w:fldCharType="end"/>
        </w:r>
      </w:hyperlink>
    </w:p>
    <w:p w14:paraId="65F45977" w14:textId="34C509A0" w:rsidR="00AF4812" w:rsidRPr="00E46FB0" w:rsidRDefault="00084371">
      <w:pPr>
        <w:pStyle w:val="TOC2"/>
        <w:rPr>
          <w:rFonts w:asciiTheme="minorHAnsi" w:eastAsiaTheme="minorEastAsia" w:hAnsiTheme="minorHAnsi" w:cstheme="minorBidi"/>
          <w:szCs w:val="22"/>
          <w:lang w:val="en-AU" w:eastAsia="en-AU"/>
        </w:rPr>
      </w:pPr>
      <w:hyperlink w:anchor="_Toc65760551" w:history="1">
        <w:r w:rsidR="00AF4812" w:rsidRPr="00E46FB0">
          <w:rPr>
            <w:rStyle w:val="Hyperlink"/>
            <w14:scene3d>
              <w14:camera w14:prst="orthographicFront"/>
              <w14:lightRig w14:rig="threePt" w14:dir="t">
                <w14:rot w14:lat="0" w14:lon="0" w14:rev="0"/>
              </w14:lightRig>
            </w14:scene3d>
          </w:rPr>
          <w:t>6.1</w:t>
        </w:r>
        <w:r w:rsidR="00AF4812" w:rsidRPr="00ED2279">
          <w:rPr>
            <w:rFonts w:asciiTheme="minorHAnsi" w:eastAsiaTheme="minorEastAsia" w:hAnsiTheme="minorHAnsi" w:cstheme="minorBidi"/>
            <w:szCs w:val="22"/>
            <w:lang w:val="en-AU" w:eastAsia="en-AU"/>
          </w:rPr>
          <w:tab/>
        </w:r>
        <w:r w:rsidR="00AF4812" w:rsidRPr="00ED2279">
          <w:rPr>
            <w:rStyle w:val="Hyperlink"/>
          </w:rPr>
          <w:t>Procuring IoT solutions</w:t>
        </w:r>
        <w:r w:rsidR="00AF4812" w:rsidRPr="00ED2279">
          <w:rPr>
            <w:webHidden/>
          </w:rPr>
          <w:tab/>
        </w:r>
        <w:r w:rsidR="00AF4812" w:rsidRPr="00E46FB0">
          <w:rPr>
            <w:webHidden/>
          </w:rPr>
          <w:fldChar w:fldCharType="begin"/>
        </w:r>
        <w:r w:rsidR="00AF4812" w:rsidRPr="00ED2279">
          <w:rPr>
            <w:webHidden/>
          </w:rPr>
          <w:instrText xml:space="preserve"> PAGEREF _Toc65760551 \h </w:instrText>
        </w:r>
        <w:r w:rsidR="00AF4812" w:rsidRPr="00ED2279">
          <w:rPr>
            <w:webHidden/>
          </w:rPr>
        </w:r>
        <w:r w:rsidR="00AF4812" w:rsidRPr="00ED2279">
          <w:rPr>
            <w:webHidden/>
          </w:rPr>
          <w:fldChar w:fldCharType="separate"/>
        </w:r>
        <w:r w:rsidR="00AF4812" w:rsidRPr="00ED2279">
          <w:rPr>
            <w:webHidden/>
          </w:rPr>
          <w:t>99</w:t>
        </w:r>
        <w:r w:rsidR="00AF4812" w:rsidRPr="00ED2279">
          <w:rPr>
            <w:webHidden/>
          </w:rPr>
          <w:fldChar w:fldCharType="end"/>
        </w:r>
      </w:hyperlink>
    </w:p>
    <w:p w14:paraId="6A1924F6" w14:textId="02966ED5" w:rsidR="00AF4812" w:rsidRPr="00E46FB0" w:rsidRDefault="00084371">
      <w:pPr>
        <w:pStyle w:val="TOC3"/>
        <w:rPr>
          <w:rFonts w:asciiTheme="minorHAnsi" w:eastAsiaTheme="minorEastAsia" w:hAnsiTheme="minorHAnsi" w:cstheme="minorBidi"/>
          <w:szCs w:val="22"/>
          <w:lang w:val="en-AU" w:eastAsia="en-AU"/>
        </w:rPr>
      </w:pPr>
      <w:hyperlink w:anchor="_Toc65760552" w:history="1">
        <w:r w:rsidR="00AF4812" w:rsidRPr="00E46FB0">
          <w:rPr>
            <w:rStyle w:val="Hyperlink"/>
            <w14:scene3d>
              <w14:camera w14:prst="orthographicFront"/>
              <w14:lightRig w14:rig="threePt" w14:dir="t">
                <w14:rot w14:lat="0" w14:lon="0" w14:rev="0"/>
              </w14:lightRig>
            </w14:scene3d>
          </w:rPr>
          <w:t>6.1.1</w:t>
        </w:r>
        <w:r w:rsidR="00AF4812" w:rsidRPr="00ED2279">
          <w:rPr>
            <w:rFonts w:asciiTheme="minorHAnsi" w:eastAsiaTheme="minorEastAsia" w:hAnsiTheme="minorHAnsi" w:cstheme="minorBidi"/>
            <w:szCs w:val="22"/>
            <w:lang w:val="en-AU" w:eastAsia="en-AU"/>
          </w:rPr>
          <w:tab/>
        </w:r>
        <w:r w:rsidR="00AF4812" w:rsidRPr="00ED2279">
          <w:rPr>
            <w:rStyle w:val="Hyperlink"/>
          </w:rPr>
          <w:t>Procuring IoT goods and services</w:t>
        </w:r>
        <w:r w:rsidR="00AF4812" w:rsidRPr="00ED2279">
          <w:rPr>
            <w:webHidden/>
          </w:rPr>
          <w:tab/>
        </w:r>
        <w:r w:rsidR="00AF4812" w:rsidRPr="00E46FB0">
          <w:rPr>
            <w:webHidden/>
          </w:rPr>
          <w:fldChar w:fldCharType="begin"/>
        </w:r>
        <w:r w:rsidR="00AF4812" w:rsidRPr="00ED2279">
          <w:rPr>
            <w:webHidden/>
          </w:rPr>
          <w:instrText xml:space="preserve"> PAGEREF _Toc65760552 \h </w:instrText>
        </w:r>
        <w:r w:rsidR="00AF4812" w:rsidRPr="00ED2279">
          <w:rPr>
            <w:webHidden/>
          </w:rPr>
        </w:r>
        <w:r w:rsidR="00AF4812" w:rsidRPr="00ED2279">
          <w:rPr>
            <w:webHidden/>
          </w:rPr>
          <w:fldChar w:fldCharType="separate"/>
        </w:r>
        <w:r w:rsidR="00AF4812" w:rsidRPr="00ED2279">
          <w:rPr>
            <w:webHidden/>
          </w:rPr>
          <w:t>99</w:t>
        </w:r>
        <w:r w:rsidR="00AF4812" w:rsidRPr="00ED2279">
          <w:rPr>
            <w:webHidden/>
          </w:rPr>
          <w:fldChar w:fldCharType="end"/>
        </w:r>
      </w:hyperlink>
    </w:p>
    <w:p w14:paraId="61ABDF6F" w14:textId="39AE32FC" w:rsidR="00AF4812" w:rsidRPr="00E46FB0" w:rsidRDefault="00084371">
      <w:pPr>
        <w:pStyle w:val="TOC3"/>
        <w:rPr>
          <w:rFonts w:asciiTheme="minorHAnsi" w:eastAsiaTheme="minorEastAsia" w:hAnsiTheme="minorHAnsi" w:cstheme="minorBidi"/>
          <w:szCs w:val="22"/>
          <w:lang w:val="en-AU" w:eastAsia="en-AU"/>
        </w:rPr>
      </w:pPr>
      <w:hyperlink w:anchor="_Toc65760553" w:history="1">
        <w:r w:rsidR="00AF4812" w:rsidRPr="00E46FB0">
          <w:rPr>
            <w:rStyle w:val="Hyperlink"/>
            <w14:scene3d>
              <w14:camera w14:prst="orthographicFront"/>
              <w14:lightRig w14:rig="threePt" w14:dir="t">
                <w14:rot w14:lat="0" w14:lon="0" w14:rev="0"/>
              </w14:lightRig>
            </w14:scene3d>
          </w:rPr>
          <w:t>6.1.2</w:t>
        </w:r>
        <w:r w:rsidR="00AF4812" w:rsidRPr="00ED2279">
          <w:rPr>
            <w:rFonts w:asciiTheme="minorHAnsi" w:eastAsiaTheme="minorEastAsia" w:hAnsiTheme="minorHAnsi" w:cstheme="minorBidi"/>
            <w:szCs w:val="22"/>
            <w:lang w:val="en-AU" w:eastAsia="en-AU"/>
          </w:rPr>
          <w:tab/>
        </w:r>
        <w:r w:rsidR="00AF4812" w:rsidRPr="00ED2279">
          <w:rPr>
            <w:rStyle w:val="Hyperlink"/>
          </w:rPr>
          <w:t>Procurement landscape</w:t>
        </w:r>
        <w:r w:rsidR="00AF4812" w:rsidRPr="00ED2279">
          <w:rPr>
            <w:webHidden/>
          </w:rPr>
          <w:tab/>
        </w:r>
        <w:r w:rsidR="00AF4812" w:rsidRPr="00E46FB0">
          <w:rPr>
            <w:webHidden/>
          </w:rPr>
          <w:fldChar w:fldCharType="begin"/>
        </w:r>
        <w:r w:rsidR="00AF4812" w:rsidRPr="00ED2279">
          <w:rPr>
            <w:webHidden/>
          </w:rPr>
          <w:instrText xml:space="preserve"> PAGEREF _Toc65760553 \h </w:instrText>
        </w:r>
        <w:r w:rsidR="00AF4812" w:rsidRPr="00ED2279">
          <w:rPr>
            <w:webHidden/>
          </w:rPr>
        </w:r>
        <w:r w:rsidR="00AF4812" w:rsidRPr="00ED2279">
          <w:rPr>
            <w:webHidden/>
          </w:rPr>
          <w:fldChar w:fldCharType="separate"/>
        </w:r>
        <w:r w:rsidR="00AF4812" w:rsidRPr="00ED2279">
          <w:rPr>
            <w:webHidden/>
          </w:rPr>
          <w:t>99</w:t>
        </w:r>
        <w:r w:rsidR="00AF4812" w:rsidRPr="00ED2279">
          <w:rPr>
            <w:webHidden/>
          </w:rPr>
          <w:fldChar w:fldCharType="end"/>
        </w:r>
      </w:hyperlink>
    </w:p>
    <w:p w14:paraId="19A79F03" w14:textId="585F41EA" w:rsidR="00AF4812" w:rsidRPr="00E46FB0" w:rsidRDefault="00084371">
      <w:pPr>
        <w:pStyle w:val="TOC3"/>
        <w:rPr>
          <w:rFonts w:asciiTheme="minorHAnsi" w:eastAsiaTheme="minorEastAsia" w:hAnsiTheme="minorHAnsi" w:cstheme="minorBidi"/>
          <w:szCs w:val="22"/>
          <w:lang w:val="en-AU" w:eastAsia="en-AU"/>
        </w:rPr>
      </w:pPr>
      <w:hyperlink w:anchor="_Toc65760554" w:history="1">
        <w:r w:rsidR="00AF4812" w:rsidRPr="00E46FB0">
          <w:rPr>
            <w:rStyle w:val="Hyperlink"/>
            <w14:scene3d>
              <w14:camera w14:prst="orthographicFront"/>
              <w14:lightRig w14:rig="threePt" w14:dir="t">
                <w14:rot w14:lat="0" w14:lon="0" w14:rev="0"/>
              </w14:lightRig>
            </w14:scene3d>
          </w:rPr>
          <w:t>6.1.3</w:t>
        </w:r>
        <w:r w:rsidR="00AF4812" w:rsidRPr="00ED2279">
          <w:rPr>
            <w:rFonts w:asciiTheme="minorHAnsi" w:eastAsiaTheme="minorEastAsia" w:hAnsiTheme="minorHAnsi" w:cstheme="minorBidi"/>
            <w:szCs w:val="22"/>
            <w:lang w:val="en-AU" w:eastAsia="en-AU"/>
          </w:rPr>
          <w:tab/>
        </w:r>
        <w:r w:rsidR="00AF4812" w:rsidRPr="00ED2279">
          <w:rPr>
            <w:rStyle w:val="Hyperlink"/>
          </w:rPr>
          <w:t>Contacts for procurement</w:t>
        </w:r>
        <w:r w:rsidR="00AF4812" w:rsidRPr="00ED2279">
          <w:rPr>
            <w:webHidden/>
          </w:rPr>
          <w:tab/>
        </w:r>
        <w:r w:rsidR="00AF4812" w:rsidRPr="00E46FB0">
          <w:rPr>
            <w:webHidden/>
          </w:rPr>
          <w:fldChar w:fldCharType="begin"/>
        </w:r>
        <w:r w:rsidR="00AF4812" w:rsidRPr="00ED2279">
          <w:rPr>
            <w:webHidden/>
          </w:rPr>
          <w:instrText xml:space="preserve"> PAGEREF _Toc65760554 \h </w:instrText>
        </w:r>
        <w:r w:rsidR="00AF4812" w:rsidRPr="00ED2279">
          <w:rPr>
            <w:webHidden/>
          </w:rPr>
        </w:r>
        <w:r w:rsidR="00AF4812" w:rsidRPr="00ED2279">
          <w:rPr>
            <w:webHidden/>
          </w:rPr>
          <w:fldChar w:fldCharType="separate"/>
        </w:r>
        <w:r w:rsidR="00AF4812" w:rsidRPr="00ED2279">
          <w:rPr>
            <w:webHidden/>
          </w:rPr>
          <w:t>99</w:t>
        </w:r>
        <w:r w:rsidR="00AF4812" w:rsidRPr="00ED2279">
          <w:rPr>
            <w:webHidden/>
          </w:rPr>
          <w:fldChar w:fldCharType="end"/>
        </w:r>
      </w:hyperlink>
    </w:p>
    <w:p w14:paraId="4E8BE8F7" w14:textId="5EE30839" w:rsidR="00AF4812" w:rsidRPr="00E46FB0" w:rsidRDefault="00084371">
      <w:pPr>
        <w:pStyle w:val="TOC3"/>
        <w:rPr>
          <w:rFonts w:asciiTheme="minorHAnsi" w:eastAsiaTheme="minorEastAsia" w:hAnsiTheme="minorHAnsi" w:cstheme="minorBidi"/>
          <w:szCs w:val="22"/>
          <w:lang w:val="en-AU" w:eastAsia="en-AU"/>
        </w:rPr>
      </w:pPr>
      <w:hyperlink w:anchor="_Toc65760555" w:history="1">
        <w:r w:rsidR="00AF4812" w:rsidRPr="00E46FB0">
          <w:rPr>
            <w:rStyle w:val="Hyperlink"/>
            <w14:scene3d>
              <w14:camera w14:prst="orthographicFront"/>
              <w14:lightRig w14:rig="threePt" w14:dir="t">
                <w14:rot w14:lat="0" w14:lon="0" w14:rev="0"/>
              </w14:lightRig>
            </w14:scene3d>
          </w:rPr>
          <w:t>6.1.4</w:t>
        </w:r>
        <w:r w:rsidR="00AF4812" w:rsidRPr="00ED2279">
          <w:rPr>
            <w:rFonts w:asciiTheme="minorHAnsi" w:eastAsiaTheme="minorEastAsia" w:hAnsiTheme="minorHAnsi" w:cstheme="minorBidi"/>
            <w:szCs w:val="22"/>
            <w:lang w:val="en-AU" w:eastAsia="en-AU"/>
          </w:rPr>
          <w:tab/>
        </w:r>
        <w:r w:rsidR="00AF4812" w:rsidRPr="00ED2279">
          <w:rPr>
            <w:rStyle w:val="Hyperlink"/>
          </w:rPr>
          <w:t>How do I procure?</w:t>
        </w:r>
        <w:r w:rsidR="00AF4812" w:rsidRPr="00ED2279">
          <w:rPr>
            <w:webHidden/>
          </w:rPr>
          <w:tab/>
        </w:r>
        <w:r w:rsidR="00AF4812" w:rsidRPr="00E46FB0">
          <w:rPr>
            <w:webHidden/>
          </w:rPr>
          <w:fldChar w:fldCharType="begin"/>
        </w:r>
        <w:r w:rsidR="00AF4812" w:rsidRPr="00ED2279">
          <w:rPr>
            <w:webHidden/>
          </w:rPr>
          <w:instrText xml:space="preserve"> PAGEREF _Toc65760555 \h </w:instrText>
        </w:r>
        <w:r w:rsidR="00AF4812" w:rsidRPr="00ED2279">
          <w:rPr>
            <w:webHidden/>
          </w:rPr>
        </w:r>
        <w:r w:rsidR="00AF4812" w:rsidRPr="00ED2279">
          <w:rPr>
            <w:webHidden/>
          </w:rPr>
          <w:fldChar w:fldCharType="separate"/>
        </w:r>
        <w:r w:rsidR="00AF4812" w:rsidRPr="00ED2279">
          <w:rPr>
            <w:webHidden/>
          </w:rPr>
          <w:t>100</w:t>
        </w:r>
        <w:r w:rsidR="00AF4812" w:rsidRPr="00ED2279">
          <w:rPr>
            <w:webHidden/>
          </w:rPr>
          <w:fldChar w:fldCharType="end"/>
        </w:r>
      </w:hyperlink>
    </w:p>
    <w:p w14:paraId="68753261" w14:textId="1CC7660C" w:rsidR="00AF4812" w:rsidRPr="00E46FB0" w:rsidRDefault="00084371">
      <w:pPr>
        <w:pStyle w:val="TOC3"/>
        <w:rPr>
          <w:rFonts w:asciiTheme="minorHAnsi" w:eastAsiaTheme="minorEastAsia" w:hAnsiTheme="minorHAnsi" w:cstheme="minorBidi"/>
          <w:szCs w:val="22"/>
          <w:lang w:val="en-AU" w:eastAsia="en-AU"/>
        </w:rPr>
      </w:pPr>
      <w:hyperlink w:anchor="_Toc65760556" w:history="1">
        <w:r w:rsidR="00AF4812" w:rsidRPr="00E46FB0">
          <w:rPr>
            <w:rStyle w:val="Hyperlink"/>
            <w14:scene3d>
              <w14:camera w14:prst="orthographicFront"/>
              <w14:lightRig w14:rig="threePt" w14:dir="t">
                <w14:rot w14:lat="0" w14:lon="0" w14:rev="0"/>
              </w14:lightRig>
            </w14:scene3d>
          </w:rPr>
          <w:t>6.1.5</w:t>
        </w:r>
        <w:r w:rsidR="00AF4812" w:rsidRPr="00ED2279">
          <w:rPr>
            <w:rFonts w:asciiTheme="minorHAnsi" w:eastAsiaTheme="minorEastAsia" w:hAnsiTheme="minorHAnsi" w:cstheme="minorBidi"/>
            <w:szCs w:val="22"/>
            <w:lang w:val="en-AU" w:eastAsia="en-AU"/>
          </w:rPr>
          <w:tab/>
        </w:r>
        <w:r w:rsidR="00AF4812" w:rsidRPr="00ED2279">
          <w:rPr>
            <w:rStyle w:val="Hyperlink"/>
          </w:rPr>
          <w:t>What to do if the perfect solution does not exist</w:t>
        </w:r>
        <w:r w:rsidR="00AF4812" w:rsidRPr="00ED2279">
          <w:rPr>
            <w:webHidden/>
          </w:rPr>
          <w:tab/>
        </w:r>
        <w:r w:rsidR="00AF4812" w:rsidRPr="00E46FB0">
          <w:rPr>
            <w:webHidden/>
          </w:rPr>
          <w:fldChar w:fldCharType="begin"/>
        </w:r>
        <w:r w:rsidR="00AF4812" w:rsidRPr="00ED2279">
          <w:rPr>
            <w:webHidden/>
          </w:rPr>
          <w:instrText xml:space="preserve"> PAGEREF _Toc65760556 \h </w:instrText>
        </w:r>
        <w:r w:rsidR="00AF4812" w:rsidRPr="00ED2279">
          <w:rPr>
            <w:webHidden/>
          </w:rPr>
        </w:r>
        <w:r w:rsidR="00AF4812" w:rsidRPr="00ED2279">
          <w:rPr>
            <w:webHidden/>
          </w:rPr>
          <w:fldChar w:fldCharType="separate"/>
        </w:r>
        <w:r w:rsidR="00AF4812" w:rsidRPr="00ED2279">
          <w:rPr>
            <w:webHidden/>
          </w:rPr>
          <w:t>101</w:t>
        </w:r>
        <w:r w:rsidR="00AF4812" w:rsidRPr="00ED2279">
          <w:rPr>
            <w:webHidden/>
          </w:rPr>
          <w:fldChar w:fldCharType="end"/>
        </w:r>
      </w:hyperlink>
    </w:p>
    <w:p w14:paraId="731AAD98" w14:textId="0F1F713C" w:rsidR="00AF4812" w:rsidRPr="00E46FB0" w:rsidRDefault="00084371">
      <w:pPr>
        <w:pStyle w:val="TOC3"/>
        <w:rPr>
          <w:rFonts w:asciiTheme="minorHAnsi" w:eastAsiaTheme="minorEastAsia" w:hAnsiTheme="minorHAnsi" w:cstheme="minorBidi"/>
          <w:szCs w:val="22"/>
          <w:lang w:val="en-AU" w:eastAsia="en-AU"/>
        </w:rPr>
      </w:pPr>
      <w:hyperlink w:anchor="_Toc65760557" w:history="1">
        <w:r w:rsidR="00AF4812" w:rsidRPr="00E46FB0">
          <w:rPr>
            <w:rStyle w:val="Hyperlink"/>
            <w14:scene3d>
              <w14:camera w14:prst="orthographicFront"/>
              <w14:lightRig w14:rig="threePt" w14:dir="t">
                <w14:rot w14:lat="0" w14:lon="0" w14:rev="0"/>
              </w14:lightRig>
            </w14:scene3d>
          </w:rPr>
          <w:t>6.1.6</w:t>
        </w:r>
        <w:r w:rsidR="00AF4812" w:rsidRPr="00ED2279">
          <w:rPr>
            <w:rFonts w:asciiTheme="minorHAnsi" w:eastAsiaTheme="minorEastAsia" w:hAnsiTheme="minorHAnsi" w:cstheme="minorBidi"/>
            <w:szCs w:val="22"/>
            <w:lang w:val="en-AU" w:eastAsia="en-AU"/>
          </w:rPr>
          <w:tab/>
        </w:r>
        <w:r w:rsidR="00AF4812" w:rsidRPr="00ED2279">
          <w:rPr>
            <w:rStyle w:val="Hyperlink"/>
          </w:rPr>
          <w:t>Designing specifications</w:t>
        </w:r>
        <w:r w:rsidR="00AF4812" w:rsidRPr="00ED2279">
          <w:rPr>
            <w:webHidden/>
          </w:rPr>
          <w:tab/>
        </w:r>
        <w:r w:rsidR="00AF4812" w:rsidRPr="00E46FB0">
          <w:rPr>
            <w:webHidden/>
          </w:rPr>
          <w:fldChar w:fldCharType="begin"/>
        </w:r>
        <w:r w:rsidR="00AF4812" w:rsidRPr="00ED2279">
          <w:rPr>
            <w:webHidden/>
          </w:rPr>
          <w:instrText xml:space="preserve"> PAGEREF _Toc65760557 \h </w:instrText>
        </w:r>
        <w:r w:rsidR="00AF4812" w:rsidRPr="00ED2279">
          <w:rPr>
            <w:webHidden/>
          </w:rPr>
        </w:r>
        <w:r w:rsidR="00AF4812" w:rsidRPr="00ED2279">
          <w:rPr>
            <w:webHidden/>
          </w:rPr>
          <w:fldChar w:fldCharType="separate"/>
        </w:r>
        <w:r w:rsidR="00AF4812" w:rsidRPr="00ED2279">
          <w:rPr>
            <w:webHidden/>
          </w:rPr>
          <w:t>101</w:t>
        </w:r>
        <w:r w:rsidR="00AF4812" w:rsidRPr="00ED2279">
          <w:rPr>
            <w:webHidden/>
          </w:rPr>
          <w:fldChar w:fldCharType="end"/>
        </w:r>
      </w:hyperlink>
    </w:p>
    <w:p w14:paraId="618291CF" w14:textId="09114A7C" w:rsidR="00AF4812" w:rsidRPr="00E46FB0" w:rsidRDefault="00084371">
      <w:pPr>
        <w:pStyle w:val="TOC3"/>
        <w:rPr>
          <w:rFonts w:asciiTheme="minorHAnsi" w:eastAsiaTheme="minorEastAsia" w:hAnsiTheme="minorHAnsi" w:cstheme="minorBidi"/>
          <w:szCs w:val="22"/>
          <w:lang w:val="en-AU" w:eastAsia="en-AU"/>
        </w:rPr>
      </w:pPr>
      <w:hyperlink w:anchor="_Toc65760558" w:history="1">
        <w:r w:rsidR="00AF4812" w:rsidRPr="00E46FB0">
          <w:rPr>
            <w:rStyle w:val="Hyperlink"/>
            <w14:scene3d>
              <w14:camera w14:prst="orthographicFront"/>
              <w14:lightRig w14:rig="threePt" w14:dir="t">
                <w14:rot w14:lat="0" w14:lon="0" w14:rev="0"/>
              </w14:lightRig>
            </w14:scene3d>
          </w:rPr>
          <w:t>6.</w:t>
        </w:r>
        <w:r w:rsidR="00AF4812" w:rsidRPr="00ED2279">
          <w:rPr>
            <w:rStyle w:val="Hyperlink"/>
            <w14:scene3d>
              <w14:camera w14:prst="orthographicFront"/>
              <w14:lightRig w14:rig="threePt" w14:dir="t">
                <w14:rot w14:lat="0" w14:lon="0" w14:rev="0"/>
              </w14:lightRig>
            </w14:scene3d>
          </w:rPr>
          <w:t>1.7</w:t>
        </w:r>
        <w:r w:rsidR="00AF4812" w:rsidRPr="00ED2279">
          <w:rPr>
            <w:rFonts w:asciiTheme="minorHAnsi" w:eastAsiaTheme="minorEastAsia" w:hAnsiTheme="minorHAnsi" w:cstheme="minorBidi"/>
            <w:szCs w:val="22"/>
            <w:lang w:val="en-AU" w:eastAsia="en-AU"/>
          </w:rPr>
          <w:tab/>
        </w:r>
        <w:r w:rsidR="00AF4812" w:rsidRPr="00ED2279">
          <w:rPr>
            <w:rStyle w:val="Hyperlink"/>
          </w:rPr>
          <w:t>Procurement risks</w:t>
        </w:r>
        <w:r w:rsidR="00AF4812" w:rsidRPr="00ED2279">
          <w:rPr>
            <w:webHidden/>
          </w:rPr>
          <w:tab/>
        </w:r>
        <w:r w:rsidR="00AF4812" w:rsidRPr="00E46FB0">
          <w:rPr>
            <w:webHidden/>
          </w:rPr>
          <w:fldChar w:fldCharType="begin"/>
        </w:r>
        <w:r w:rsidR="00AF4812" w:rsidRPr="00ED2279">
          <w:rPr>
            <w:webHidden/>
          </w:rPr>
          <w:instrText xml:space="preserve"> PAGEREF _Toc65760558 \h </w:instrText>
        </w:r>
        <w:r w:rsidR="00AF4812" w:rsidRPr="00ED2279">
          <w:rPr>
            <w:webHidden/>
          </w:rPr>
        </w:r>
        <w:r w:rsidR="00AF4812" w:rsidRPr="00ED2279">
          <w:rPr>
            <w:webHidden/>
          </w:rPr>
          <w:fldChar w:fldCharType="separate"/>
        </w:r>
        <w:r w:rsidR="00AF4812" w:rsidRPr="00ED2279">
          <w:rPr>
            <w:webHidden/>
          </w:rPr>
          <w:t>105</w:t>
        </w:r>
        <w:r w:rsidR="00AF4812" w:rsidRPr="00ED2279">
          <w:rPr>
            <w:webHidden/>
          </w:rPr>
          <w:fldChar w:fldCharType="end"/>
        </w:r>
      </w:hyperlink>
    </w:p>
    <w:p w14:paraId="69209A1F" w14:textId="119AC753" w:rsidR="00AF4812" w:rsidRPr="00E46FB0" w:rsidRDefault="00084371">
      <w:pPr>
        <w:pStyle w:val="TOC3"/>
        <w:rPr>
          <w:rFonts w:asciiTheme="minorHAnsi" w:eastAsiaTheme="minorEastAsia" w:hAnsiTheme="minorHAnsi" w:cstheme="minorBidi"/>
          <w:szCs w:val="22"/>
          <w:lang w:val="en-AU" w:eastAsia="en-AU"/>
        </w:rPr>
      </w:pPr>
      <w:hyperlink w:anchor="_Toc65760559" w:history="1">
        <w:r w:rsidR="00AF4812" w:rsidRPr="00E46FB0">
          <w:rPr>
            <w:rStyle w:val="Hyperlink"/>
            <w14:scene3d>
              <w14:camera w14:prst="orthographicFront"/>
              <w14:lightRig w14:rig="threePt" w14:dir="t">
                <w14:rot w14:lat="0" w14:lon="0" w14:rev="0"/>
              </w14:lightRig>
            </w14:scene3d>
          </w:rPr>
          <w:t>6.1.8</w:t>
        </w:r>
        <w:r w:rsidR="00AF4812" w:rsidRPr="00ED2279">
          <w:rPr>
            <w:rFonts w:asciiTheme="minorHAnsi" w:eastAsiaTheme="minorEastAsia" w:hAnsiTheme="minorHAnsi" w:cstheme="minorBidi"/>
            <w:szCs w:val="22"/>
            <w:lang w:val="en-AU" w:eastAsia="en-AU"/>
          </w:rPr>
          <w:tab/>
        </w:r>
        <w:r w:rsidR="00AF4812" w:rsidRPr="00ED2279">
          <w:rPr>
            <w:rStyle w:val="Hyperlink"/>
          </w:rPr>
          <w:t>Disposal of assets</w:t>
        </w:r>
        <w:r w:rsidR="00AF4812" w:rsidRPr="00ED2279">
          <w:rPr>
            <w:webHidden/>
          </w:rPr>
          <w:tab/>
        </w:r>
        <w:r w:rsidR="00AF4812" w:rsidRPr="00E46FB0">
          <w:rPr>
            <w:webHidden/>
          </w:rPr>
          <w:fldChar w:fldCharType="begin"/>
        </w:r>
        <w:r w:rsidR="00AF4812" w:rsidRPr="00ED2279">
          <w:rPr>
            <w:webHidden/>
          </w:rPr>
          <w:instrText xml:space="preserve"> PAGEREF _Toc65760559 \h </w:instrText>
        </w:r>
        <w:r w:rsidR="00AF4812" w:rsidRPr="00ED2279">
          <w:rPr>
            <w:webHidden/>
          </w:rPr>
        </w:r>
        <w:r w:rsidR="00AF4812" w:rsidRPr="00ED2279">
          <w:rPr>
            <w:webHidden/>
          </w:rPr>
          <w:fldChar w:fldCharType="separate"/>
        </w:r>
        <w:r w:rsidR="00AF4812" w:rsidRPr="00ED2279">
          <w:rPr>
            <w:webHidden/>
          </w:rPr>
          <w:t>109</w:t>
        </w:r>
        <w:r w:rsidR="00AF4812" w:rsidRPr="00ED2279">
          <w:rPr>
            <w:webHidden/>
          </w:rPr>
          <w:fldChar w:fldCharType="end"/>
        </w:r>
      </w:hyperlink>
    </w:p>
    <w:p w14:paraId="22C594FE" w14:textId="4A45708D" w:rsidR="00AF4812" w:rsidRPr="00E46FB0" w:rsidRDefault="00084371">
      <w:pPr>
        <w:pStyle w:val="TOC2"/>
        <w:rPr>
          <w:rFonts w:asciiTheme="minorHAnsi" w:eastAsiaTheme="minorEastAsia" w:hAnsiTheme="minorHAnsi" w:cstheme="minorBidi"/>
          <w:szCs w:val="22"/>
          <w:lang w:val="en-AU" w:eastAsia="en-AU"/>
        </w:rPr>
      </w:pPr>
      <w:hyperlink w:anchor="_Toc65760560" w:history="1">
        <w:r w:rsidR="00AF4812" w:rsidRPr="00E46FB0">
          <w:rPr>
            <w:rStyle w:val="Hyperlink"/>
            <w14:scene3d>
              <w14:camera w14:prst="orthographicFront"/>
              <w14:lightRig w14:rig="threePt" w14:dir="t">
                <w14:rot w14:lat="0" w14:lon="0" w14:rev="0"/>
              </w14:lightRig>
            </w14:scene3d>
          </w:rPr>
          <w:t>6.2</w:t>
        </w:r>
        <w:r w:rsidR="00AF4812" w:rsidRPr="00ED2279">
          <w:rPr>
            <w:rFonts w:asciiTheme="minorHAnsi" w:eastAsiaTheme="minorEastAsia" w:hAnsiTheme="minorHAnsi" w:cstheme="minorBidi"/>
            <w:szCs w:val="22"/>
            <w:lang w:val="en-AU" w:eastAsia="en-AU"/>
          </w:rPr>
          <w:tab/>
        </w:r>
        <w:r w:rsidR="00AF4812" w:rsidRPr="00ED2279">
          <w:rPr>
            <w:rStyle w:val="Hyperlink"/>
          </w:rPr>
          <w:t>Data considerations for contracting</w:t>
        </w:r>
        <w:r w:rsidR="00AF4812" w:rsidRPr="00ED2279">
          <w:rPr>
            <w:webHidden/>
          </w:rPr>
          <w:tab/>
        </w:r>
        <w:r w:rsidR="00AF4812" w:rsidRPr="00E46FB0">
          <w:rPr>
            <w:webHidden/>
          </w:rPr>
          <w:fldChar w:fldCharType="begin"/>
        </w:r>
        <w:r w:rsidR="00AF4812" w:rsidRPr="00ED2279">
          <w:rPr>
            <w:webHidden/>
          </w:rPr>
          <w:instrText xml:space="preserve"> PAGEREF _Toc65760560 \h </w:instrText>
        </w:r>
        <w:r w:rsidR="00AF4812" w:rsidRPr="00ED2279">
          <w:rPr>
            <w:webHidden/>
          </w:rPr>
        </w:r>
        <w:r w:rsidR="00AF4812" w:rsidRPr="00ED2279">
          <w:rPr>
            <w:webHidden/>
          </w:rPr>
          <w:fldChar w:fldCharType="separate"/>
        </w:r>
        <w:r w:rsidR="00AF4812" w:rsidRPr="00ED2279">
          <w:rPr>
            <w:webHidden/>
          </w:rPr>
          <w:t>109</w:t>
        </w:r>
        <w:r w:rsidR="00AF4812" w:rsidRPr="00ED2279">
          <w:rPr>
            <w:webHidden/>
          </w:rPr>
          <w:fldChar w:fldCharType="end"/>
        </w:r>
      </w:hyperlink>
    </w:p>
    <w:p w14:paraId="10F1A62C" w14:textId="6CE5E125" w:rsidR="00AF4812" w:rsidRPr="00E46FB0" w:rsidRDefault="00084371">
      <w:pPr>
        <w:pStyle w:val="TOC3"/>
        <w:rPr>
          <w:rFonts w:asciiTheme="minorHAnsi" w:eastAsiaTheme="minorEastAsia" w:hAnsiTheme="minorHAnsi" w:cstheme="minorBidi"/>
          <w:szCs w:val="22"/>
          <w:lang w:val="en-AU" w:eastAsia="en-AU"/>
        </w:rPr>
      </w:pPr>
      <w:hyperlink w:anchor="_Toc65760561" w:history="1">
        <w:r w:rsidR="00AF4812" w:rsidRPr="00E46FB0">
          <w:rPr>
            <w:rStyle w:val="Hyperlink"/>
            <w14:scene3d>
              <w14:camera w14:prst="orthographicFront"/>
              <w14:lightRig w14:rig="threePt" w14:dir="t">
                <w14:rot w14:lat="0" w14:lon="0" w14:rev="0"/>
              </w14:lightRig>
            </w14:scene3d>
          </w:rPr>
          <w:t>6.2.1</w:t>
        </w:r>
        <w:r w:rsidR="00AF4812" w:rsidRPr="00ED2279">
          <w:rPr>
            <w:rFonts w:asciiTheme="minorHAnsi" w:eastAsiaTheme="minorEastAsia" w:hAnsiTheme="minorHAnsi" w:cstheme="minorBidi"/>
            <w:szCs w:val="22"/>
            <w:lang w:val="en-AU" w:eastAsia="en-AU"/>
          </w:rPr>
          <w:tab/>
        </w:r>
        <w:r w:rsidR="00AF4812" w:rsidRPr="00ED2279">
          <w:rPr>
            <w:rStyle w:val="Hyperlink"/>
          </w:rPr>
          <w:t>Data handling</w:t>
        </w:r>
        <w:r w:rsidR="00AF4812" w:rsidRPr="00ED2279">
          <w:rPr>
            <w:webHidden/>
          </w:rPr>
          <w:tab/>
        </w:r>
        <w:r w:rsidR="00AF4812" w:rsidRPr="00E46FB0">
          <w:rPr>
            <w:webHidden/>
          </w:rPr>
          <w:fldChar w:fldCharType="begin"/>
        </w:r>
        <w:r w:rsidR="00AF4812" w:rsidRPr="00ED2279">
          <w:rPr>
            <w:webHidden/>
          </w:rPr>
          <w:instrText xml:space="preserve"> PAGEREF _Toc65760561 \h </w:instrText>
        </w:r>
        <w:r w:rsidR="00AF4812" w:rsidRPr="00ED2279">
          <w:rPr>
            <w:webHidden/>
          </w:rPr>
        </w:r>
        <w:r w:rsidR="00AF4812" w:rsidRPr="00ED2279">
          <w:rPr>
            <w:webHidden/>
          </w:rPr>
          <w:fldChar w:fldCharType="separate"/>
        </w:r>
        <w:r w:rsidR="00AF4812" w:rsidRPr="00ED2279">
          <w:rPr>
            <w:webHidden/>
          </w:rPr>
          <w:t>109</w:t>
        </w:r>
        <w:r w:rsidR="00AF4812" w:rsidRPr="00ED2279">
          <w:rPr>
            <w:webHidden/>
          </w:rPr>
          <w:fldChar w:fldCharType="end"/>
        </w:r>
      </w:hyperlink>
    </w:p>
    <w:p w14:paraId="2180ADEB" w14:textId="5E29EA3D" w:rsidR="00AF4812" w:rsidRPr="00E46FB0" w:rsidRDefault="00084371">
      <w:pPr>
        <w:pStyle w:val="TOC3"/>
        <w:rPr>
          <w:rFonts w:asciiTheme="minorHAnsi" w:eastAsiaTheme="minorEastAsia" w:hAnsiTheme="minorHAnsi" w:cstheme="minorBidi"/>
          <w:szCs w:val="22"/>
          <w:lang w:val="en-AU" w:eastAsia="en-AU"/>
        </w:rPr>
      </w:pPr>
      <w:hyperlink w:anchor="_Toc65760562" w:history="1">
        <w:r w:rsidR="00AF4812" w:rsidRPr="00E46FB0">
          <w:rPr>
            <w:rStyle w:val="Hyperlink"/>
            <w14:scene3d>
              <w14:camera w14:prst="orthographicFront"/>
              <w14:lightRig w14:rig="threePt" w14:dir="t">
                <w14:rot w14:lat="0" w14:lon="0" w14:rev="0"/>
              </w14:lightRig>
            </w14:scene3d>
          </w:rPr>
          <w:t>6.2.2</w:t>
        </w:r>
        <w:r w:rsidR="00AF4812" w:rsidRPr="00ED2279">
          <w:rPr>
            <w:rFonts w:asciiTheme="minorHAnsi" w:eastAsiaTheme="minorEastAsia" w:hAnsiTheme="minorHAnsi" w:cstheme="minorBidi"/>
            <w:szCs w:val="22"/>
            <w:lang w:val="en-AU" w:eastAsia="en-AU"/>
          </w:rPr>
          <w:tab/>
        </w:r>
        <w:r w:rsidR="00AF4812" w:rsidRPr="00ED2279">
          <w:rPr>
            <w:rStyle w:val="Hyperlink"/>
          </w:rPr>
          <w:t>Data ownership and rights</w:t>
        </w:r>
        <w:r w:rsidR="00AF4812" w:rsidRPr="00ED2279">
          <w:rPr>
            <w:webHidden/>
          </w:rPr>
          <w:tab/>
        </w:r>
        <w:r w:rsidR="00AF4812" w:rsidRPr="00E46FB0">
          <w:rPr>
            <w:webHidden/>
          </w:rPr>
          <w:fldChar w:fldCharType="begin"/>
        </w:r>
        <w:r w:rsidR="00AF4812" w:rsidRPr="00ED2279">
          <w:rPr>
            <w:webHidden/>
          </w:rPr>
          <w:instrText xml:space="preserve"> PAGEREF _Toc65760562 \h </w:instrText>
        </w:r>
        <w:r w:rsidR="00AF4812" w:rsidRPr="00ED2279">
          <w:rPr>
            <w:webHidden/>
          </w:rPr>
        </w:r>
        <w:r w:rsidR="00AF4812" w:rsidRPr="00ED2279">
          <w:rPr>
            <w:webHidden/>
          </w:rPr>
          <w:fldChar w:fldCharType="separate"/>
        </w:r>
        <w:r w:rsidR="00AF4812" w:rsidRPr="00ED2279">
          <w:rPr>
            <w:webHidden/>
          </w:rPr>
          <w:t>109</w:t>
        </w:r>
        <w:r w:rsidR="00AF4812" w:rsidRPr="00ED2279">
          <w:rPr>
            <w:webHidden/>
          </w:rPr>
          <w:fldChar w:fldCharType="end"/>
        </w:r>
      </w:hyperlink>
    </w:p>
    <w:p w14:paraId="609CD23B" w14:textId="3060CE4F" w:rsidR="00AF4812" w:rsidRPr="00E46FB0" w:rsidRDefault="00084371">
      <w:pPr>
        <w:pStyle w:val="TOC3"/>
        <w:rPr>
          <w:rFonts w:asciiTheme="minorHAnsi" w:eastAsiaTheme="minorEastAsia" w:hAnsiTheme="minorHAnsi" w:cstheme="minorBidi"/>
          <w:szCs w:val="22"/>
          <w:lang w:val="en-AU" w:eastAsia="en-AU"/>
        </w:rPr>
      </w:pPr>
      <w:hyperlink w:anchor="_Toc65760563" w:history="1">
        <w:r w:rsidR="00AF4812" w:rsidRPr="00E46FB0">
          <w:rPr>
            <w:rStyle w:val="Hyperlink"/>
            <w14:scene3d>
              <w14:camera w14:prst="orthographicFront"/>
              <w14:lightRig w14:rig="threePt" w14:dir="t">
                <w14:rot w14:lat="0" w14:lon="0" w14:rev="0"/>
              </w14:lightRig>
            </w14:scene3d>
          </w:rPr>
          <w:t>6.2.3</w:t>
        </w:r>
        <w:r w:rsidR="00AF4812" w:rsidRPr="00ED2279">
          <w:rPr>
            <w:rFonts w:asciiTheme="minorHAnsi" w:eastAsiaTheme="minorEastAsia" w:hAnsiTheme="minorHAnsi" w:cstheme="minorBidi"/>
            <w:szCs w:val="22"/>
            <w:lang w:val="en-AU" w:eastAsia="en-AU"/>
          </w:rPr>
          <w:tab/>
        </w:r>
        <w:r w:rsidR="00AF4812" w:rsidRPr="00ED2279">
          <w:rPr>
            <w:rStyle w:val="Hyperlink"/>
          </w:rPr>
          <w:t>Data quality requirements</w:t>
        </w:r>
        <w:r w:rsidR="00AF4812" w:rsidRPr="00ED2279">
          <w:rPr>
            <w:webHidden/>
          </w:rPr>
          <w:tab/>
        </w:r>
        <w:r w:rsidR="00AF4812" w:rsidRPr="00E46FB0">
          <w:rPr>
            <w:webHidden/>
          </w:rPr>
          <w:fldChar w:fldCharType="begin"/>
        </w:r>
        <w:r w:rsidR="00AF4812" w:rsidRPr="00ED2279">
          <w:rPr>
            <w:webHidden/>
          </w:rPr>
          <w:instrText xml:space="preserve"> PAGEREF _Toc65760563 \h </w:instrText>
        </w:r>
        <w:r w:rsidR="00AF4812" w:rsidRPr="00ED2279">
          <w:rPr>
            <w:webHidden/>
          </w:rPr>
        </w:r>
        <w:r w:rsidR="00AF4812" w:rsidRPr="00ED2279">
          <w:rPr>
            <w:webHidden/>
          </w:rPr>
          <w:fldChar w:fldCharType="separate"/>
        </w:r>
        <w:r w:rsidR="00AF4812" w:rsidRPr="00ED2279">
          <w:rPr>
            <w:webHidden/>
          </w:rPr>
          <w:t>111</w:t>
        </w:r>
        <w:r w:rsidR="00AF4812" w:rsidRPr="00ED2279">
          <w:rPr>
            <w:webHidden/>
          </w:rPr>
          <w:fldChar w:fldCharType="end"/>
        </w:r>
      </w:hyperlink>
    </w:p>
    <w:p w14:paraId="7B3A14AC" w14:textId="69B9FFDF" w:rsidR="00AF4812" w:rsidRPr="00E46FB0" w:rsidRDefault="00084371">
      <w:pPr>
        <w:pStyle w:val="TOC3"/>
        <w:rPr>
          <w:rFonts w:asciiTheme="minorHAnsi" w:eastAsiaTheme="minorEastAsia" w:hAnsiTheme="minorHAnsi" w:cstheme="minorBidi"/>
          <w:szCs w:val="22"/>
          <w:lang w:val="en-AU" w:eastAsia="en-AU"/>
        </w:rPr>
      </w:pPr>
      <w:hyperlink w:anchor="_Toc65760564" w:history="1">
        <w:r w:rsidR="00AF4812" w:rsidRPr="00E46FB0">
          <w:rPr>
            <w:rStyle w:val="Hyperlink"/>
            <w14:scene3d>
              <w14:camera w14:prst="orthographicFront"/>
              <w14:lightRig w14:rig="threePt" w14:dir="t">
                <w14:rot w14:lat="0" w14:lon="0" w14:rev="0"/>
              </w14:lightRig>
            </w14:scene3d>
          </w:rPr>
          <w:t>6.2.4</w:t>
        </w:r>
        <w:r w:rsidR="00AF4812" w:rsidRPr="00ED2279">
          <w:rPr>
            <w:rFonts w:asciiTheme="minorHAnsi" w:eastAsiaTheme="minorEastAsia" w:hAnsiTheme="minorHAnsi" w:cstheme="minorBidi"/>
            <w:szCs w:val="22"/>
            <w:lang w:val="en-AU" w:eastAsia="en-AU"/>
          </w:rPr>
          <w:tab/>
        </w:r>
        <w:r w:rsidR="00AF4812" w:rsidRPr="00ED2279">
          <w:rPr>
            <w:rStyle w:val="Hyperlink"/>
          </w:rPr>
          <w:t>Data privacy and security</w:t>
        </w:r>
        <w:r w:rsidR="00AF4812" w:rsidRPr="00ED2279">
          <w:rPr>
            <w:webHidden/>
          </w:rPr>
          <w:tab/>
        </w:r>
        <w:r w:rsidR="00AF4812" w:rsidRPr="00E46FB0">
          <w:rPr>
            <w:webHidden/>
          </w:rPr>
          <w:fldChar w:fldCharType="begin"/>
        </w:r>
        <w:r w:rsidR="00AF4812" w:rsidRPr="00ED2279">
          <w:rPr>
            <w:webHidden/>
          </w:rPr>
          <w:instrText xml:space="preserve"> PAGEREF _Toc65760564 \h </w:instrText>
        </w:r>
        <w:r w:rsidR="00AF4812" w:rsidRPr="00ED2279">
          <w:rPr>
            <w:webHidden/>
          </w:rPr>
        </w:r>
        <w:r w:rsidR="00AF4812" w:rsidRPr="00ED2279">
          <w:rPr>
            <w:webHidden/>
          </w:rPr>
          <w:fldChar w:fldCharType="separate"/>
        </w:r>
        <w:r w:rsidR="00AF4812" w:rsidRPr="00ED2279">
          <w:rPr>
            <w:webHidden/>
          </w:rPr>
          <w:t>112</w:t>
        </w:r>
        <w:r w:rsidR="00AF4812" w:rsidRPr="00ED2279">
          <w:rPr>
            <w:webHidden/>
          </w:rPr>
          <w:fldChar w:fldCharType="end"/>
        </w:r>
      </w:hyperlink>
    </w:p>
    <w:p w14:paraId="7E37F242" w14:textId="6A62F9F6" w:rsidR="00AF4812" w:rsidRPr="00E46FB0" w:rsidRDefault="00084371">
      <w:pPr>
        <w:pStyle w:val="TOC3"/>
        <w:rPr>
          <w:rFonts w:asciiTheme="minorHAnsi" w:eastAsiaTheme="minorEastAsia" w:hAnsiTheme="minorHAnsi" w:cstheme="minorBidi"/>
          <w:szCs w:val="22"/>
          <w:lang w:val="en-AU" w:eastAsia="en-AU"/>
        </w:rPr>
      </w:pPr>
      <w:hyperlink w:anchor="_Toc65760565" w:history="1">
        <w:r w:rsidR="00AF4812" w:rsidRPr="00E46FB0">
          <w:rPr>
            <w:rStyle w:val="Hyperlink"/>
            <w14:scene3d>
              <w14:camera w14:prst="orthographicFront"/>
              <w14:lightRig w14:rig="threePt" w14:dir="t">
                <w14:rot w14:lat="0" w14:lon="0" w14:rev="0"/>
              </w14:lightRig>
            </w14:scene3d>
          </w:rPr>
          <w:t>6.2.5</w:t>
        </w:r>
        <w:r w:rsidR="00AF4812" w:rsidRPr="00ED2279">
          <w:rPr>
            <w:rFonts w:asciiTheme="minorHAnsi" w:eastAsiaTheme="minorEastAsia" w:hAnsiTheme="minorHAnsi" w:cstheme="minorBidi"/>
            <w:szCs w:val="22"/>
            <w:lang w:val="en-AU" w:eastAsia="en-AU"/>
          </w:rPr>
          <w:tab/>
        </w:r>
        <w:r w:rsidR="00AF4812" w:rsidRPr="00ED2279">
          <w:rPr>
            <w:rStyle w:val="Hyperlink"/>
          </w:rPr>
          <w:t>Application Programming Interfaces (APIs)</w:t>
        </w:r>
        <w:r w:rsidR="00AF4812" w:rsidRPr="00ED2279">
          <w:rPr>
            <w:webHidden/>
          </w:rPr>
          <w:tab/>
        </w:r>
        <w:r w:rsidR="00AF4812" w:rsidRPr="00E46FB0">
          <w:rPr>
            <w:webHidden/>
          </w:rPr>
          <w:fldChar w:fldCharType="begin"/>
        </w:r>
        <w:r w:rsidR="00AF4812" w:rsidRPr="00ED2279">
          <w:rPr>
            <w:webHidden/>
          </w:rPr>
          <w:instrText xml:space="preserve"> PAGEREF _Toc65760565 \h </w:instrText>
        </w:r>
        <w:r w:rsidR="00AF4812" w:rsidRPr="00ED2279">
          <w:rPr>
            <w:webHidden/>
          </w:rPr>
        </w:r>
        <w:r w:rsidR="00AF4812" w:rsidRPr="00ED2279">
          <w:rPr>
            <w:webHidden/>
          </w:rPr>
          <w:fldChar w:fldCharType="separate"/>
        </w:r>
        <w:r w:rsidR="00AF4812" w:rsidRPr="00ED2279">
          <w:rPr>
            <w:webHidden/>
          </w:rPr>
          <w:t>112</w:t>
        </w:r>
        <w:r w:rsidR="00AF4812" w:rsidRPr="00ED2279">
          <w:rPr>
            <w:webHidden/>
          </w:rPr>
          <w:fldChar w:fldCharType="end"/>
        </w:r>
      </w:hyperlink>
    </w:p>
    <w:p w14:paraId="4355BDD8" w14:textId="4CB4FF7F" w:rsidR="00AF4812" w:rsidRPr="00E46FB0" w:rsidRDefault="00084371">
      <w:pPr>
        <w:pStyle w:val="TOC3"/>
        <w:rPr>
          <w:rFonts w:asciiTheme="minorHAnsi" w:eastAsiaTheme="minorEastAsia" w:hAnsiTheme="minorHAnsi" w:cstheme="minorBidi"/>
          <w:szCs w:val="22"/>
          <w:lang w:val="en-AU" w:eastAsia="en-AU"/>
        </w:rPr>
      </w:pPr>
      <w:hyperlink w:anchor="_Toc65760566" w:history="1">
        <w:r w:rsidR="00AF4812" w:rsidRPr="00E46FB0">
          <w:rPr>
            <w:rStyle w:val="Hyperlink"/>
            <w14:scene3d>
              <w14:camera w14:prst="orthographicFront"/>
              <w14:lightRig w14:rig="threePt" w14:dir="t">
                <w14:rot w14:lat="0" w14:lon="0" w14:rev="0"/>
              </w14:lightRig>
            </w14:scene3d>
          </w:rPr>
          <w:t>6.2.6</w:t>
        </w:r>
        <w:r w:rsidR="00AF4812" w:rsidRPr="00ED2279">
          <w:rPr>
            <w:rFonts w:asciiTheme="minorHAnsi" w:eastAsiaTheme="minorEastAsia" w:hAnsiTheme="minorHAnsi" w:cstheme="minorBidi"/>
            <w:szCs w:val="22"/>
            <w:lang w:val="en-AU" w:eastAsia="en-AU"/>
          </w:rPr>
          <w:tab/>
        </w:r>
        <w:r w:rsidR="00AF4812" w:rsidRPr="00ED2279">
          <w:rPr>
            <w:rStyle w:val="Hyperlink"/>
          </w:rPr>
          <w:t>Cloud storage</w:t>
        </w:r>
        <w:r w:rsidR="00AF4812" w:rsidRPr="00ED2279">
          <w:rPr>
            <w:webHidden/>
          </w:rPr>
          <w:tab/>
        </w:r>
        <w:r w:rsidR="00AF4812" w:rsidRPr="00E46FB0">
          <w:rPr>
            <w:webHidden/>
          </w:rPr>
          <w:fldChar w:fldCharType="begin"/>
        </w:r>
        <w:r w:rsidR="00AF4812" w:rsidRPr="00ED2279">
          <w:rPr>
            <w:webHidden/>
          </w:rPr>
          <w:instrText xml:space="preserve"> PAGEREF _Toc65760566 \h </w:instrText>
        </w:r>
        <w:r w:rsidR="00AF4812" w:rsidRPr="00ED2279">
          <w:rPr>
            <w:webHidden/>
          </w:rPr>
        </w:r>
        <w:r w:rsidR="00AF4812" w:rsidRPr="00ED2279">
          <w:rPr>
            <w:webHidden/>
          </w:rPr>
          <w:fldChar w:fldCharType="separate"/>
        </w:r>
        <w:r w:rsidR="00AF4812" w:rsidRPr="00ED2279">
          <w:rPr>
            <w:webHidden/>
          </w:rPr>
          <w:t>112</w:t>
        </w:r>
        <w:r w:rsidR="00AF4812" w:rsidRPr="00ED2279">
          <w:rPr>
            <w:webHidden/>
          </w:rPr>
          <w:fldChar w:fldCharType="end"/>
        </w:r>
      </w:hyperlink>
    </w:p>
    <w:p w14:paraId="4B60E8A6" w14:textId="4ED3EA88" w:rsidR="00AF4812" w:rsidRPr="00E46FB0" w:rsidRDefault="00084371">
      <w:pPr>
        <w:pStyle w:val="TOC3"/>
        <w:rPr>
          <w:rFonts w:asciiTheme="minorHAnsi" w:eastAsiaTheme="minorEastAsia" w:hAnsiTheme="minorHAnsi" w:cstheme="minorBidi"/>
          <w:szCs w:val="22"/>
          <w:lang w:val="en-AU" w:eastAsia="en-AU"/>
        </w:rPr>
      </w:pPr>
      <w:hyperlink w:anchor="_Toc65760567" w:history="1">
        <w:r w:rsidR="00AF4812" w:rsidRPr="00E46FB0">
          <w:rPr>
            <w:rStyle w:val="Hyperlink"/>
            <w14:scene3d>
              <w14:camera w14:prst="orthographicFront"/>
              <w14:lightRig w14:rig="threePt" w14:dir="t">
                <w14:rot w14:lat="0" w14:lon="0" w14:rev="0"/>
              </w14:lightRig>
            </w14:scene3d>
          </w:rPr>
          <w:t>6.2.7</w:t>
        </w:r>
        <w:r w:rsidR="00AF4812" w:rsidRPr="00ED2279">
          <w:rPr>
            <w:rFonts w:asciiTheme="minorHAnsi" w:eastAsiaTheme="minorEastAsia" w:hAnsiTheme="minorHAnsi" w:cstheme="minorBidi"/>
            <w:szCs w:val="22"/>
            <w:lang w:val="en-AU" w:eastAsia="en-AU"/>
          </w:rPr>
          <w:tab/>
        </w:r>
        <w:r w:rsidR="00AF4812" w:rsidRPr="00ED2279">
          <w:rPr>
            <w:rStyle w:val="Hyperlink"/>
          </w:rPr>
          <w:t>Establishing clear responsibilities</w:t>
        </w:r>
        <w:r w:rsidR="00AF4812" w:rsidRPr="00ED2279">
          <w:rPr>
            <w:webHidden/>
          </w:rPr>
          <w:tab/>
        </w:r>
        <w:r w:rsidR="00AF4812" w:rsidRPr="00E46FB0">
          <w:rPr>
            <w:webHidden/>
          </w:rPr>
          <w:fldChar w:fldCharType="begin"/>
        </w:r>
        <w:r w:rsidR="00AF4812" w:rsidRPr="00ED2279">
          <w:rPr>
            <w:webHidden/>
          </w:rPr>
          <w:instrText xml:space="preserve"> PAGEREF _Toc65760567 \h </w:instrText>
        </w:r>
        <w:r w:rsidR="00AF4812" w:rsidRPr="00ED2279">
          <w:rPr>
            <w:webHidden/>
          </w:rPr>
        </w:r>
        <w:r w:rsidR="00AF4812" w:rsidRPr="00ED2279">
          <w:rPr>
            <w:webHidden/>
          </w:rPr>
          <w:fldChar w:fldCharType="separate"/>
        </w:r>
        <w:r w:rsidR="00AF4812" w:rsidRPr="00ED2279">
          <w:rPr>
            <w:webHidden/>
          </w:rPr>
          <w:t>113</w:t>
        </w:r>
        <w:r w:rsidR="00AF4812" w:rsidRPr="00ED2279">
          <w:rPr>
            <w:webHidden/>
          </w:rPr>
          <w:fldChar w:fldCharType="end"/>
        </w:r>
      </w:hyperlink>
    </w:p>
    <w:p w14:paraId="5FCA18B2" w14:textId="1C1042AE" w:rsidR="00AF4812" w:rsidRPr="00E46FB0" w:rsidRDefault="00084371">
      <w:pPr>
        <w:pStyle w:val="TOC2"/>
        <w:rPr>
          <w:rFonts w:asciiTheme="minorHAnsi" w:eastAsiaTheme="minorEastAsia" w:hAnsiTheme="minorHAnsi" w:cstheme="minorBidi"/>
          <w:szCs w:val="22"/>
          <w:lang w:val="en-AU" w:eastAsia="en-AU"/>
        </w:rPr>
      </w:pPr>
      <w:hyperlink w:anchor="_Toc65760568" w:history="1">
        <w:r w:rsidR="00AF4812" w:rsidRPr="00E46FB0">
          <w:rPr>
            <w:rStyle w:val="Hyperlink"/>
            <w14:scene3d>
              <w14:camera w14:prst="orthographicFront"/>
              <w14:lightRig w14:rig="threePt" w14:dir="t">
                <w14:rot w14:lat="0" w14:lon="0" w14:rev="0"/>
              </w14:lightRig>
            </w14:scene3d>
          </w:rPr>
          <w:t>6.3</w:t>
        </w:r>
        <w:r w:rsidR="00AF4812" w:rsidRPr="00ED2279">
          <w:rPr>
            <w:rFonts w:asciiTheme="minorHAnsi" w:eastAsiaTheme="minorEastAsia" w:hAnsiTheme="minorHAnsi" w:cstheme="minorBidi"/>
            <w:szCs w:val="22"/>
            <w:lang w:val="en-AU" w:eastAsia="en-AU"/>
          </w:rPr>
          <w:tab/>
        </w:r>
        <w:r w:rsidR="00AF4812" w:rsidRPr="00ED2279">
          <w:rPr>
            <w:rStyle w:val="Hyperlink"/>
          </w:rPr>
          <w:t>Key contract terms for IoT solutions</w:t>
        </w:r>
        <w:r w:rsidR="00AF4812" w:rsidRPr="00ED2279">
          <w:rPr>
            <w:webHidden/>
          </w:rPr>
          <w:tab/>
        </w:r>
        <w:r w:rsidR="00AF4812" w:rsidRPr="00E46FB0">
          <w:rPr>
            <w:webHidden/>
          </w:rPr>
          <w:fldChar w:fldCharType="begin"/>
        </w:r>
        <w:r w:rsidR="00AF4812" w:rsidRPr="00ED2279">
          <w:rPr>
            <w:webHidden/>
          </w:rPr>
          <w:instrText xml:space="preserve"> PAGEREF _Toc65760568 \h </w:instrText>
        </w:r>
        <w:r w:rsidR="00AF4812" w:rsidRPr="00ED2279">
          <w:rPr>
            <w:webHidden/>
          </w:rPr>
        </w:r>
        <w:r w:rsidR="00AF4812" w:rsidRPr="00ED2279">
          <w:rPr>
            <w:webHidden/>
          </w:rPr>
          <w:fldChar w:fldCharType="separate"/>
        </w:r>
        <w:r w:rsidR="00AF4812" w:rsidRPr="00ED2279">
          <w:rPr>
            <w:webHidden/>
          </w:rPr>
          <w:t>114</w:t>
        </w:r>
        <w:r w:rsidR="00AF4812" w:rsidRPr="00ED2279">
          <w:rPr>
            <w:webHidden/>
          </w:rPr>
          <w:fldChar w:fldCharType="end"/>
        </w:r>
      </w:hyperlink>
    </w:p>
    <w:p w14:paraId="6722502F" w14:textId="6055BAF9" w:rsidR="00AF4812" w:rsidRPr="00E46FB0" w:rsidRDefault="00084371">
      <w:pPr>
        <w:pStyle w:val="TOC1"/>
        <w:rPr>
          <w:rFonts w:asciiTheme="minorHAnsi" w:eastAsiaTheme="minorEastAsia" w:hAnsiTheme="minorHAnsi" w:cstheme="minorBidi"/>
          <w:b w:val="0"/>
          <w:szCs w:val="22"/>
          <w:lang w:val="en-AU" w:eastAsia="en-AU"/>
        </w:rPr>
      </w:pPr>
      <w:hyperlink w:anchor="_Toc65760569" w:history="1">
        <w:r w:rsidR="00AF4812" w:rsidRPr="00E46FB0">
          <w:rPr>
            <w:rStyle w:val="Hyperlink"/>
          </w:rPr>
          <w:t>7.</w:t>
        </w:r>
        <w:r w:rsidR="00AF4812" w:rsidRPr="00ED2279">
          <w:rPr>
            <w:rFonts w:asciiTheme="minorHAnsi" w:eastAsiaTheme="minorEastAsia" w:hAnsiTheme="minorHAnsi" w:cstheme="minorBidi"/>
            <w:b w:val="0"/>
            <w:szCs w:val="22"/>
            <w:lang w:val="en-AU" w:eastAsia="en-AU"/>
          </w:rPr>
          <w:tab/>
        </w:r>
        <w:r w:rsidR="00AF4812" w:rsidRPr="00ED2279">
          <w:rPr>
            <w:rStyle w:val="Hyperlink"/>
          </w:rPr>
          <w:t>Set up</w:t>
        </w:r>
        <w:r w:rsidR="00AF4812" w:rsidRPr="00ED2279">
          <w:rPr>
            <w:webHidden/>
          </w:rPr>
          <w:tab/>
        </w:r>
        <w:r w:rsidR="00AF4812" w:rsidRPr="00E46FB0">
          <w:rPr>
            <w:webHidden/>
          </w:rPr>
          <w:fldChar w:fldCharType="begin"/>
        </w:r>
        <w:r w:rsidR="00AF4812" w:rsidRPr="00ED2279">
          <w:rPr>
            <w:webHidden/>
          </w:rPr>
          <w:instrText xml:space="preserve"> PAGEREF _Toc65760569 \h </w:instrText>
        </w:r>
        <w:r w:rsidR="00AF4812" w:rsidRPr="00ED2279">
          <w:rPr>
            <w:webHidden/>
          </w:rPr>
        </w:r>
        <w:r w:rsidR="00AF4812" w:rsidRPr="00ED2279">
          <w:rPr>
            <w:webHidden/>
          </w:rPr>
          <w:fldChar w:fldCharType="separate"/>
        </w:r>
        <w:r w:rsidR="00AF4812" w:rsidRPr="00ED2279">
          <w:rPr>
            <w:webHidden/>
          </w:rPr>
          <w:t>115</w:t>
        </w:r>
        <w:r w:rsidR="00AF4812" w:rsidRPr="00ED2279">
          <w:rPr>
            <w:webHidden/>
          </w:rPr>
          <w:fldChar w:fldCharType="end"/>
        </w:r>
      </w:hyperlink>
    </w:p>
    <w:p w14:paraId="2A6B0E04" w14:textId="541A1B1F" w:rsidR="00AF4812" w:rsidRPr="00E46FB0" w:rsidRDefault="00084371">
      <w:pPr>
        <w:pStyle w:val="TOC2"/>
        <w:rPr>
          <w:rFonts w:asciiTheme="minorHAnsi" w:eastAsiaTheme="minorEastAsia" w:hAnsiTheme="minorHAnsi" w:cstheme="minorBidi"/>
          <w:szCs w:val="22"/>
          <w:lang w:val="en-AU" w:eastAsia="en-AU"/>
        </w:rPr>
      </w:pPr>
      <w:hyperlink w:anchor="_Toc65760570" w:history="1">
        <w:r w:rsidR="00AF4812" w:rsidRPr="00E46FB0">
          <w:rPr>
            <w:rStyle w:val="Hyperlink"/>
            <w14:scene3d>
              <w14:camera w14:prst="orthographicFront"/>
              <w14:lightRig w14:rig="threePt" w14:dir="t">
                <w14:rot w14:lat="0" w14:lon="0" w14:rev="0"/>
              </w14:lightRig>
            </w14:scene3d>
          </w:rPr>
          <w:t>7.1</w:t>
        </w:r>
        <w:r w:rsidR="00AF4812" w:rsidRPr="00ED2279">
          <w:rPr>
            <w:rFonts w:asciiTheme="minorHAnsi" w:eastAsiaTheme="minorEastAsia" w:hAnsiTheme="minorHAnsi" w:cstheme="minorBidi"/>
            <w:szCs w:val="22"/>
            <w:lang w:val="en-AU" w:eastAsia="en-AU"/>
          </w:rPr>
          <w:tab/>
        </w:r>
        <w:r w:rsidR="00AF4812" w:rsidRPr="00ED2279">
          <w:rPr>
            <w:rStyle w:val="Hyperlink"/>
          </w:rPr>
          <w:t>Change management</w:t>
        </w:r>
        <w:r w:rsidR="00AF4812" w:rsidRPr="00ED2279">
          <w:rPr>
            <w:webHidden/>
          </w:rPr>
          <w:tab/>
        </w:r>
        <w:r w:rsidR="00AF4812" w:rsidRPr="00E46FB0">
          <w:rPr>
            <w:webHidden/>
          </w:rPr>
          <w:fldChar w:fldCharType="begin"/>
        </w:r>
        <w:r w:rsidR="00AF4812" w:rsidRPr="00ED2279">
          <w:rPr>
            <w:webHidden/>
          </w:rPr>
          <w:instrText xml:space="preserve"> PAGEREF _Toc65760570 \h </w:instrText>
        </w:r>
        <w:r w:rsidR="00AF4812" w:rsidRPr="00ED2279">
          <w:rPr>
            <w:webHidden/>
          </w:rPr>
        </w:r>
        <w:r w:rsidR="00AF4812" w:rsidRPr="00ED2279">
          <w:rPr>
            <w:webHidden/>
          </w:rPr>
          <w:fldChar w:fldCharType="separate"/>
        </w:r>
        <w:r w:rsidR="00AF4812" w:rsidRPr="00ED2279">
          <w:rPr>
            <w:webHidden/>
          </w:rPr>
          <w:t>116</w:t>
        </w:r>
        <w:r w:rsidR="00AF4812" w:rsidRPr="00ED2279">
          <w:rPr>
            <w:webHidden/>
          </w:rPr>
          <w:fldChar w:fldCharType="end"/>
        </w:r>
      </w:hyperlink>
    </w:p>
    <w:p w14:paraId="68057B5A" w14:textId="1900774E" w:rsidR="00AF4812" w:rsidRPr="00E46FB0" w:rsidRDefault="00084371">
      <w:pPr>
        <w:pStyle w:val="TOC3"/>
        <w:rPr>
          <w:rFonts w:asciiTheme="minorHAnsi" w:eastAsiaTheme="minorEastAsia" w:hAnsiTheme="minorHAnsi" w:cstheme="minorBidi"/>
          <w:szCs w:val="22"/>
          <w:lang w:val="en-AU" w:eastAsia="en-AU"/>
        </w:rPr>
      </w:pPr>
      <w:hyperlink w:anchor="_Toc65760571" w:history="1">
        <w:r w:rsidR="00AF4812" w:rsidRPr="00E46FB0">
          <w:rPr>
            <w:rStyle w:val="Hyperlink"/>
            <w14:scene3d>
              <w14:camera w14:prst="orthographicFront"/>
              <w14:lightRig w14:rig="threePt" w14:dir="t">
                <w14:rot w14:lat="0" w14:lon="0" w14:rev="0"/>
              </w14:lightRig>
            </w14:scene3d>
          </w:rPr>
          <w:t>7.1.1</w:t>
        </w:r>
        <w:r w:rsidR="00AF4812" w:rsidRPr="00ED2279">
          <w:rPr>
            <w:rFonts w:asciiTheme="minorHAnsi" w:eastAsiaTheme="minorEastAsia" w:hAnsiTheme="minorHAnsi" w:cstheme="minorBidi"/>
            <w:szCs w:val="22"/>
            <w:lang w:val="en-AU" w:eastAsia="en-AU"/>
          </w:rPr>
          <w:tab/>
        </w:r>
        <w:r w:rsidR="00AF4812" w:rsidRPr="00ED2279">
          <w:rPr>
            <w:rStyle w:val="Hyperlink"/>
          </w:rPr>
          <w:t>What is change management?</w:t>
        </w:r>
        <w:r w:rsidR="00AF4812" w:rsidRPr="00ED2279">
          <w:rPr>
            <w:webHidden/>
          </w:rPr>
          <w:tab/>
        </w:r>
        <w:r w:rsidR="00AF4812" w:rsidRPr="00E46FB0">
          <w:rPr>
            <w:webHidden/>
          </w:rPr>
          <w:fldChar w:fldCharType="begin"/>
        </w:r>
        <w:r w:rsidR="00AF4812" w:rsidRPr="00ED2279">
          <w:rPr>
            <w:webHidden/>
          </w:rPr>
          <w:instrText xml:space="preserve"> PAGEREF _Toc65760571 \h </w:instrText>
        </w:r>
        <w:r w:rsidR="00AF4812" w:rsidRPr="00ED2279">
          <w:rPr>
            <w:webHidden/>
          </w:rPr>
        </w:r>
        <w:r w:rsidR="00AF4812" w:rsidRPr="00ED2279">
          <w:rPr>
            <w:webHidden/>
          </w:rPr>
          <w:fldChar w:fldCharType="separate"/>
        </w:r>
        <w:r w:rsidR="00AF4812" w:rsidRPr="00ED2279">
          <w:rPr>
            <w:webHidden/>
          </w:rPr>
          <w:t>116</w:t>
        </w:r>
        <w:r w:rsidR="00AF4812" w:rsidRPr="00ED2279">
          <w:rPr>
            <w:webHidden/>
          </w:rPr>
          <w:fldChar w:fldCharType="end"/>
        </w:r>
      </w:hyperlink>
    </w:p>
    <w:p w14:paraId="355A2BF9" w14:textId="1F75E88F" w:rsidR="00AF4812" w:rsidRPr="00E46FB0" w:rsidRDefault="00084371">
      <w:pPr>
        <w:pStyle w:val="TOC3"/>
        <w:rPr>
          <w:rFonts w:asciiTheme="minorHAnsi" w:eastAsiaTheme="minorEastAsia" w:hAnsiTheme="minorHAnsi" w:cstheme="minorBidi"/>
          <w:szCs w:val="22"/>
          <w:lang w:val="en-AU" w:eastAsia="en-AU"/>
        </w:rPr>
      </w:pPr>
      <w:hyperlink w:anchor="_Toc65760572" w:history="1">
        <w:r w:rsidR="00AF4812" w:rsidRPr="00E46FB0">
          <w:rPr>
            <w:rStyle w:val="Hyperlink"/>
            <w14:scene3d>
              <w14:camera w14:prst="orthographicFront"/>
              <w14:lightRig w14:rig="threePt" w14:dir="t">
                <w14:rot w14:lat="0" w14:lon="0" w14:rev="0"/>
              </w14:lightRig>
            </w14:scene3d>
          </w:rPr>
          <w:t>7.1.2</w:t>
        </w:r>
        <w:r w:rsidR="00AF4812" w:rsidRPr="00ED2279">
          <w:rPr>
            <w:rFonts w:asciiTheme="minorHAnsi" w:eastAsiaTheme="minorEastAsia" w:hAnsiTheme="minorHAnsi" w:cstheme="minorBidi"/>
            <w:szCs w:val="22"/>
            <w:lang w:val="en-AU" w:eastAsia="en-AU"/>
          </w:rPr>
          <w:tab/>
        </w:r>
        <w:r w:rsidR="00AF4812" w:rsidRPr="00ED2279">
          <w:rPr>
            <w:rStyle w:val="Hyperlink"/>
          </w:rPr>
          <w:t>Why is change management necessary?</w:t>
        </w:r>
        <w:r w:rsidR="00AF4812" w:rsidRPr="00ED2279">
          <w:rPr>
            <w:webHidden/>
          </w:rPr>
          <w:tab/>
        </w:r>
        <w:r w:rsidR="00AF4812" w:rsidRPr="00E46FB0">
          <w:rPr>
            <w:webHidden/>
          </w:rPr>
          <w:fldChar w:fldCharType="begin"/>
        </w:r>
        <w:r w:rsidR="00AF4812" w:rsidRPr="00ED2279">
          <w:rPr>
            <w:webHidden/>
          </w:rPr>
          <w:instrText xml:space="preserve"> PAGEREF _Toc65760572 \h </w:instrText>
        </w:r>
        <w:r w:rsidR="00AF4812" w:rsidRPr="00ED2279">
          <w:rPr>
            <w:webHidden/>
          </w:rPr>
        </w:r>
        <w:r w:rsidR="00AF4812" w:rsidRPr="00ED2279">
          <w:rPr>
            <w:webHidden/>
          </w:rPr>
          <w:fldChar w:fldCharType="separate"/>
        </w:r>
        <w:r w:rsidR="00AF4812" w:rsidRPr="00ED2279">
          <w:rPr>
            <w:webHidden/>
          </w:rPr>
          <w:t>116</w:t>
        </w:r>
        <w:r w:rsidR="00AF4812" w:rsidRPr="00ED2279">
          <w:rPr>
            <w:webHidden/>
          </w:rPr>
          <w:fldChar w:fldCharType="end"/>
        </w:r>
      </w:hyperlink>
    </w:p>
    <w:p w14:paraId="5F55C818" w14:textId="0B2F716D" w:rsidR="00AF4812" w:rsidRPr="00E46FB0" w:rsidRDefault="00084371">
      <w:pPr>
        <w:pStyle w:val="TOC3"/>
        <w:rPr>
          <w:rFonts w:asciiTheme="minorHAnsi" w:eastAsiaTheme="minorEastAsia" w:hAnsiTheme="minorHAnsi" w:cstheme="minorBidi"/>
          <w:szCs w:val="22"/>
          <w:lang w:val="en-AU" w:eastAsia="en-AU"/>
        </w:rPr>
      </w:pPr>
      <w:hyperlink w:anchor="_Toc65760573" w:history="1">
        <w:r w:rsidR="00AF4812" w:rsidRPr="00E46FB0">
          <w:rPr>
            <w:rStyle w:val="Hyperlink"/>
            <w14:scene3d>
              <w14:camera w14:prst="orthographicFront"/>
              <w14:lightRig w14:rig="threePt" w14:dir="t">
                <w14:rot w14:lat="0" w14:lon="0" w14:rev="0"/>
              </w14:lightRig>
            </w14:scene3d>
          </w:rPr>
          <w:t>7.1.3</w:t>
        </w:r>
        <w:r w:rsidR="00AF4812" w:rsidRPr="00ED2279">
          <w:rPr>
            <w:rFonts w:asciiTheme="minorHAnsi" w:eastAsiaTheme="minorEastAsia" w:hAnsiTheme="minorHAnsi" w:cstheme="minorBidi"/>
            <w:szCs w:val="22"/>
            <w:lang w:val="en-AU" w:eastAsia="en-AU"/>
          </w:rPr>
          <w:tab/>
        </w:r>
        <w:r w:rsidR="00AF4812" w:rsidRPr="00ED2279">
          <w:rPr>
            <w:rStyle w:val="Hyperlink"/>
          </w:rPr>
          <w:t>Managing change resulting from IoT-enabled projects</w:t>
        </w:r>
        <w:r w:rsidR="00AF4812" w:rsidRPr="00ED2279">
          <w:rPr>
            <w:webHidden/>
          </w:rPr>
          <w:tab/>
        </w:r>
        <w:r w:rsidR="00AF4812" w:rsidRPr="00E46FB0">
          <w:rPr>
            <w:webHidden/>
          </w:rPr>
          <w:fldChar w:fldCharType="begin"/>
        </w:r>
        <w:r w:rsidR="00AF4812" w:rsidRPr="00ED2279">
          <w:rPr>
            <w:webHidden/>
          </w:rPr>
          <w:instrText xml:space="preserve"> PAGEREF _Toc65760573 \h </w:instrText>
        </w:r>
        <w:r w:rsidR="00AF4812" w:rsidRPr="00ED2279">
          <w:rPr>
            <w:webHidden/>
          </w:rPr>
        </w:r>
        <w:r w:rsidR="00AF4812" w:rsidRPr="00ED2279">
          <w:rPr>
            <w:webHidden/>
          </w:rPr>
          <w:fldChar w:fldCharType="separate"/>
        </w:r>
        <w:r w:rsidR="00AF4812" w:rsidRPr="00ED2279">
          <w:rPr>
            <w:webHidden/>
          </w:rPr>
          <w:t>116</w:t>
        </w:r>
        <w:r w:rsidR="00AF4812" w:rsidRPr="00ED2279">
          <w:rPr>
            <w:webHidden/>
          </w:rPr>
          <w:fldChar w:fldCharType="end"/>
        </w:r>
      </w:hyperlink>
    </w:p>
    <w:p w14:paraId="78EA3C59" w14:textId="480200F1" w:rsidR="00AF4812" w:rsidRPr="00E46FB0" w:rsidRDefault="00084371">
      <w:pPr>
        <w:pStyle w:val="TOC3"/>
        <w:rPr>
          <w:rFonts w:asciiTheme="minorHAnsi" w:eastAsiaTheme="minorEastAsia" w:hAnsiTheme="minorHAnsi" w:cstheme="minorBidi"/>
          <w:szCs w:val="22"/>
          <w:lang w:val="en-AU" w:eastAsia="en-AU"/>
        </w:rPr>
      </w:pPr>
      <w:hyperlink w:anchor="_Toc65760574" w:history="1">
        <w:r w:rsidR="00AF4812" w:rsidRPr="00E46FB0">
          <w:rPr>
            <w:rStyle w:val="Hyperlink"/>
            <w14:scene3d>
              <w14:camera w14:prst="orthographicFront"/>
              <w14:lightRig w14:rig="threePt" w14:dir="t">
                <w14:rot w14:lat="0" w14:lon="0" w14:rev="0"/>
              </w14:lightRig>
            </w14:scene3d>
          </w:rPr>
          <w:t>7.1.4</w:t>
        </w:r>
        <w:r w:rsidR="00AF4812" w:rsidRPr="00ED2279">
          <w:rPr>
            <w:rFonts w:asciiTheme="minorHAnsi" w:eastAsiaTheme="minorEastAsia" w:hAnsiTheme="minorHAnsi" w:cstheme="minorBidi"/>
            <w:szCs w:val="22"/>
            <w:lang w:val="en-AU" w:eastAsia="en-AU"/>
          </w:rPr>
          <w:tab/>
        </w:r>
        <w:r w:rsidR="00AF4812" w:rsidRPr="00ED2279">
          <w:rPr>
            <w:rStyle w:val="Hyperlink"/>
          </w:rPr>
          <w:t>Managing ICT infrastructure change</w:t>
        </w:r>
        <w:r w:rsidR="00AF4812" w:rsidRPr="00ED2279">
          <w:rPr>
            <w:webHidden/>
          </w:rPr>
          <w:tab/>
        </w:r>
        <w:r w:rsidR="00AF4812" w:rsidRPr="00E46FB0">
          <w:rPr>
            <w:webHidden/>
          </w:rPr>
          <w:fldChar w:fldCharType="begin"/>
        </w:r>
        <w:r w:rsidR="00AF4812" w:rsidRPr="00ED2279">
          <w:rPr>
            <w:webHidden/>
          </w:rPr>
          <w:instrText xml:space="preserve"> PAGEREF _Toc65760574 \h </w:instrText>
        </w:r>
        <w:r w:rsidR="00AF4812" w:rsidRPr="00ED2279">
          <w:rPr>
            <w:webHidden/>
          </w:rPr>
        </w:r>
        <w:r w:rsidR="00AF4812" w:rsidRPr="00ED2279">
          <w:rPr>
            <w:webHidden/>
          </w:rPr>
          <w:fldChar w:fldCharType="separate"/>
        </w:r>
        <w:r w:rsidR="00AF4812" w:rsidRPr="00ED2279">
          <w:rPr>
            <w:webHidden/>
          </w:rPr>
          <w:t>117</w:t>
        </w:r>
        <w:r w:rsidR="00AF4812" w:rsidRPr="00ED2279">
          <w:rPr>
            <w:webHidden/>
          </w:rPr>
          <w:fldChar w:fldCharType="end"/>
        </w:r>
      </w:hyperlink>
    </w:p>
    <w:p w14:paraId="4D1A174B" w14:textId="340266AD" w:rsidR="00AF4812" w:rsidRPr="00E46FB0" w:rsidRDefault="00084371">
      <w:pPr>
        <w:pStyle w:val="TOC3"/>
        <w:rPr>
          <w:rFonts w:asciiTheme="minorHAnsi" w:eastAsiaTheme="minorEastAsia" w:hAnsiTheme="minorHAnsi" w:cstheme="minorBidi"/>
          <w:szCs w:val="22"/>
          <w:lang w:val="en-AU" w:eastAsia="en-AU"/>
        </w:rPr>
      </w:pPr>
      <w:hyperlink w:anchor="_Toc65760575" w:history="1">
        <w:r w:rsidR="00AF4812" w:rsidRPr="00ED2279">
          <w:rPr>
            <w:rStyle w:val="Hyperlink"/>
            <w14:scene3d>
              <w14:camera w14:prst="orthographicFront"/>
              <w14:lightRig w14:rig="threePt" w14:dir="t">
                <w14:rot w14:lat="0" w14:lon="0" w14:rev="0"/>
              </w14:lightRig>
            </w14:scene3d>
          </w:rPr>
          <w:t>7.1.5</w:t>
        </w:r>
        <w:r w:rsidR="00AF4812" w:rsidRPr="00ED2279">
          <w:rPr>
            <w:rFonts w:asciiTheme="minorHAnsi" w:eastAsiaTheme="minorEastAsia" w:hAnsiTheme="minorHAnsi" w:cstheme="minorBidi"/>
            <w:szCs w:val="22"/>
            <w:lang w:val="en-AU" w:eastAsia="en-AU"/>
          </w:rPr>
          <w:tab/>
        </w:r>
        <w:r w:rsidR="00AF4812" w:rsidRPr="00ED2279">
          <w:rPr>
            <w:rStyle w:val="Hyperlink"/>
          </w:rPr>
          <w:t>Additional resources</w:t>
        </w:r>
        <w:r w:rsidR="00AF4812" w:rsidRPr="00ED2279">
          <w:rPr>
            <w:webHidden/>
          </w:rPr>
          <w:tab/>
        </w:r>
        <w:r w:rsidR="00AF4812" w:rsidRPr="00ED2279">
          <w:rPr>
            <w:webHidden/>
          </w:rPr>
          <w:fldChar w:fldCharType="begin"/>
        </w:r>
        <w:r w:rsidR="00AF4812" w:rsidRPr="00ED2279">
          <w:rPr>
            <w:webHidden/>
          </w:rPr>
          <w:instrText xml:space="preserve"> PAGEREF _Toc65760575 \h </w:instrText>
        </w:r>
        <w:r w:rsidR="00AF4812" w:rsidRPr="00ED2279">
          <w:rPr>
            <w:webHidden/>
          </w:rPr>
        </w:r>
        <w:r w:rsidR="00AF4812" w:rsidRPr="00ED2279">
          <w:rPr>
            <w:webHidden/>
          </w:rPr>
          <w:fldChar w:fldCharType="separate"/>
        </w:r>
        <w:r w:rsidR="00AF4812" w:rsidRPr="00ED2279">
          <w:rPr>
            <w:webHidden/>
          </w:rPr>
          <w:t>118</w:t>
        </w:r>
        <w:r w:rsidR="00AF4812" w:rsidRPr="00ED2279">
          <w:rPr>
            <w:webHidden/>
          </w:rPr>
          <w:fldChar w:fldCharType="end"/>
        </w:r>
      </w:hyperlink>
    </w:p>
    <w:p w14:paraId="7CFC86E9" w14:textId="0EF3C5F6" w:rsidR="00AF4812" w:rsidRPr="00E46FB0" w:rsidRDefault="00084371">
      <w:pPr>
        <w:pStyle w:val="TOC2"/>
        <w:rPr>
          <w:rFonts w:asciiTheme="minorHAnsi" w:eastAsiaTheme="minorEastAsia" w:hAnsiTheme="minorHAnsi" w:cstheme="minorBidi"/>
          <w:szCs w:val="22"/>
          <w:lang w:val="en-AU" w:eastAsia="en-AU"/>
        </w:rPr>
      </w:pPr>
      <w:hyperlink w:anchor="_Toc65760576" w:history="1">
        <w:r w:rsidR="00AF4812" w:rsidRPr="00ED2279">
          <w:rPr>
            <w:rStyle w:val="Hyperlink"/>
            <w14:scene3d>
              <w14:camera w14:prst="orthographicFront"/>
              <w14:lightRig w14:rig="threePt" w14:dir="t">
                <w14:rot w14:lat="0" w14:lon="0" w14:rev="0"/>
              </w14:lightRig>
            </w14:scene3d>
          </w:rPr>
          <w:t>7.2</w:t>
        </w:r>
        <w:r w:rsidR="00AF4812" w:rsidRPr="00ED2279">
          <w:rPr>
            <w:rFonts w:asciiTheme="minorHAnsi" w:eastAsiaTheme="minorEastAsia" w:hAnsiTheme="minorHAnsi" w:cstheme="minorBidi"/>
            <w:szCs w:val="22"/>
            <w:lang w:val="en-AU" w:eastAsia="en-AU"/>
          </w:rPr>
          <w:tab/>
        </w:r>
        <w:r w:rsidR="00AF4812" w:rsidRPr="00ED2279">
          <w:rPr>
            <w:rStyle w:val="Hyperlink"/>
          </w:rPr>
          <w:t>Spatial data requirements</w:t>
        </w:r>
        <w:r w:rsidR="00AF4812" w:rsidRPr="00ED2279">
          <w:rPr>
            <w:webHidden/>
          </w:rPr>
          <w:tab/>
        </w:r>
        <w:r w:rsidR="00AF4812" w:rsidRPr="00ED2279">
          <w:rPr>
            <w:webHidden/>
          </w:rPr>
          <w:fldChar w:fldCharType="begin"/>
        </w:r>
        <w:r w:rsidR="00AF4812" w:rsidRPr="00ED2279">
          <w:rPr>
            <w:webHidden/>
          </w:rPr>
          <w:instrText xml:space="preserve"> PAGEREF _Toc65760576 \h </w:instrText>
        </w:r>
        <w:r w:rsidR="00AF4812" w:rsidRPr="00ED2279">
          <w:rPr>
            <w:webHidden/>
          </w:rPr>
        </w:r>
        <w:r w:rsidR="00AF4812" w:rsidRPr="00ED2279">
          <w:rPr>
            <w:webHidden/>
          </w:rPr>
          <w:fldChar w:fldCharType="separate"/>
        </w:r>
        <w:r w:rsidR="00AF4812" w:rsidRPr="00ED2279">
          <w:rPr>
            <w:webHidden/>
          </w:rPr>
          <w:t>118</w:t>
        </w:r>
        <w:r w:rsidR="00AF4812" w:rsidRPr="00ED2279">
          <w:rPr>
            <w:webHidden/>
          </w:rPr>
          <w:fldChar w:fldCharType="end"/>
        </w:r>
      </w:hyperlink>
    </w:p>
    <w:p w14:paraId="7ED0A3B5" w14:textId="5EEBF7F4" w:rsidR="00AF4812" w:rsidRPr="00E46FB0" w:rsidRDefault="00084371">
      <w:pPr>
        <w:pStyle w:val="TOC3"/>
        <w:rPr>
          <w:rFonts w:asciiTheme="minorHAnsi" w:eastAsiaTheme="minorEastAsia" w:hAnsiTheme="minorHAnsi" w:cstheme="minorBidi"/>
          <w:szCs w:val="22"/>
          <w:lang w:val="en-AU" w:eastAsia="en-AU"/>
        </w:rPr>
      </w:pPr>
      <w:hyperlink w:anchor="_Toc65760577" w:history="1">
        <w:r w:rsidR="00AF4812" w:rsidRPr="00ED2279">
          <w:rPr>
            <w:rStyle w:val="Hyperlink"/>
            <w14:scene3d>
              <w14:camera w14:prst="orthographicFront"/>
              <w14:lightRig w14:rig="threePt" w14:dir="t">
                <w14:rot w14:lat="0" w14:lon="0" w14:rev="0"/>
              </w14:lightRig>
            </w14:scene3d>
          </w:rPr>
          <w:t>7.2.1</w:t>
        </w:r>
        <w:r w:rsidR="00AF4812" w:rsidRPr="00ED2279">
          <w:rPr>
            <w:rFonts w:asciiTheme="minorHAnsi" w:eastAsiaTheme="minorEastAsia" w:hAnsiTheme="minorHAnsi" w:cstheme="minorBidi"/>
            <w:szCs w:val="22"/>
            <w:lang w:val="en-AU" w:eastAsia="en-AU"/>
          </w:rPr>
          <w:tab/>
        </w:r>
        <w:r w:rsidR="00AF4812" w:rsidRPr="00ED2279">
          <w:rPr>
            <w:rStyle w:val="Hyperlink"/>
          </w:rPr>
          <w:t>What is spatial data?</w:t>
        </w:r>
        <w:r w:rsidR="00AF4812" w:rsidRPr="00ED2279">
          <w:rPr>
            <w:webHidden/>
          </w:rPr>
          <w:tab/>
        </w:r>
        <w:r w:rsidR="00AF4812" w:rsidRPr="00ED2279">
          <w:rPr>
            <w:webHidden/>
          </w:rPr>
          <w:fldChar w:fldCharType="begin"/>
        </w:r>
        <w:r w:rsidR="00AF4812" w:rsidRPr="00ED2279">
          <w:rPr>
            <w:webHidden/>
          </w:rPr>
          <w:instrText xml:space="preserve"> PAGEREF _Toc65760577 \h </w:instrText>
        </w:r>
        <w:r w:rsidR="00AF4812" w:rsidRPr="00ED2279">
          <w:rPr>
            <w:webHidden/>
          </w:rPr>
        </w:r>
        <w:r w:rsidR="00AF4812" w:rsidRPr="00ED2279">
          <w:rPr>
            <w:webHidden/>
          </w:rPr>
          <w:fldChar w:fldCharType="separate"/>
        </w:r>
        <w:r w:rsidR="00AF4812" w:rsidRPr="00ED2279">
          <w:rPr>
            <w:webHidden/>
          </w:rPr>
          <w:t>118</w:t>
        </w:r>
        <w:r w:rsidR="00AF4812" w:rsidRPr="00ED2279">
          <w:rPr>
            <w:webHidden/>
          </w:rPr>
          <w:fldChar w:fldCharType="end"/>
        </w:r>
      </w:hyperlink>
    </w:p>
    <w:p w14:paraId="25255BC1" w14:textId="0A13B2E3" w:rsidR="00AF4812" w:rsidRPr="00E46FB0" w:rsidRDefault="00084371">
      <w:pPr>
        <w:pStyle w:val="TOC3"/>
        <w:rPr>
          <w:rFonts w:asciiTheme="minorHAnsi" w:eastAsiaTheme="minorEastAsia" w:hAnsiTheme="minorHAnsi" w:cstheme="minorBidi"/>
          <w:szCs w:val="22"/>
          <w:lang w:val="en-AU" w:eastAsia="en-AU"/>
        </w:rPr>
      </w:pPr>
      <w:hyperlink w:anchor="_Toc65760578" w:history="1">
        <w:r w:rsidR="00AF4812" w:rsidRPr="00ED2279">
          <w:rPr>
            <w:rStyle w:val="Hyperlink"/>
            <w14:scene3d>
              <w14:camera w14:prst="orthographicFront"/>
              <w14:lightRig w14:rig="threePt" w14:dir="t">
                <w14:rot w14:lat="0" w14:lon="0" w14:rev="0"/>
              </w14:lightRig>
            </w14:scene3d>
          </w:rPr>
          <w:t>7.2.2</w:t>
        </w:r>
        <w:r w:rsidR="00AF4812" w:rsidRPr="00ED2279">
          <w:rPr>
            <w:rFonts w:asciiTheme="minorHAnsi" w:eastAsiaTheme="minorEastAsia" w:hAnsiTheme="minorHAnsi" w:cstheme="minorBidi"/>
            <w:szCs w:val="22"/>
            <w:lang w:val="en-AU" w:eastAsia="en-AU"/>
          </w:rPr>
          <w:tab/>
        </w:r>
        <w:r w:rsidR="00AF4812" w:rsidRPr="00ED2279">
          <w:rPr>
            <w:rStyle w:val="Hyperlink"/>
          </w:rPr>
          <w:t>Introduction to the NSW Digital Twin</w:t>
        </w:r>
        <w:r w:rsidR="00AF4812" w:rsidRPr="00ED2279">
          <w:rPr>
            <w:webHidden/>
          </w:rPr>
          <w:tab/>
        </w:r>
        <w:r w:rsidR="00AF4812" w:rsidRPr="00ED2279">
          <w:rPr>
            <w:webHidden/>
          </w:rPr>
          <w:fldChar w:fldCharType="begin"/>
        </w:r>
        <w:r w:rsidR="00AF4812" w:rsidRPr="00ED2279">
          <w:rPr>
            <w:webHidden/>
          </w:rPr>
          <w:instrText xml:space="preserve"> PAGEREF _Toc65760578 \h </w:instrText>
        </w:r>
        <w:r w:rsidR="00AF4812" w:rsidRPr="00ED2279">
          <w:rPr>
            <w:webHidden/>
          </w:rPr>
        </w:r>
        <w:r w:rsidR="00AF4812" w:rsidRPr="00ED2279">
          <w:rPr>
            <w:webHidden/>
          </w:rPr>
          <w:fldChar w:fldCharType="separate"/>
        </w:r>
        <w:r w:rsidR="00AF4812" w:rsidRPr="00ED2279">
          <w:rPr>
            <w:webHidden/>
          </w:rPr>
          <w:t>118</w:t>
        </w:r>
        <w:r w:rsidR="00AF4812" w:rsidRPr="00ED2279">
          <w:rPr>
            <w:webHidden/>
          </w:rPr>
          <w:fldChar w:fldCharType="end"/>
        </w:r>
      </w:hyperlink>
    </w:p>
    <w:p w14:paraId="253DBE7A" w14:textId="3905E1B8" w:rsidR="00AF4812" w:rsidRPr="00E46FB0" w:rsidRDefault="00084371">
      <w:pPr>
        <w:pStyle w:val="TOC3"/>
        <w:rPr>
          <w:rFonts w:asciiTheme="minorHAnsi" w:eastAsiaTheme="minorEastAsia" w:hAnsiTheme="minorHAnsi" w:cstheme="minorBidi"/>
          <w:szCs w:val="22"/>
          <w:lang w:val="en-AU" w:eastAsia="en-AU"/>
        </w:rPr>
      </w:pPr>
      <w:hyperlink w:anchor="_Toc65760579" w:history="1">
        <w:r w:rsidR="00AF4812" w:rsidRPr="00ED2279">
          <w:rPr>
            <w:rStyle w:val="Hyperlink"/>
            <w14:scene3d>
              <w14:camera w14:prst="orthographicFront"/>
              <w14:lightRig w14:rig="threePt" w14:dir="t">
                <w14:rot w14:lat="0" w14:lon="0" w14:rev="0"/>
              </w14:lightRig>
            </w14:scene3d>
          </w:rPr>
          <w:t>7.2.3</w:t>
        </w:r>
        <w:r w:rsidR="00AF4812" w:rsidRPr="00ED2279">
          <w:rPr>
            <w:rFonts w:asciiTheme="minorHAnsi" w:eastAsiaTheme="minorEastAsia" w:hAnsiTheme="minorHAnsi" w:cstheme="minorBidi"/>
            <w:szCs w:val="22"/>
            <w:lang w:val="en-AU" w:eastAsia="en-AU"/>
          </w:rPr>
          <w:tab/>
        </w:r>
        <w:r w:rsidR="00AF4812" w:rsidRPr="00ED2279">
          <w:rPr>
            <w:rStyle w:val="Hyperlink"/>
          </w:rPr>
          <w:t>Recording IoT device position to meet spatial data requirements</w:t>
        </w:r>
        <w:r w:rsidR="00AF4812" w:rsidRPr="00ED2279">
          <w:rPr>
            <w:webHidden/>
          </w:rPr>
          <w:tab/>
        </w:r>
        <w:r w:rsidR="00AF4812" w:rsidRPr="00ED2279">
          <w:rPr>
            <w:webHidden/>
          </w:rPr>
          <w:fldChar w:fldCharType="begin"/>
        </w:r>
        <w:r w:rsidR="00AF4812" w:rsidRPr="00ED2279">
          <w:rPr>
            <w:webHidden/>
          </w:rPr>
          <w:instrText xml:space="preserve"> PAGEREF _Toc65760579 \h </w:instrText>
        </w:r>
        <w:r w:rsidR="00AF4812" w:rsidRPr="00ED2279">
          <w:rPr>
            <w:webHidden/>
          </w:rPr>
        </w:r>
        <w:r w:rsidR="00AF4812" w:rsidRPr="00ED2279">
          <w:rPr>
            <w:webHidden/>
          </w:rPr>
          <w:fldChar w:fldCharType="separate"/>
        </w:r>
        <w:r w:rsidR="00AF4812" w:rsidRPr="00ED2279">
          <w:rPr>
            <w:webHidden/>
          </w:rPr>
          <w:t>119</w:t>
        </w:r>
        <w:r w:rsidR="00AF4812" w:rsidRPr="00ED2279">
          <w:rPr>
            <w:webHidden/>
          </w:rPr>
          <w:fldChar w:fldCharType="end"/>
        </w:r>
      </w:hyperlink>
    </w:p>
    <w:p w14:paraId="2520CD41" w14:textId="6D9B9A13" w:rsidR="00AF4812" w:rsidRPr="00E46FB0" w:rsidRDefault="00084371">
      <w:pPr>
        <w:pStyle w:val="TOC3"/>
        <w:rPr>
          <w:rFonts w:asciiTheme="minorHAnsi" w:eastAsiaTheme="minorEastAsia" w:hAnsiTheme="minorHAnsi" w:cstheme="minorBidi"/>
          <w:szCs w:val="22"/>
          <w:lang w:val="en-AU" w:eastAsia="en-AU"/>
        </w:rPr>
      </w:pPr>
      <w:hyperlink w:anchor="_Toc65760581" w:history="1">
        <w:r w:rsidR="00AF4812" w:rsidRPr="00ED2279">
          <w:rPr>
            <w:rStyle w:val="Hyperlink"/>
            <w14:scene3d>
              <w14:camera w14:prst="orthographicFront"/>
              <w14:lightRig w14:rig="threePt" w14:dir="t">
                <w14:rot w14:lat="0" w14:lon="0" w14:rev="0"/>
              </w14:lightRig>
            </w14:scene3d>
          </w:rPr>
          <w:t>7.2.4</w:t>
        </w:r>
        <w:r w:rsidR="00AF4812" w:rsidRPr="00ED2279">
          <w:rPr>
            <w:rFonts w:asciiTheme="minorHAnsi" w:eastAsiaTheme="minorEastAsia" w:hAnsiTheme="minorHAnsi" w:cstheme="minorBidi"/>
            <w:szCs w:val="22"/>
            <w:lang w:val="en-AU" w:eastAsia="en-AU"/>
          </w:rPr>
          <w:tab/>
        </w:r>
        <w:r w:rsidR="00AF4812" w:rsidRPr="00ED2279">
          <w:rPr>
            <w:rStyle w:val="Hyperlink"/>
          </w:rPr>
          <w:t>GDA2020 and the Australian Terrestrial Reference Frame</w:t>
        </w:r>
        <w:r w:rsidR="00AF4812" w:rsidRPr="00ED2279">
          <w:rPr>
            <w:webHidden/>
          </w:rPr>
          <w:tab/>
        </w:r>
        <w:r w:rsidR="00AF4812" w:rsidRPr="00ED2279">
          <w:rPr>
            <w:webHidden/>
          </w:rPr>
          <w:fldChar w:fldCharType="begin"/>
        </w:r>
        <w:r w:rsidR="00AF4812" w:rsidRPr="00ED2279">
          <w:rPr>
            <w:webHidden/>
          </w:rPr>
          <w:instrText xml:space="preserve"> PAGEREF _Toc65760581 \h </w:instrText>
        </w:r>
        <w:r w:rsidR="00AF4812" w:rsidRPr="00ED2279">
          <w:rPr>
            <w:webHidden/>
          </w:rPr>
        </w:r>
        <w:r w:rsidR="00AF4812" w:rsidRPr="00ED2279">
          <w:rPr>
            <w:webHidden/>
          </w:rPr>
          <w:fldChar w:fldCharType="separate"/>
        </w:r>
        <w:r w:rsidR="00AF4812" w:rsidRPr="00ED2279">
          <w:rPr>
            <w:webHidden/>
          </w:rPr>
          <w:t>120</w:t>
        </w:r>
        <w:r w:rsidR="00AF4812" w:rsidRPr="00ED2279">
          <w:rPr>
            <w:webHidden/>
          </w:rPr>
          <w:fldChar w:fldCharType="end"/>
        </w:r>
      </w:hyperlink>
    </w:p>
    <w:p w14:paraId="766F0788" w14:textId="0BD5A0F7" w:rsidR="00AF4812" w:rsidRPr="00E46FB0" w:rsidRDefault="00084371">
      <w:pPr>
        <w:pStyle w:val="TOC3"/>
        <w:rPr>
          <w:rFonts w:asciiTheme="minorHAnsi" w:eastAsiaTheme="minorEastAsia" w:hAnsiTheme="minorHAnsi" w:cstheme="minorBidi"/>
          <w:szCs w:val="22"/>
          <w:lang w:val="en-AU" w:eastAsia="en-AU"/>
        </w:rPr>
      </w:pPr>
      <w:hyperlink w:anchor="_Toc65760582" w:history="1">
        <w:r w:rsidR="00AF4812" w:rsidRPr="00ED2279">
          <w:rPr>
            <w:rStyle w:val="Hyperlink"/>
            <w14:scene3d>
              <w14:camera w14:prst="orthographicFront"/>
              <w14:lightRig w14:rig="threePt" w14:dir="t">
                <w14:rot w14:lat="0" w14:lon="0" w14:rev="0"/>
              </w14:lightRig>
            </w14:scene3d>
          </w:rPr>
          <w:t>7.2.5</w:t>
        </w:r>
        <w:r w:rsidR="00AF4812" w:rsidRPr="00ED2279">
          <w:rPr>
            <w:rFonts w:asciiTheme="minorHAnsi" w:eastAsiaTheme="minorEastAsia" w:hAnsiTheme="minorHAnsi" w:cstheme="minorBidi"/>
            <w:szCs w:val="22"/>
            <w:lang w:val="en-AU" w:eastAsia="en-AU"/>
          </w:rPr>
          <w:tab/>
        </w:r>
        <w:r w:rsidR="00AF4812" w:rsidRPr="00ED2279">
          <w:rPr>
            <w:rStyle w:val="Hyperlink"/>
          </w:rPr>
          <w:t>Positioning standards</w:t>
        </w:r>
        <w:r w:rsidR="00AF4812" w:rsidRPr="00ED2279">
          <w:rPr>
            <w:webHidden/>
          </w:rPr>
          <w:tab/>
        </w:r>
        <w:r w:rsidR="00AF4812" w:rsidRPr="00ED2279">
          <w:rPr>
            <w:webHidden/>
          </w:rPr>
          <w:fldChar w:fldCharType="begin"/>
        </w:r>
        <w:r w:rsidR="00AF4812" w:rsidRPr="00ED2279">
          <w:rPr>
            <w:webHidden/>
          </w:rPr>
          <w:instrText xml:space="preserve"> PAGEREF _Toc65760582 \h </w:instrText>
        </w:r>
        <w:r w:rsidR="00AF4812" w:rsidRPr="00ED2279">
          <w:rPr>
            <w:webHidden/>
          </w:rPr>
        </w:r>
        <w:r w:rsidR="00AF4812" w:rsidRPr="00ED2279">
          <w:rPr>
            <w:webHidden/>
          </w:rPr>
          <w:fldChar w:fldCharType="separate"/>
        </w:r>
        <w:r w:rsidR="00AF4812" w:rsidRPr="00ED2279">
          <w:rPr>
            <w:webHidden/>
          </w:rPr>
          <w:t>121</w:t>
        </w:r>
        <w:r w:rsidR="00AF4812" w:rsidRPr="00ED2279">
          <w:rPr>
            <w:webHidden/>
          </w:rPr>
          <w:fldChar w:fldCharType="end"/>
        </w:r>
      </w:hyperlink>
    </w:p>
    <w:p w14:paraId="1C80F334" w14:textId="190D0EEC" w:rsidR="00AF4812" w:rsidRPr="00E46FB0" w:rsidRDefault="00084371">
      <w:pPr>
        <w:pStyle w:val="TOC2"/>
        <w:rPr>
          <w:rFonts w:asciiTheme="minorHAnsi" w:eastAsiaTheme="minorEastAsia" w:hAnsiTheme="minorHAnsi" w:cstheme="minorBidi"/>
          <w:szCs w:val="22"/>
          <w:lang w:val="en-AU" w:eastAsia="en-AU"/>
        </w:rPr>
      </w:pPr>
      <w:hyperlink w:anchor="_Toc65760583" w:history="1">
        <w:r w:rsidR="00AF4812" w:rsidRPr="00ED2279">
          <w:rPr>
            <w:rStyle w:val="Hyperlink"/>
            <w14:scene3d>
              <w14:camera w14:prst="orthographicFront"/>
              <w14:lightRig w14:rig="threePt" w14:dir="t">
                <w14:rot w14:lat="0" w14:lon="0" w14:rev="0"/>
              </w14:lightRig>
            </w14:scene3d>
          </w:rPr>
          <w:t>7.3</w:t>
        </w:r>
        <w:r w:rsidR="00AF4812" w:rsidRPr="00ED2279">
          <w:rPr>
            <w:rFonts w:asciiTheme="minorHAnsi" w:eastAsiaTheme="minorEastAsia" w:hAnsiTheme="minorHAnsi" w:cstheme="minorBidi"/>
            <w:szCs w:val="22"/>
            <w:lang w:val="en-AU" w:eastAsia="en-AU"/>
          </w:rPr>
          <w:tab/>
        </w:r>
        <w:r w:rsidR="00AF4812" w:rsidRPr="00ED2279">
          <w:rPr>
            <w:rStyle w:val="Hyperlink"/>
          </w:rPr>
          <w:t>IoT deployment and configuration</w:t>
        </w:r>
        <w:r w:rsidR="00AF4812" w:rsidRPr="00ED2279">
          <w:rPr>
            <w:webHidden/>
          </w:rPr>
          <w:tab/>
        </w:r>
        <w:r w:rsidR="00AF4812" w:rsidRPr="00ED2279">
          <w:rPr>
            <w:webHidden/>
          </w:rPr>
          <w:fldChar w:fldCharType="begin"/>
        </w:r>
        <w:r w:rsidR="00AF4812" w:rsidRPr="00ED2279">
          <w:rPr>
            <w:webHidden/>
          </w:rPr>
          <w:instrText xml:space="preserve"> PAGEREF _Toc65760583 \h </w:instrText>
        </w:r>
        <w:r w:rsidR="00AF4812" w:rsidRPr="00ED2279">
          <w:rPr>
            <w:webHidden/>
          </w:rPr>
        </w:r>
        <w:r w:rsidR="00AF4812" w:rsidRPr="00ED2279">
          <w:rPr>
            <w:webHidden/>
          </w:rPr>
          <w:fldChar w:fldCharType="separate"/>
        </w:r>
        <w:r w:rsidR="00AF4812" w:rsidRPr="00ED2279">
          <w:rPr>
            <w:webHidden/>
          </w:rPr>
          <w:t>123</w:t>
        </w:r>
        <w:r w:rsidR="00AF4812" w:rsidRPr="00ED2279">
          <w:rPr>
            <w:webHidden/>
          </w:rPr>
          <w:fldChar w:fldCharType="end"/>
        </w:r>
      </w:hyperlink>
    </w:p>
    <w:p w14:paraId="19FEE30A" w14:textId="4E90455C" w:rsidR="00AF4812" w:rsidRPr="00E46FB0" w:rsidRDefault="00084371">
      <w:pPr>
        <w:pStyle w:val="TOC3"/>
        <w:rPr>
          <w:rFonts w:asciiTheme="minorHAnsi" w:eastAsiaTheme="minorEastAsia" w:hAnsiTheme="minorHAnsi" w:cstheme="minorBidi"/>
          <w:szCs w:val="22"/>
          <w:lang w:val="en-AU" w:eastAsia="en-AU"/>
        </w:rPr>
      </w:pPr>
      <w:hyperlink w:anchor="_Toc65760584" w:history="1">
        <w:r w:rsidR="00AF4812" w:rsidRPr="00ED2279">
          <w:rPr>
            <w:rStyle w:val="Hyperlink"/>
            <w14:scene3d>
              <w14:camera w14:prst="orthographicFront"/>
              <w14:lightRig w14:rig="threePt" w14:dir="t">
                <w14:rot w14:lat="0" w14:lon="0" w14:rev="0"/>
              </w14:lightRig>
            </w14:scene3d>
          </w:rPr>
          <w:t>7.3.1</w:t>
        </w:r>
        <w:r w:rsidR="00AF4812" w:rsidRPr="00ED2279">
          <w:rPr>
            <w:rFonts w:asciiTheme="minorHAnsi" w:eastAsiaTheme="minorEastAsia" w:hAnsiTheme="minorHAnsi" w:cstheme="minorBidi"/>
            <w:szCs w:val="22"/>
            <w:lang w:val="en-AU" w:eastAsia="en-AU"/>
          </w:rPr>
          <w:tab/>
        </w:r>
        <w:r w:rsidR="00AF4812" w:rsidRPr="00ED2279">
          <w:rPr>
            <w:rStyle w:val="Hyperlink"/>
          </w:rPr>
          <w:t>Device deployment and configuration</w:t>
        </w:r>
        <w:r w:rsidR="00AF4812" w:rsidRPr="00ED2279">
          <w:rPr>
            <w:webHidden/>
          </w:rPr>
          <w:tab/>
        </w:r>
        <w:r w:rsidR="00AF4812" w:rsidRPr="00ED2279">
          <w:rPr>
            <w:webHidden/>
          </w:rPr>
          <w:fldChar w:fldCharType="begin"/>
        </w:r>
        <w:r w:rsidR="00AF4812" w:rsidRPr="00ED2279">
          <w:rPr>
            <w:webHidden/>
          </w:rPr>
          <w:instrText xml:space="preserve"> PAGEREF _Toc65760584 \h </w:instrText>
        </w:r>
        <w:r w:rsidR="00AF4812" w:rsidRPr="00ED2279">
          <w:rPr>
            <w:webHidden/>
          </w:rPr>
        </w:r>
        <w:r w:rsidR="00AF4812" w:rsidRPr="00ED2279">
          <w:rPr>
            <w:webHidden/>
          </w:rPr>
          <w:fldChar w:fldCharType="separate"/>
        </w:r>
        <w:r w:rsidR="00AF4812" w:rsidRPr="00ED2279">
          <w:rPr>
            <w:webHidden/>
          </w:rPr>
          <w:t>123</w:t>
        </w:r>
        <w:r w:rsidR="00AF4812" w:rsidRPr="00ED2279">
          <w:rPr>
            <w:webHidden/>
          </w:rPr>
          <w:fldChar w:fldCharType="end"/>
        </w:r>
      </w:hyperlink>
    </w:p>
    <w:p w14:paraId="6258C59B" w14:textId="2886513E" w:rsidR="00AF4812" w:rsidRPr="00E46FB0" w:rsidRDefault="00084371">
      <w:pPr>
        <w:pStyle w:val="TOC3"/>
        <w:rPr>
          <w:rFonts w:asciiTheme="minorHAnsi" w:eastAsiaTheme="minorEastAsia" w:hAnsiTheme="minorHAnsi" w:cstheme="minorBidi"/>
          <w:szCs w:val="22"/>
          <w:lang w:val="en-AU" w:eastAsia="en-AU"/>
        </w:rPr>
      </w:pPr>
      <w:hyperlink w:anchor="_Toc65760585" w:history="1">
        <w:r w:rsidR="00AF4812" w:rsidRPr="00ED2279">
          <w:rPr>
            <w:rStyle w:val="Hyperlink"/>
            <w14:scene3d>
              <w14:camera w14:prst="orthographicFront"/>
              <w14:lightRig w14:rig="threePt" w14:dir="t">
                <w14:rot w14:lat="0" w14:lon="0" w14:rev="0"/>
              </w14:lightRig>
            </w14:scene3d>
          </w:rPr>
          <w:t>7.3.2</w:t>
        </w:r>
        <w:r w:rsidR="00AF4812" w:rsidRPr="00ED2279">
          <w:rPr>
            <w:rFonts w:asciiTheme="minorHAnsi" w:eastAsiaTheme="minorEastAsia" w:hAnsiTheme="minorHAnsi" w:cstheme="minorBidi"/>
            <w:szCs w:val="22"/>
            <w:lang w:val="en-AU" w:eastAsia="en-AU"/>
          </w:rPr>
          <w:tab/>
        </w:r>
        <w:r w:rsidR="00AF4812" w:rsidRPr="00ED2279">
          <w:rPr>
            <w:rStyle w:val="Hyperlink"/>
          </w:rPr>
          <w:t>Communicating about deployment</w:t>
        </w:r>
        <w:r w:rsidR="00AF4812" w:rsidRPr="00ED2279">
          <w:rPr>
            <w:webHidden/>
          </w:rPr>
          <w:tab/>
        </w:r>
        <w:r w:rsidR="00AF4812" w:rsidRPr="00ED2279">
          <w:rPr>
            <w:webHidden/>
          </w:rPr>
          <w:fldChar w:fldCharType="begin"/>
        </w:r>
        <w:r w:rsidR="00AF4812" w:rsidRPr="00ED2279">
          <w:rPr>
            <w:webHidden/>
          </w:rPr>
          <w:instrText xml:space="preserve"> PAGEREF _Toc65760585 \h </w:instrText>
        </w:r>
        <w:r w:rsidR="00AF4812" w:rsidRPr="00ED2279">
          <w:rPr>
            <w:webHidden/>
          </w:rPr>
        </w:r>
        <w:r w:rsidR="00AF4812" w:rsidRPr="00ED2279">
          <w:rPr>
            <w:webHidden/>
          </w:rPr>
          <w:fldChar w:fldCharType="separate"/>
        </w:r>
        <w:r w:rsidR="00AF4812" w:rsidRPr="00ED2279">
          <w:rPr>
            <w:webHidden/>
          </w:rPr>
          <w:t>123</w:t>
        </w:r>
        <w:r w:rsidR="00AF4812" w:rsidRPr="00ED2279">
          <w:rPr>
            <w:webHidden/>
          </w:rPr>
          <w:fldChar w:fldCharType="end"/>
        </w:r>
      </w:hyperlink>
    </w:p>
    <w:p w14:paraId="02A1B663" w14:textId="4098C2F1" w:rsidR="00AF4812" w:rsidRPr="00E46FB0" w:rsidRDefault="00084371">
      <w:pPr>
        <w:pStyle w:val="TOC1"/>
        <w:rPr>
          <w:rFonts w:asciiTheme="minorHAnsi" w:eastAsiaTheme="minorEastAsia" w:hAnsiTheme="minorHAnsi" w:cstheme="minorBidi"/>
          <w:b w:val="0"/>
          <w:szCs w:val="22"/>
          <w:lang w:val="en-AU" w:eastAsia="en-AU"/>
        </w:rPr>
      </w:pPr>
      <w:hyperlink w:anchor="_Toc65760586" w:history="1">
        <w:r w:rsidR="00AF4812" w:rsidRPr="00ED2279">
          <w:rPr>
            <w:rStyle w:val="Hyperlink"/>
          </w:rPr>
          <w:t>8.</w:t>
        </w:r>
        <w:r w:rsidR="00AF4812" w:rsidRPr="00ED2279">
          <w:rPr>
            <w:rFonts w:asciiTheme="minorHAnsi" w:eastAsiaTheme="minorEastAsia" w:hAnsiTheme="minorHAnsi" w:cstheme="minorBidi"/>
            <w:b w:val="0"/>
            <w:szCs w:val="22"/>
            <w:lang w:val="en-AU" w:eastAsia="en-AU"/>
          </w:rPr>
          <w:tab/>
        </w:r>
        <w:r w:rsidR="00AF4812" w:rsidRPr="00ED2279">
          <w:rPr>
            <w:rStyle w:val="Hyperlink"/>
          </w:rPr>
          <w:t>Use and Maintain</w:t>
        </w:r>
        <w:r w:rsidR="00AF4812" w:rsidRPr="00ED2279">
          <w:rPr>
            <w:webHidden/>
          </w:rPr>
          <w:tab/>
        </w:r>
        <w:r w:rsidR="00AF4812" w:rsidRPr="00ED2279">
          <w:rPr>
            <w:webHidden/>
          </w:rPr>
          <w:fldChar w:fldCharType="begin"/>
        </w:r>
        <w:r w:rsidR="00AF4812" w:rsidRPr="00ED2279">
          <w:rPr>
            <w:webHidden/>
          </w:rPr>
          <w:instrText xml:space="preserve"> PAGEREF _Toc65760586 \h </w:instrText>
        </w:r>
        <w:r w:rsidR="00AF4812" w:rsidRPr="00ED2279">
          <w:rPr>
            <w:webHidden/>
          </w:rPr>
        </w:r>
        <w:r w:rsidR="00AF4812" w:rsidRPr="00ED2279">
          <w:rPr>
            <w:webHidden/>
          </w:rPr>
          <w:fldChar w:fldCharType="separate"/>
        </w:r>
        <w:r w:rsidR="00AF4812" w:rsidRPr="00ED2279">
          <w:rPr>
            <w:webHidden/>
          </w:rPr>
          <w:t>124</w:t>
        </w:r>
        <w:r w:rsidR="00AF4812" w:rsidRPr="00ED2279">
          <w:rPr>
            <w:webHidden/>
          </w:rPr>
          <w:fldChar w:fldCharType="end"/>
        </w:r>
      </w:hyperlink>
    </w:p>
    <w:p w14:paraId="10DE96BC" w14:textId="06A521E3" w:rsidR="00AF4812" w:rsidRPr="00E46FB0" w:rsidRDefault="00084371">
      <w:pPr>
        <w:pStyle w:val="TOC2"/>
        <w:rPr>
          <w:rFonts w:asciiTheme="minorHAnsi" w:eastAsiaTheme="minorEastAsia" w:hAnsiTheme="minorHAnsi" w:cstheme="minorBidi"/>
          <w:szCs w:val="22"/>
          <w:lang w:val="en-AU" w:eastAsia="en-AU"/>
        </w:rPr>
      </w:pPr>
      <w:hyperlink w:anchor="_Toc65760587" w:history="1">
        <w:r w:rsidR="00AF4812" w:rsidRPr="00ED2279">
          <w:rPr>
            <w:rStyle w:val="Hyperlink"/>
            <w14:scene3d>
              <w14:camera w14:prst="orthographicFront"/>
              <w14:lightRig w14:rig="threePt" w14:dir="t">
                <w14:rot w14:lat="0" w14:lon="0" w14:rev="0"/>
              </w14:lightRig>
            </w14:scene3d>
          </w:rPr>
          <w:t>8.1</w:t>
        </w:r>
        <w:r w:rsidR="00AF4812" w:rsidRPr="00ED2279">
          <w:rPr>
            <w:rFonts w:asciiTheme="minorHAnsi" w:eastAsiaTheme="minorEastAsia" w:hAnsiTheme="minorHAnsi" w:cstheme="minorBidi"/>
            <w:szCs w:val="22"/>
            <w:lang w:val="en-AU" w:eastAsia="en-AU"/>
          </w:rPr>
          <w:tab/>
        </w:r>
        <w:r w:rsidR="00AF4812" w:rsidRPr="00ED2279">
          <w:rPr>
            <w:rStyle w:val="Hyperlink"/>
          </w:rPr>
          <w:t>Data analysis and use</w:t>
        </w:r>
        <w:r w:rsidR="00AF4812" w:rsidRPr="00ED2279">
          <w:rPr>
            <w:webHidden/>
          </w:rPr>
          <w:tab/>
        </w:r>
        <w:r w:rsidR="00AF4812" w:rsidRPr="00ED2279">
          <w:rPr>
            <w:webHidden/>
          </w:rPr>
          <w:fldChar w:fldCharType="begin"/>
        </w:r>
        <w:r w:rsidR="00AF4812" w:rsidRPr="00ED2279">
          <w:rPr>
            <w:webHidden/>
          </w:rPr>
          <w:instrText xml:space="preserve"> PAGEREF _Toc65760587 \h </w:instrText>
        </w:r>
        <w:r w:rsidR="00AF4812" w:rsidRPr="00ED2279">
          <w:rPr>
            <w:webHidden/>
          </w:rPr>
        </w:r>
        <w:r w:rsidR="00AF4812" w:rsidRPr="00ED2279">
          <w:rPr>
            <w:webHidden/>
          </w:rPr>
          <w:fldChar w:fldCharType="separate"/>
        </w:r>
        <w:r w:rsidR="00AF4812" w:rsidRPr="00ED2279">
          <w:rPr>
            <w:webHidden/>
          </w:rPr>
          <w:t>125</w:t>
        </w:r>
        <w:r w:rsidR="00AF4812" w:rsidRPr="00ED2279">
          <w:rPr>
            <w:webHidden/>
          </w:rPr>
          <w:fldChar w:fldCharType="end"/>
        </w:r>
      </w:hyperlink>
    </w:p>
    <w:p w14:paraId="46496891" w14:textId="2B37DD0F" w:rsidR="00AF4812" w:rsidRPr="00E46FB0" w:rsidRDefault="00084371">
      <w:pPr>
        <w:pStyle w:val="TOC3"/>
        <w:rPr>
          <w:rFonts w:asciiTheme="minorHAnsi" w:eastAsiaTheme="minorEastAsia" w:hAnsiTheme="minorHAnsi" w:cstheme="minorBidi"/>
          <w:szCs w:val="22"/>
          <w:lang w:val="en-AU" w:eastAsia="en-AU"/>
        </w:rPr>
      </w:pPr>
      <w:hyperlink w:anchor="_Toc65760588" w:history="1">
        <w:r w:rsidR="00AF4812" w:rsidRPr="00ED2279">
          <w:rPr>
            <w:rStyle w:val="Hyperlink"/>
            <w14:scene3d>
              <w14:camera w14:prst="orthographicFront"/>
              <w14:lightRig w14:rig="threePt" w14:dir="t">
                <w14:rot w14:lat="0" w14:lon="0" w14:rev="0"/>
              </w14:lightRig>
            </w14:scene3d>
          </w:rPr>
          <w:t>8.1.1</w:t>
        </w:r>
        <w:r w:rsidR="00AF4812" w:rsidRPr="00ED2279">
          <w:rPr>
            <w:rFonts w:asciiTheme="minorHAnsi" w:eastAsiaTheme="minorEastAsia" w:hAnsiTheme="minorHAnsi" w:cstheme="minorBidi"/>
            <w:szCs w:val="22"/>
            <w:lang w:val="en-AU" w:eastAsia="en-AU"/>
          </w:rPr>
          <w:tab/>
        </w:r>
        <w:r w:rsidR="00AF4812" w:rsidRPr="00ED2279">
          <w:rPr>
            <w:rStyle w:val="Hyperlink"/>
          </w:rPr>
          <w:t>The data analytics process</w:t>
        </w:r>
        <w:r w:rsidR="00AF4812" w:rsidRPr="00ED2279">
          <w:rPr>
            <w:webHidden/>
          </w:rPr>
          <w:tab/>
        </w:r>
        <w:r w:rsidR="00AF4812" w:rsidRPr="00ED2279">
          <w:rPr>
            <w:webHidden/>
          </w:rPr>
          <w:fldChar w:fldCharType="begin"/>
        </w:r>
        <w:r w:rsidR="00AF4812" w:rsidRPr="00ED2279">
          <w:rPr>
            <w:webHidden/>
          </w:rPr>
          <w:instrText xml:space="preserve"> PAGEREF _Toc65760588 \h </w:instrText>
        </w:r>
        <w:r w:rsidR="00AF4812" w:rsidRPr="00ED2279">
          <w:rPr>
            <w:webHidden/>
          </w:rPr>
        </w:r>
        <w:r w:rsidR="00AF4812" w:rsidRPr="00ED2279">
          <w:rPr>
            <w:webHidden/>
          </w:rPr>
          <w:fldChar w:fldCharType="separate"/>
        </w:r>
        <w:r w:rsidR="00AF4812" w:rsidRPr="00ED2279">
          <w:rPr>
            <w:webHidden/>
          </w:rPr>
          <w:t>125</w:t>
        </w:r>
        <w:r w:rsidR="00AF4812" w:rsidRPr="00ED2279">
          <w:rPr>
            <w:webHidden/>
          </w:rPr>
          <w:fldChar w:fldCharType="end"/>
        </w:r>
      </w:hyperlink>
    </w:p>
    <w:p w14:paraId="0F7263E4" w14:textId="2E09A4FE" w:rsidR="00AF4812" w:rsidRPr="00E46FB0" w:rsidRDefault="00084371">
      <w:pPr>
        <w:pStyle w:val="TOC3"/>
        <w:rPr>
          <w:rFonts w:asciiTheme="minorHAnsi" w:eastAsiaTheme="minorEastAsia" w:hAnsiTheme="minorHAnsi" w:cstheme="minorBidi"/>
          <w:szCs w:val="22"/>
          <w:lang w:val="en-AU" w:eastAsia="en-AU"/>
        </w:rPr>
      </w:pPr>
      <w:hyperlink w:anchor="_Toc65760590" w:history="1">
        <w:r w:rsidR="00AF4812" w:rsidRPr="00ED2279">
          <w:rPr>
            <w:rStyle w:val="Hyperlink"/>
            <w14:scene3d>
              <w14:camera w14:prst="orthographicFront"/>
              <w14:lightRig w14:rig="threePt" w14:dir="t">
                <w14:rot w14:lat="0" w14:lon="0" w14:rev="0"/>
              </w14:lightRig>
            </w14:scene3d>
          </w:rPr>
          <w:t>8.1.2</w:t>
        </w:r>
        <w:r w:rsidR="00AF4812" w:rsidRPr="00ED2279">
          <w:rPr>
            <w:rFonts w:asciiTheme="minorHAnsi" w:eastAsiaTheme="minorEastAsia" w:hAnsiTheme="minorHAnsi" w:cstheme="minorBidi"/>
            <w:szCs w:val="22"/>
            <w:lang w:val="en-AU" w:eastAsia="en-AU"/>
          </w:rPr>
          <w:tab/>
        </w:r>
        <w:r w:rsidR="00AF4812" w:rsidRPr="00ED2279">
          <w:rPr>
            <w:rStyle w:val="Hyperlink"/>
          </w:rPr>
          <w:t>Using data for your business outcomes</w:t>
        </w:r>
        <w:r w:rsidR="00AF4812" w:rsidRPr="00ED2279">
          <w:rPr>
            <w:webHidden/>
          </w:rPr>
          <w:tab/>
        </w:r>
        <w:r w:rsidR="00AF4812" w:rsidRPr="00ED2279">
          <w:rPr>
            <w:webHidden/>
          </w:rPr>
          <w:fldChar w:fldCharType="begin"/>
        </w:r>
        <w:r w:rsidR="00AF4812" w:rsidRPr="00ED2279">
          <w:rPr>
            <w:webHidden/>
          </w:rPr>
          <w:instrText xml:space="preserve"> PAGEREF _Toc65760590 \h </w:instrText>
        </w:r>
        <w:r w:rsidR="00AF4812" w:rsidRPr="00ED2279">
          <w:rPr>
            <w:webHidden/>
          </w:rPr>
        </w:r>
        <w:r w:rsidR="00AF4812" w:rsidRPr="00ED2279">
          <w:rPr>
            <w:webHidden/>
          </w:rPr>
          <w:fldChar w:fldCharType="separate"/>
        </w:r>
        <w:r w:rsidR="00AF4812" w:rsidRPr="00ED2279">
          <w:rPr>
            <w:webHidden/>
          </w:rPr>
          <w:t>130</w:t>
        </w:r>
        <w:r w:rsidR="00AF4812" w:rsidRPr="00ED2279">
          <w:rPr>
            <w:webHidden/>
          </w:rPr>
          <w:fldChar w:fldCharType="end"/>
        </w:r>
      </w:hyperlink>
    </w:p>
    <w:p w14:paraId="326EDA1A" w14:textId="058E638E" w:rsidR="00AF4812" w:rsidRPr="00E46FB0" w:rsidRDefault="00084371">
      <w:pPr>
        <w:pStyle w:val="TOC2"/>
        <w:rPr>
          <w:rFonts w:asciiTheme="minorHAnsi" w:eastAsiaTheme="minorEastAsia" w:hAnsiTheme="minorHAnsi" w:cstheme="minorBidi"/>
          <w:szCs w:val="22"/>
          <w:lang w:val="en-AU" w:eastAsia="en-AU"/>
        </w:rPr>
      </w:pPr>
      <w:hyperlink w:anchor="_Toc65760591" w:history="1">
        <w:r w:rsidR="00AF4812" w:rsidRPr="00ED2279">
          <w:rPr>
            <w:rStyle w:val="Hyperlink"/>
            <w14:scene3d>
              <w14:camera w14:prst="orthographicFront"/>
              <w14:lightRig w14:rig="threePt" w14:dir="t">
                <w14:rot w14:lat="0" w14:lon="0" w14:rev="0"/>
              </w14:lightRig>
            </w14:scene3d>
          </w:rPr>
          <w:t>8.2</w:t>
        </w:r>
        <w:r w:rsidR="00AF4812" w:rsidRPr="00ED2279">
          <w:rPr>
            <w:rFonts w:asciiTheme="minorHAnsi" w:eastAsiaTheme="minorEastAsia" w:hAnsiTheme="minorHAnsi" w:cstheme="minorBidi"/>
            <w:szCs w:val="22"/>
            <w:lang w:val="en-AU" w:eastAsia="en-AU"/>
          </w:rPr>
          <w:tab/>
        </w:r>
        <w:r w:rsidR="00AF4812" w:rsidRPr="00ED2279">
          <w:rPr>
            <w:rStyle w:val="Hyperlink"/>
          </w:rPr>
          <w:t>Data sharing</w:t>
        </w:r>
        <w:r w:rsidR="00AF4812" w:rsidRPr="00ED2279">
          <w:rPr>
            <w:webHidden/>
          </w:rPr>
          <w:tab/>
        </w:r>
        <w:r w:rsidR="00AF4812" w:rsidRPr="00ED2279">
          <w:rPr>
            <w:webHidden/>
          </w:rPr>
          <w:fldChar w:fldCharType="begin"/>
        </w:r>
        <w:r w:rsidR="00AF4812" w:rsidRPr="00ED2279">
          <w:rPr>
            <w:webHidden/>
          </w:rPr>
          <w:instrText xml:space="preserve"> PAGEREF _Toc65760591 \h </w:instrText>
        </w:r>
        <w:r w:rsidR="00AF4812" w:rsidRPr="00ED2279">
          <w:rPr>
            <w:webHidden/>
          </w:rPr>
        </w:r>
        <w:r w:rsidR="00AF4812" w:rsidRPr="00ED2279">
          <w:rPr>
            <w:webHidden/>
          </w:rPr>
          <w:fldChar w:fldCharType="separate"/>
        </w:r>
        <w:r w:rsidR="00AF4812" w:rsidRPr="00ED2279">
          <w:rPr>
            <w:webHidden/>
          </w:rPr>
          <w:t>131</w:t>
        </w:r>
        <w:r w:rsidR="00AF4812" w:rsidRPr="00ED2279">
          <w:rPr>
            <w:webHidden/>
          </w:rPr>
          <w:fldChar w:fldCharType="end"/>
        </w:r>
      </w:hyperlink>
    </w:p>
    <w:p w14:paraId="61B1DABB" w14:textId="38F65986" w:rsidR="00AF4812" w:rsidRPr="00E46FB0" w:rsidRDefault="00084371">
      <w:pPr>
        <w:pStyle w:val="TOC3"/>
        <w:rPr>
          <w:rFonts w:asciiTheme="minorHAnsi" w:eastAsiaTheme="minorEastAsia" w:hAnsiTheme="minorHAnsi" w:cstheme="minorBidi"/>
          <w:szCs w:val="22"/>
          <w:lang w:val="en-AU" w:eastAsia="en-AU"/>
        </w:rPr>
      </w:pPr>
      <w:hyperlink w:anchor="_Toc65760592" w:history="1">
        <w:r w:rsidR="00AF4812" w:rsidRPr="00ED2279">
          <w:rPr>
            <w:rStyle w:val="Hyperlink"/>
            <w14:scene3d>
              <w14:camera w14:prst="orthographicFront"/>
              <w14:lightRig w14:rig="threePt" w14:dir="t">
                <w14:rot w14:lat="0" w14:lon="0" w14:rev="0"/>
              </w14:lightRig>
            </w14:scene3d>
          </w:rPr>
          <w:t>8.2.1</w:t>
        </w:r>
        <w:r w:rsidR="00AF4812" w:rsidRPr="00ED2279">
          <w:rPr>
            <w:rFonts w:asciiTheme="minorHAnsi" w:eastAsiaTheme="minorEastAsia" w:hAnsiTheme="minorHAnsi" w:cstheme="minorBidi"/>
            <w:szCs w:val="22"/>
            <w:lang w:val="en-AU" w:eastAsia="en-AU"/>
          </w:rPr>
          <w:tab/>
        </w:r>
        <w:r w:rsidR="00AF4812" w:rsidRPr="00ED2279">
          <w:rPr>
            <w:rStyle w:val="Hyperlink"/>
          </w:rPr>
          <w:t>Why and how to share data</w:t>
        </w:r>
        <w:r w:rsidR="00AF4812" w:rsidRPr="00ED2279">
          <w:rPr>
            <w:webHidden/>
          </w:rPr>
          <w:tab/>
        </w:r>
        <w:r w:rsidR="00AF4812" w:rsidRPr="00ED2279">
          <w:rPr>
            <w:webHidden/>
          </w:rPr>
          <w:fldChar w:fldCharType="begin"/>
        </w:r>
        <w:r w:rsidR="00AF4812" w:rsidRPr="00ED2279">
          <w:rPr>
            <w:webHidden/>
          </w:rPr>
          <w:instrText xml:space="preserve"> PAGEREF _Toc65760592 \h </w:instrText>
        </w:r>
        <w:r w:rsidR="00AF4812" w:rsidRPr="00ED2279">
          <w:rPr>
            <w:webHidden/>
          </w:rPr>
        </w:r>
        <w:r w:rsidR="00AF4812" w:rsidRPr="00ED2279">
          <w:rPr>
            <w:webHidden/>
          </w:rPr>
          <w:fldChar w:fldCharType="separate"/>
        </w:r>
        <w:r w:rsidR="00AF4812" w:rsidRPr="00ED2279">
          <w:rPr>
            <w:webHidden/>
          </w:rPr>
          <w:t>131</w:t>
        </w:r>
        <w:r w:rsidR="00AF4812" w:rsidRPr="00ED2279">
          <w:rPr>
            <w:webHidden/>
          </w:rPr>
          <w:fldChar w:fldCharType="end"/>
        </w:r>
      </w:hyperlink>
    </w:p>
    <w:p w14:paraId="7F21161D" w14:textId="4E0FE192" w:rsidR="00AF4812" w:rsidRPr="00E46FB0" w:rsidRDefault="00084371">
      <w:pPr>
        <w:pStyle w:val="TOC3"/>
        <w:rPr>
          <w:rFonts w:asciiTheme="minorHAnsi" w:eastAsiaTheme="minorEastAsia" w:hAnsiTheme="minorHAnsi" w:cstheme="minorBidi"/>
          <w:szCs w:val="22"/>
          <w:lang w:val="en-AU" w:eastAsia="en-AU"/>
        </w:rPr>
      </w:pPr>
      <w:hyperlink w:anchor="_Toc65760593" w:history="1">
        <w:r w:rsidR="00AF4812" w:rsidRPr="00ED2279">
          <w:rPr>
            <w:rStyle w:val="Hyperlink"/>
            <w14:scene3d>
              <w14:camera w14:prst="orthographicFront"/>
              <w14:lightRig w14:rig="threePt" w14:dir="t">
                <w14:rot w14:lat="0" w14:lon="0" w14:rev="0"/>
              </w14:lightRig>
            </w14:scene3d>
          </w:rPr>
          <w:t>8.2.2</w:t>
        </w:r>
        <w:r w:rsidR="00AF4812" w:rsidRPr="00ED2279">
          <w:rPr>
            <w:rFonts w:asciiTheme="minorHAnsi" w:eastAsiaTheme="minorEastAsia" w:hAnsiTheme="minorHAnsi" w:cstheme="minorBidi"/>
            <w:szCs w:val="22"/>
            <w:lang w:val="en-AU" w:eastAsia="en-AU"/>
          </w:rPr>
          <w:tab/>
        </w:r>
        <w:r w:rsidR="00AF4812" w:rsidRPr="00ED2279">
          <w:rPr>
            <w:rStyle w:val="Hyperlink"/>
          </w:rPr>
          <w:t>Responding to requests for data sharing</w:t>
        </w:r>
        <w:r w:rsidR="00AF4812" w:rsidRPr="00ED2279">
          <w:rPr>
            <w:webHidden/>
          </w:rPr>
          <w:tab/>
        </w:r>
        <w:r w:rsidR="00AF4812" w:rsidRPr="00ED2279">
          <w:rPr>
            <w:webHidden/>
          </w:rPr>
          <w:fldChar w:fldCharType="begin"/>
        </w:r>
        <w:r w:rsidR="00AF4812" w:rsidRPr="00ED2279">
          <w:rPr>
            <w:webHidden/>
          </w:rPr>
          <w:instrText xml:space="preserve"> PAGEREF _Toc65760593 \h </w:instrText>
        </w:r>
        <w:r w:rsidR="00AF4812" w:rsidRPr="00ED2279">
          <w:rPr>
            <w:webHidden/>
          </w:rPr>
        </w:r>
        <w:r w:rsidR="00AF4812" w:rsidRPr="00ED2279">
          <w:rPr>
            <w:webHidden/>
          </w:rPr>
          <w:fldChar w:fldCharType="separate"/>
        </w:r>
        <w:r w:rsidR="00AF4812" w:rsidRPr="00ED2279">
          <w:rPr>
            <w:webHidden/>
          </w:rPr>
          <w:t>132</w:t>
        </w:r>
        <w:r w:rsidR="00AF4812" w:rsidRPr="00ED2279">
          <w:rPr>
            <w:webHidden/>
          </w:rPr>
          <w:fldChar w:fldCharType="end"/>
        </w:r>
      </w:hyperlink>
    </w:p>
    <w:p w14:paraId="335A631A" w14:textId="4C6804F0" w:rsidR="00AF4812" w:rsidRPr="00E46FB0" w:rsidRDefault="00084371">
      <w:pPr>
        <w:pStyle w:val="TOC2"/>
        <w:rPr>
          <w:rFonts w:asciiTheme="minorHAnsi" w:eastAsiaTheme="minorEastAsia" w:hAnsiTheme="minorHAnsi" w:cstheme="minorBidi"/>
          <w:szCs w:val="22"/>
          <w:lang w:val="en-AU" w:eastAsia="en-AU"/>
        </w:rPr>
      </w:pPr>
      <w:hyperlink w:anchor="_Toc65760594" w:history="1">
        <w:r w:rsidR="00AF4812" w:rsidRPr="00ED2279">
          <w:rPr>
            <w:rStyle w:val="Hyperlink"/>
            <w14:scene3d>
              <w14:camera w14:prst="orthographicFront"/>
              <w14:lightRig w14:rig="threePt" w14:dir="t">
                <w14:rot w14:lat="0" w14:lon="0" w14:rev="0"/>
              </w14:lightRig>
            </w14:scene3d>
          </w:rPr>
          <w:t>8.3</w:t>
        </w:r>
        <w:r w:rsidR="00AF4812" w:rsidRPr="00ED2279">
          <w:rPr>
            <w:rFonts w:asciiTheme="minorHAnsi" w:eastAsiaTheme="minorEastAsia" w:hAnsiTheme="minorHAnsi" w:cstheme="minorBidi"/>
            <w:szCs w:val="22"/>
            <w:lang w:val="en-AU" w:eastAsia="en-AU"/>
          </w:rPr>
          <w:tab/>
        </w:r>
        <w:r w:rsidR="00AF4812" w:rsidRPr="00ED2279">
          <w:rPr>
            <w:rStyle w:val="Hyperlink"/>
            <w:rFonts w:eastAsia="Calibri Light"/>
          </w:rPr>
          <w:t xml:space="preserve">Asset, </w:t>
        </w:r>
        <w:r w:rsidR="00AF4812" w:rsidRPr="00ED2279">
          <w:rPr>
            <w:rStyle w:val="Hyperlink"/>
          </w:rPr>
          <w:t>device and data management</w:t>
        </w:r>
        <w:r w:rsidR="00AF4812" w:rsidRPr="00ED2279">
          <w:rPr>
            <w:webHidden/>
          </w:rPr>
          <w:tab/>
        </w:r>
        <w:r w:rsidR="00AF4812" w:rsidRPr="00ED2279">
          <w:rPr>
            <w:webHidden/>
          </w:rPr>
          <w:fldChar w:fldCharType="begin"/>
        </w:r>
        <w:r w:rsidR="00AF4812" w:rsidRPr="00ED2279">
          <w:rPr>
            <w:webHidden/>
          </w:rPr>
          <w:instrText xml:space="preserve"> PAGEREF _Toc65760594 \h </w:instrText>
        </w:r>
        <w:r w:rsidR="00AF4812" w:rsidRPr="00ED2279">
          <w:rPr>
            <w:webHidden/>
          </w:rPr>
        </w:r>
        <w:r w:rsidR="00AF4812" w:rsidRPr="00ED2279">
          <w:rPr>
            <w:webHidden/>
          </w:rPr>
          <w:fldChar w:fldCharType="separate"/>
        </w:r>
        <w:r w:rsidR="00AF4812" w:rsidRPr="00ED2279">
          <w:rPr>
            <w:webHidden/>
          </w:rPr>
          <w:t>138</w:t>
        </w:r>
        <w:r w:rsidR="00AF4812" w:rsidRPr="00ED2279">
          <w:rPr>
            <w:webHidden/>
          </w:rPr>
          <w:fldChar w:fldCharType="end"/>
        </w:r>
      </w:hyperlink>
    </w:p>
    <w:p w14:paraId="2D98ACFF" w14:textId="534DA70F" w:rsidR="00AF4812" w:rsidRPr="00E46FB0" w:rsidRDefault="00084371">
      <w:pPr>
        <w:pStyle w:val="TOC3"/>
        <w:rPr>
          <w:rFonts w:asciiTheme="minorHAnsi" w:eastAsiaTheme="minorEastAsia" w:hAnsiTheme="minorHAnsi" w:cstheme="minorBidi"/>
          <w:szCs w:val="22"/>
          <w:lang w:val="en-AU" w:eastAsia="en-AU"/>
        </w:rPr>
      </w:pPr>
      <w:hyperlink w:anchor="_Toc65760595" w:history="1">
        <w:r w:rsidR="00AF4812" w:rsidRPr="00ED2279">
          <w:rPr>
            <w:rStyle w:val="Hyperlink"/>
            <w14:scene3d>
              <w14:camera w14:prst="orthographicFront"/>
              <w14:lightRig w14:rig="threePt" w14:dir="t">
                <w14:rot w14:lat="0" w14:lon="0" w14:rev="0"/>
              </w14:lightRig>
            </w14:scene3d>
          </w:rPr>
          <w:t>8.3.1</w:t>
        </w:r>
        <w:r w:rsidR="00AF4812" w:rsidRPr="00ED2279">
          <w:rPr>
            <w:rFonts w:asciiTheme="minorHAnsi" w:eastAsiaTheme="minorEastAsia" w:hAnsiTheme="minorHAnsi" w:cstheme="minorBidi"/>
            <w:szCs w:val="22"/>
            <w:lang w:val="en-AU" w:eastAsia="en-AU"/>
          </w:rPr>
          <w:tab/>
        </w:r>
        <w:r w:rsidR="00AF4812" w:rsidRPr="00ED2279">
          <w:rPr>
            <w:rStyle w:val="Hyperlink"/>
          </w:rPr>
          <w:t>Asset management</w:t>
        </w:r>
        <w:r w:rsidR="00AF4812" w:rsidRPr="00ED2279">
          <w:rPr>
            <w:webHidden/>
          </w:rPr>
          <w:tab/>
        </w:r>
        <w:r w:rsidR="00AF4812" w:rsidRPr="00ED2279">
          <w:rPr>
            <w:webHidden/>
          </w:rPr>
          <w:fldChar w:fldCharType="begin"/>
        </w:r>
        <w:r w:rsidR="00AF4812" w:rsidRPr="00ED2279">
          <w:rPr>
            <w:webHidden/>
          </w:rPr>
          <w:instrText xml:space="preserve"> PAGEREF _Toc65760595 \h </w:instrText>
        </w:r>
        <w:r w:rsidR="00AF4812" w:rsidRPr="00ED2279">
          <w:rPr>
            <w:webHidden/>
          </w:rPr>
        </w:r>
        <w:r w:rsidR="00AF4812" w:rsidRPr="00ED2279">
          <w:rPr>
            <w:webHidden/>
          </w:rPr>
          <w:fldChar w:fldCharType="separate"/>
        </w:r>
        <w:r w:rsidR="00AF4812" w:rsidRPr="00ED2279">
          <w:rPr>
            <w:webHidden/>
          </w:rPr>
          <w:t>138</w:t>
        </w:r>
        <w:r w:rsidR="00AF4812" w:rsidRPr="00ED2279">
          <w:rPr>
            <w:webHidden/>
          </w:rPr>
          <w:fldChar w:fldCharType="end"/>
        </w:r>
      </w:hyperlink>
    </w:p>
    <w:p w14:paraId="5531703A" w14:textId="74A7EC68" w:rsidR="00AF4812" w:rsidRPr="00E46FB0" w:rsidRDefault="00084371">
      <w:pPr>
        <w:pStyle w:val="TOC3"/>
        <w:rPr>
          <w:rFonts w:asciiTheme="minorHAnsi" w:eastAsiaTheme="minorEastAsia" w:hAnsiTheme="minorHAnsi" w:cstheme="minorBidi"/>
          <w:szCs w:val="22"/>
          <w:lang w:val="en-AU" w:eastAsia="en-AU"/>
        </w:rPr>
      </w:pPr>
      <w:hyperlink w:anchor="_Toc65760596" w:history="1">
        <w:r w:rsidR="00AF4812" w:rsidRPr="00ED2279">
          <w:rPr>
            <w:rStyle w:val="Hyperlink"/>
            <w14:scene3d>
              <w14:camera w14:prst="orthographicFront"/>
              <w14:lightRig w14:rig="threePt" w14:dir="t">
                <w14:rot w14:lat="0" w14:lon="0" w14:rev="0"/>
              </w14:lightRig>
            </w14:scene3d>
          </w:rPr>
          <w:t>8.3.2</w:t>
        </w:r>
        <w:r w:rsidR="00AF4812" w:rsidRPr="00ED2279">
          <w:rPr>
            <w:rFonts w:asciiTheme="minorHAnsi" w:eastAsiaTheme="minorEastAsia" w:hAnsiTheme="minorHAnsi" w:cstheme="minorBidi"/>
            <w:szCs w:val="22"/>
            <w:lang w:val="en-AU" w:eastAsia="en-AU"/>
          </w:rPr>
          <w:tab/>
        </w:r>
        <w:r w:rsidR="00AF4812" w:rsidRPr="00ED2279">
          <w:rPr>
            <w:rStyle w:val="Hyperlink"/>
          </w:rPr>
          <w:t>Device maintenance</w:t>
        </w:r>
        <w:r w:rsidR="00AF4812" w:rsidRPr="00ED2279">
          <w:rPr>
            <w:webHidden/>
          </w:rPr>
          <w:tab/>
        </w:r>
        <w:r w:rsidR="00AF4812" w:rsidRPr="00ED2279">
          <w:rPr>
            <w:webHidden/>
          </w:rPr>
          <w:fldChar w:fldCharType="begin"/>
        </w:r>
        <w:r w:rsidR="00AF4812" w:rsidRPr="00ED2279">
          <w:rPr>
            <w:webHidden/>
          </w:rPr>
          <w:instrText xml:space="preserve"> PAGEREF _Toc65760596 \h </w:instrText>
        </w:r>
        <w:r w:rsidR="00AF4812" w:rsidRPr="00ED2279">
          <w:rPr>
            <w:webHidden/>
          </w:rPr>
        </w:r>
        <w:r w:rsidR="00AF4812" w:rsidRPr="00ED2279">
          <w:rPr>
            <w:webHidden/>
          </w:rPr>
          <w:fldChar w:fldCharType="separate"/>
        </w:r>
        <w:r w:rsidR="00AF4812" w:rsidRPr="00ED2279">
          <w:rPr>
            <w:webHidden/>
          </w:rPr>
          <w:t>139</w:t>
        </w:r>
        <w:r w:rsidR="00AF4812" w:rsidRPr="00ED2279">
          <w:rPr>
            <w:webHidden/>
          </w:rPr>
          <w:fldChar w:fldCharType="end"/>
        </w:r>
      </w:hyperlink>
    </w:p>
    <w:p w14:paraId="64AB46BF" w14:textId="515567DB" w:rsidR="00AF4812" w:rsidRPr="00E46FB0" w:rsidRDefault="00084371">
      <w:pPr>
        <w:pStyle w:val="TOC3"/>
        <w:rPr>
          <w:rFonts w:asciiTheme="minorHAnsi" w:eastAsiaTheme="minorEastAsia" w:hAnsiTheme="minorHAnsi" w:cstheme="minorBidi"/>
          <w:szCs w:val="22"/>
          <w:lang w:val="en-AU" w:eastAsia="en-AU"/>
        </w:rPr>
      </w:pPr>
      <w:hyperlink w:anchor="_Toc65760597" w:history="1">
        <w:r w:rsidR="00AF4812" w:rsidRPr="00ED2279">
          <w:rPr>
            <w:rStyle w:val="Hyperlink"/>
            <w14:scene3d>
              <w14:camera w14:prst="orthographicFront"/>
              <w14:lightRig w14:rig="threePt" w14:dir="t">
                <w14:rot w14:lat="0" w14:lon="0" w14:rev="0"/>
              </w14:lightRig>
            </w14:scene3d>
          </w:rPr>
          <w:t>8.3.3</w:t>
        </w:r>
        <w:r w:rsidR="00AF4812" w:rsidRPr="00ED2279">
          <w:rPr>
            <w:rFonts w:asciiTheme="minorHAnsi" w:eastAsiaTheme="minorEastAsia" w:hAnsiTheme="minorHAnsi" w:cstheme="minorBidi"/>
            <w:szCs w:val="22"/>
            <w:lang w:val="en-AU" w:eastAsia="en-AU"/>
          </w:rPr>
          <w:tab/>
        </w:r>
        <w:r w:rsidR="00AF4812" w:rsidRPr="00ED2279">
          <w:rPr>
            <w:rStyle w:val="Hyperlink"/>
          </w:rPr>
          <w:t>Data maintenance</w:t>
        </w:r>
        <w:r w:rsidR="00AF4812" w:rsidRPr="00ED2279">
          <w:rPr>
            <w:webHidden/>
          </w:rPr>
          <w:tab/>
        </w:r>
        <w:r w:rsidR="00AF4812" w:rsidRPr="00ED2279">
          <w:rPr>
            <w:webHidden/>
          </w:rPr>
          <w:fldChar w:fldCharType="begin"/>
        </w:r>
        <w:r w:rsidR="00AF4812" w:rsidRPr="00ED2279">
          <w:rPr>
            <w:webHidden/>
          </w:rPr>
          <w:instrText xml:space="preserve"> PAGEREF _Toc65760597 \h </w:instrText>
        </w:r>
        <w:r w:rsidR="00AF4812" w:rsidRPr="00ED2279">
          <w:rPr>
            <w:webHidden/>
          </w:rPr>
        </w:r>
        <w:r w:rsidR="00AF4812" w:rsidRPr="00ED2279">
          <w:rPr>
            <w:webHidden/>
          </w:rPr>
          <w:fldChar w:fldCharType="separate"/>
        </w:r>
        <w:r w:rsidR="00AF4812" w:rsidRPr="00ED2279">
          <w:rPr>
            <w:webHidden/>
          </w:rPr>
          <w:t>140</w:t>
        </w:r>
        <w:r w:rsidR="00AF4812" w:rsidRPr="00ED2279">
          <w:rPr>
            <w:webHidden/>
          </w:rPr>
          <w:fldChar w:fldCharType="end"/>
        </w:r>
      </w:hyperlink>
    </w:p>
    <w:p w14:paraId="19C5F9E3" w14:textId="32BFFB09" w:rsidR="00AF4812" w:rsidRPr="00E46FB0" w:rsidRDefault="00084371">
      <w:pPr>
        <w:pStyle w:val="TOC1"/>
        <w:rPr>
          <w:rFonts w:asciiTheme="minorHAnsi" w:eastAsiaTheme="minorEastAsia" w:hAnsiTheme="minorHAnsi" w:cstheme="minorBidi"/>
          <w:b w:val="0"/>
          <w:szCs w:val="22"/>
          <w:lang w:val="en-AU" w:eastAsia="en-AU"/>
        </w:rPr>
      </w:pPr>
      <w:hyperlink w:anchor="_Toc65760598" w:history="1">
        <w:r w:rsidR="00AF4812" w:rsidRPr="00ED2279">
          <w:rPr>
            <w:rStyle w:val="Hyperlink"/>
          </w:rPr>
          <w:t>9.</w:t>
        </w:r>
        <w:r w:rsidR="00AF4812" w:rsidRPr="00ED2279">
          <w:rPr>
            <w:rFonts w:asciiTheme="minorHAnsi" w:eastAsiaTheme="minorEastAsia" w:hAnsiTheme="minorHAnsi" w:cstheme="minorBidi"/>
            <w:b w:val="0"/>
            <w:szCs w:val="22"/>
            <w:lang w:val="en-AU" w:eastAsia="en-AU"/>
          </w:rPr>
          <w:tab/>
        </w:r>
        <w:r w:rsidR="00AF4812" w:rsidRPr="00ED2279">
          <w:rPr>
            <w:rStyle w:val="Hyperlink"/>
          </w:rPr>
          <w:t>Assess</w:t>
        </w:r>
        <w:r w:rsidR="00AF4812" w:rsidRPr="00ED2279">
          <w:rPr>
            <w:webHidden/>
          </w:rPr>
          <w:tab/>
        </w:r>
        <w:r w:rsidR="00AF4812" w:rsidRPr="00ED2279">
          <w:rPr>
            <w:webHidden/>
          </w:rPr>
          <w:fldChar w:fldCharType="begin"/>
        </w:r>
        <w:r w:rsidR="00AF4812" w:rsidRPr="00ED2279">
          <w:rPr>
            <w:webHidden/>
          </w:rPr>
          <w:instrText xml:space="preserve"> PAGEREF _Toc65760598 \h </w:instrText>
        </w:r>
        <w:r w:rsidR="00AF4812" w:rsidRPr="00ED2279">
          <w:rPr>
            <w:webHidden/>
          </w:rPr>
        </w:r>
        <w:r w:rsidR="00AF4812" w:rsidRPr="00ED2279">
          <w:rPr>
            <w:webHidden/>
          </w:rPr>
          <w:fldChar w:fldCharType="separate"/>
        </w:r>
        <w:r w:rsidR="00AF4812" w:rsidRPr="00ED2279">
          <w:rPr>
            <w:webHidden/>
          </w:rPr>
          <w:t>141</w:t>
        </w:r>
        <w:r w:rsidR="00AF4812" w:rsidRPr="00ED2279">
          <w:rPr>
            <w:webHidden/>
          </w:rPr>
          <w:fldChar w:fldCharType="end"/>
        </w:r>
      </w:hyperlink>
    </w:p>
    <w:p w14:paraId="5B102D8A" w14:textId="16530868" w:rsidR="00AF4812" w:rsidRPr="00E46FB0" w:rsidRDefault="00084371">
      <w:pPr>
        <w:pStyle w:val="TOC2"/>
        <w:rPr>
          <w:rFonts w:asciiTheme="minorHAnsi" w:eastAsiaTheme="minorEastAsia" w:hAnsiTheme="minorHAnsi" w:cstheme="minorBidi"/>
          <w:szCs w:val="22"/>
          <w:lang w:val="en-AU" w:eastAsia="en-AU"/>
        </w:rPr>
      </w:pPr>
      <w:hyperlink w:anchor="_Toc65760599" w:history="1">
        <w:r w:rsidR="00AF4812" w:rsidRPr="00ED2279">
          <w:rPr>
            <w:rStyle w:val="Hyperlink"/>
            <w14:scene3d>
              <w14:camera w14:prst="orthographicFront"/>
              <w14:lightRig w14:rig="threePt" w14:dir="t">
                <w14:rot w14:lat="0" w14:lon="0" w14:rev="0"/>
              </w14:lightRig>
            </w14:scene3d>
          </w:rPr>
          <w:t>9.1</w:t>
        </w:r>
        <w:r w:rsidR="00AF4812" w:rsidRPr="00ED2279">
          <w:rPr>
            <w:rFonts w:asciiTheme="minorHAnsi" w:eastAsiaTheme="minorEastAsia" w:hAnsiTheme="minorHAnsi" w:cstheme="minorBidi"/>
            <w:szCs w:val="22"/>
            <w:lang w:val="en-AU" w:eastAsia="en-AU"/>
          </w:rPr>
          <w:tab/>
        </w:r>
        <w:r w:rsidR="00AF4812" w:rsidRPr="00ED2279">
          <w:rPr>
            <w:rStyle w:val="Hyperlink"/>
          </w:rPr>
          <w:t>Evaluation</w:t>
        </w:r>
        <w:r w:rsidR="00AF4812" w:rsidRPr="00ED2279">
          <w:rPr>
            <w:webHidden/>
          </w:rPr>
          <w:tab/>
        </w:r>
        <w:r w:rsidR="00AF4812" w:rsidRPr="00ED2279">
          <w:rPr>
            <w:webHidden/>
          </w:rPr>
          <w:fldChar w:fldCharType="begin"/>
        </w:r>
        <w:r w:rsidR="00AF4812" w:rsidRPr="00ED2279">
          <w:rPr>
            <w:webHidden/>
          </w:rPr>
          <w:instrText xml:space="preserve"> PAGEREF _Toc65760599 \h </w:instrText>
        </w:r>
        <w:r w:rsidR="00AF4812" w:rsidRPr="00ED2279">
          <w:rPr>
            <w:webHidden/>
          </w:rPr>
        </w:r>
        <w:r w:rsidR="00AF4812" w:rsidRPr="00ED2279">
          <w:rPr>
            <w:webHidden/>
          </w:rPr>
          <w:fldChar w:fldCharType="separate"/>
        </w:r>
        <w:r w:rsidR="00AF4812" w:rsidRPr="00ED2279">
          <w:rPr>
            <w:webHidden/>
          </w:rPr>
          <w:t>142</w:t>
        </w:r>
        <w:r w:rsidR="00AF4812" w:rsidRPr="00ED2279">
          <w:rPr>
            <w:webHidden/>
          </w:rPr>
          <w:fldChar w:fldCharType="end"/>
        </w:r>
      </w:hyperlink>
    </w:p>
    <w:p w14:paraId="16AFEA31" w14:textId="4E2D7E89" w:rsidR="00AF4812" w:rsidRPr="00E46FB0" w:rsidRDefault="00084371">
      <w:pPr>
        <w:pStyle w:val="TOC3"/>
        <w:rPr>
          <w:rFonts w:asciiTheme="minorHAnsi" w:eastAsiaTheme="minorEastAsia" w:hAnsiTheme="minorHAnsi" w:cstheme="minorBidi"/>
          <w:szCs w:val="22"/>
          <w:lang w:val="en-AU" w:eastAsia="en-AU"/>
        </w:rPr>
      </w:pPr>
      <w:hyperlink w:anchor="_Toc65760600" w:history="1">
        <w:r w:rsidR="00AF4812" w:rsidRPr="00ED2279">
          <w:rPr>
            <w:rStyle w:val="Hyperlink"/>
            <w14:scene3d>
              <w14:camera w14:prst="orthographicFront"/>
              <w14:lightRig w14:rig="threePt" w14:dir="t">
                <w14:rot w14:lat="0" w14:lon="0" w14:rev="0"/>
              </w14:lightRig>
            </w14:scene3d>
          </w:rPr>
          <w:t>9.1.1</w:t>
        </w:r>
        <w:r w:rsidR="00AF4812" w:rsidRPr="00ED2279">
          <w:rPr>
            <w:rFonts w:asciiTheme="minorHAnsi" w:eastAsiaTheme="minorEastAsia" w:hAnsiTheme="minorHAnsi" w:cstheme="minorBidi"/>
            <w:szCs w:val="22"/>
            <w:lang w:val="en-AU" w:eastAsia="en-AU"/>
          </w:rPr>
          <w:tab/>
        </w:r>
        <w:r w:rsidR="00AF4812" w:rsidRPr="00ED2279">
          <w:rPr>
            <w:rStyle w:val="Hyperlink"/>
          </w:rPr>
          <w:t>Why is evaluation important for IoT-enabled projects?</w:t>
        </w:r>
        <w:r w:rsidR="00AF4812" w:rsidRPr="00ED2279">
          <w:rPr>
            <w:webHidden/>
          </w:rPr>
          <w:tab/>
        </w:r>
        <w:r w:rsidR="00AF4812" w:rsidRPr="00ED2279">
          <w:rPr>
            <w:webHidden/>
          </w:rPr>
          <w:fldChar w:fldCharType="begin"/>
        </w:r>
        <w:r w:rsidR="00AF4812" w:rsidRPr="00ED2279">
          <w:rPr>
            <w:webHidden/>
          </w:rPr>
          <w:instrText xml:space="preserve"> PAGEREF _Toc65760600 \h </w:instrText>
        </w:r>
        <w:r w:rsidR="00AF4812" w:rsidRPr="00ED2279">
          <w:rPr>
            <w:webHidden/>
          </w:rPr>
        </w:r>
        <w:r w:rsidR="00AF4812" w:rsidRPr="00ED2279">
          <w:rPr>
            <w:webHidden/>
          </w:rPr>
          <w:fldChar w:fldCharType="separate"/>
        </w:r>
        <w:r w:rsidR="00AF4812" w:rsidRPr="00ED2279">
          <w:rPr>
            <w:webHidden/>
          </w:rPr>
          <w:t>142</w:t>
        </w:r>
        <w:r w:rsidR="00AF4812" w:rsidRPr="00ED2279">
          <w:rPr>
            <w:webHidden/>
          </w:rPr>
          <w:fldChar w:fldCharType="end"/>
        </w:r>
      </w:hyperlink>
    </w:p>
    <w:p w14:paraId="75B81238" w14:textId="35011889" w:rsidR="00AF4812" w:rsidRPr="00E46FB0" w:rsidRDefault="00084371">
      <w:pPr>
        <w:pStyle w:val="TOC3"/>
        <w:rPr>
          <w:rFonts w:asciiTheme="minorHAnsi" w:eastAsiaTheme="minorEastAsia" w:hAnsiTheme="minorHAnsi" w:cstheme="minorBidi"/>
          <w:szCs w:val="22"/>
          <w:lang w:val="en-AU" w:eastAsia="en-AU"/>
        </w:rPr>
      </w:pPr>
      <w:hyperlink w:anchor="_Toc65760601" w:history="1">
        <w:r w:rsidR="00AF4812" w:rsidRPr="00ED2279">
          <w:rPr>
            <w:rStyle w:val="Hyperlink"/>
            <w14:scene3d>
              <w14:camera w14:prst="orthographicFront"/>
              <w14:lightRig w14:rig="threePt" w14:dir="t">
                <w14:rot w14:lat="0" w14:lon="0" w14:rev="0"/>
              </w14:lightRig>
            </w14:scene3d>
          </w:rPr>
          <w:t>9.1.2</w:t>
        </w:r>
        <w:r w:rsidR="00AF4812" w:rsidRPr="00ED2279">
          <w:rPr>
            <w:rFonts w:asciiTheme="minorHAnsi" w:eastAsiaTheme="minorEastAsia" w:hAnsiTheme="minorHAnsi" w:cstheme="minorBidi"/>
            <w:szCs w:val="22"/>
            <w:lang w:val="en-AU" w:eastAsia="en-AU"/>
          </w:rPr>
          <w:tab/>
        </w:r>
        <w:r w:rsidR="00AF4812" w:rsidRPr="00ED2279">
          <w:rPr>
            <w:rStyle w:val="Hyperlink"/>
          </w:rPr>
          <w:t>What to evaluate</w:t>
        </w:r>
        <w:r w:rsidR="00AF4812" w:rsidRPr="00ED2279">
          <w:rPr>
            <w:webHidden/>
          </w:rPr>
          <w:tab/>
        </w:r>
        <w:r w:rsidR="00AF4812" w:rsidRPr="00ED2279">
          <w:rPr>
            <w:webHidden/>
          </w:rPr>
          <w:fldChar w:fldCharType="begin"/>
        </w:r>
        <w:r w:rsidR="00AF4812" w:rsidRPr="00ED2279">
          <w:rPr>
            <w:webHidden/>
          </w:rPr>
          <w:instrText xml:space="preserve"> PAGEREF _Toc65760601 \h </w:instrText>
        </w:r>
        <w:r w:rsidR="00AF4812" w:rsidRPr="00ED2279">
          <w:rPr>
            <w:webHidden/>
          </w:rPr>
        </w:r>
        <w:r w:rsidR="00AF4812" w:rsidRPr="00ED2279">
          <w:rPr>
            <w:webHidden/>
          </w:rPr>
          <w:fldChar w:fldCharType="separate"/>
        </w:r>
        <w:r w:rsidR="00AF4812" w:rsidRPr="00ED2279">
          <w:rPr>
            <w:webHidden/>
          </w:rPr>
          <w:t>142</w:t>
        </w:r>
        <w:r w:rsidR="00AF4812" w:rsidRPr="00ED2279">
          <w:rPr>
            <w:webHidden/>
          </w:rPr>
          <w:fldChar w:fldCharType="end"/>
        </w:r>
      </w:hyperlink>
    </w:p>
    <w:p w14:paraId="319FE5EE" w14:textId="3253DAA7" w:rsidR="00AF4812" w:rsidRPr="00E46FB0" w:rsidRDefault="00084371">
      <w:pPr>
        <w:pStyle w:val="TOC3"/>
        <w:rPr>
          <w:rFonts w:asciiTheme="minorHAnsi" w:eastAsiaTheme="minorEastAsia" w:hAnsiTheme="minorHAnsi" w:cstheme="minorBidi"/>
          <w:szCs w:val="22"/>
          <w:lang w:val="en-AU" w:eastAsia="en-AU"/>
        </w:rPr>
      </w:pPr>
      <w:hyperlink w:anchor="_Toc65760602" w:history="1">
        <w:r w:rsidR="00AF4812" w:rsidRPr="00ED2279">
          <w:rPr>
            <w:rStyle w:val="Hyperlink"/>
            <w14:scene3d>
              <w14:camera w14:prst="orthographicFront"/>
              <w14:lightRig w14:rig="threePt" w14:dir="t">
                <w14:rot w14:lat="0" w14:lon="0" w14:rev="0"/>
              </w14:lightRig>
            </w14:scene3d>
          </w:rPr>
          <w:t>9.1.3</w:t>
        </w:r>
        <w:r w:rsidR="00AF4812" w:rsidRPr="00ED2279">
          <w:rPr>
            <w:rFonts w:asciiTheme="minorHAnsi" w:eastAsiaTheme="minorEastAsia" w:hAnsiTheme="minorHAnsi" w:cstheme="minorBidi"/>
            <w:szCs w:val="22"/>
            <w:lang w:val="en-AU" w:eastAsia="en-AU"/>
          </w:rPr>
          <w:tab/>
        </w:r>
        <w:r w:rsidR="00AF4812" w:rsidRPr="00ED2279">
          <w:rPr>
            <w:rStyle w:val="Hyperlink"/>
          </w:rPr>
          <w:t>How to evaluate IoT-enabled projects</w:t>
        </w:r>
        <w:r w:rsidR="00AF4812" w:rsidRPr="00ED2279">
          <w:rPr>
            <w:webHidden/>
          </w:rPr>
          <w:tab/>
        </w:r>
        <w:r w:rsidR="00AF4812" w:rsidRPr="00ED2279">
          <w:rPr>
            <w:webHidden/>
          </w:rPr>
          <w:fldChar w:fldCharType="begin"/>
        </w:r>
        <w:r w:rsidR="00AF4812" w:rsidRPr="00ED2279">
          <w:rPr>
            <w:webHidden/>
          </w:rPr>
          <w:instrText xml:space="preserve"> PAGEREF _Toc65760602 \h </w:instrText>
        </w:r>
        <w:r w:rsidR="00AF4812" w:rsidRPr="00ED2279">
          <w:rPr>
            <w:webHidden/>
          </w:rPr>
        </w:r>
        <w:r w:rsidR="00AF4812" w:rsidRPr="00ED2279">
          <w:rPr>
            <w:webHidden/>
          </w:rPr>
          <w:fldChar w:fldCharType="separate"/>
        </w:r>
        <w:r w:rsidR="00AF4812" w:rsidRPr="00ED2279">
          <w:rPr>
            <w:webHidden/>
          </w:rPr>
          <w:t>143</w:t>
        </w:r>
        <w:r w:rsidR="00AF4812" w:rsidRPr="00ED2279">
          <w:rPr>
            <w:webHidden/>
          </w:rPr>
          <w:fldChar w:fldCharType="end"/>
        </w:r>
      </w:hyperlink>
    </w:p>
    <w:p w14:paraId="5E44B167" w14:textId="0DA13A36" w:rsidR="00AF4812" w:rsidRPr="00E46FB0" w:rsidRDefault="00084371">
      <w:pPr>
        <w:pStyle w:val="TOC3"/>
        <w:rPr>
          <w:rFonts w:asciiTheme="minorHAnsi" w:eastAsiaTheme="minorEastAsia" w:hAnsiTheme="minorHAnsi" w:cstheme="minorBidi"/>
          <w:szCs w:val="22"/>
          <w:lang w:val="en-AU" w:eastAsia="en-AU"/>
        </w:rPr>
      </w:pPr>
      <w:hyperlink w:anchor="_Toc65760603" w:history="1">
        <w:r w:rsidR="00AF4812" w:rsidRPr="00ED2279">
          <w:rPr>
            <w:rStyle w:val="Hyperlink"/>
            <w14:scene3d>
              <w14:camera w14:prst="orthographicFront"/>
              <w14:lightRig w14:rig="threePt" w14:dir="t">
                <w14:rot w14:lat="0" w14:lon="0" w14:rev="0"/>
              </w14:lightRig>
            </w14:scene3d>
          </w:rPr>
          <w:t>9.1.4</w:t>
        </w:r>
        <w:r w:rsidR="00AF4812" w:rsidRPr="00ED2279">
          <w:rPr>
            <w:rFonts w:asciiTheme="minorHAnsi" w:eastAsiaTheme="minorEastAsia" w:hAnsiTheme="minorHAnsi" w:cstheme="minorBidi"/>
            <w:szCs w:val="22"/>
            <w:lang w:val="en-AU" w:eastAsia="en-AU"/>
          </w:rPr>
          <w:tab/>
        </w:r>
        <w:r w:rsidR="00AF4812" w:rsidRPr="00ED2279">
          <w:rPr>
            <w:rStyle w:val="Hyperlink"/>
          </w:rPr>
          <w:t>Other assessment activities</w:t>
        </w:r>
        <w:r w:rsidR="00AF4812" w:rsidRPr="00ED2279">
          <w:rPr>
            <w:webHidden/>
          </w:rPr>
          <w:tab/>
        </w:r>
        <w:r w:rsidR="00AF4812" w:rsidRPr="00ED2279">
          <w:rPr>
            <w:webHidden/>
          </w:rPr>
          <w:fldChar w:fldCharType="begin"/>
        </w:r>
        <w:r w:rsidR="00AF4812" w:rsidRPr="00ED2279">
          <w:rPr>
            <w:webHidden/>
          </w:rPr>
          <w:instrText xml:space="preserve"> PAGEREF _Toc65760603 \h </w:instrText>
        </w:r>
        <w:r w:rsidR="00AF4812" w:rsidRPr="00ED2279">
          <w:rPr>
            <w:webHidden/>
          </w:rPr>
        </w:r>
        <w:r w:rsidR="00AF4812" w:rsidRPr="00ED2279">
          <w:rPr>
            <w:webHidden/>
          </w:rPr>
          <w:fldChar w:fldCharType="separate"/>
        </w:r>
        <w:r w:rsidR="00AF4812" w:rsidRPr="00ED2279">
          <w:rPr>
            <w:webHidden/>
          </w:rPr>
          <w:t>146</w:t>
        </w:r>
        <w:r w:rsidR="00AF4812" w:rsidRPr="00ED2279">
          <w:rPr>
            <w:webHidden/>
          </w:rPr>
          <w:fldChar w:fldCharType="end"/>
        </w:r>
      </w:hyperlink>
    </w:p>
    <w:p w14:paraId="0C56A35F" w14:textId="0A7CFE8B" w:rsidR="00AF4812" w:rsidRPr="00E46FB0" w:rsidRDefault="00084371">
      <w:pPr>
        <w:pStyle w:val="TOC3"/>
        <w:rPr>
          <w:rFonts w:asciiTheme="minorHAnsi" w:eastAsiaTheme="minorEastAsia" w:hAnsiTheme="minorHAnsi" w:cstheme="minorBidi"/>
          <w:szCs w:val="22"/>
          <w:lang w:val="en-AU" w:eastAsia="en-AU"/>
        </w:rPr>
      </w:pPr>
      <w:hyperlink w:anchor="_Toc65760604" w:history="1">
        <w:r w:rsidR="00AF4812" w:rsidRPr="00ED2279">
          <w:rPr>
            <w:rStyle w:val="Hyperlink"/>
            <w14:scene3d>
              <w14:camera w14:prst="orthographicFront"/>
              <w14:lightRig w14:rig="threePt" w14:dir="t">
                <w14:rot w14:lat="0" w14:lon="0" w14:rev="0"/>
              </w14:lightRig>
            </w14:scene3d>
          </w:rPr>
          <w:t>9.1.5</w:t>
        </w:r>
        <w:r w:rsidR="00AF4812" w:rsidRPr="00ED2279">
          <w:rPr>
            <w:rFonts w:asciiTheme="minorHAnsi" w:eastAsiaTheme="minorEastAsia" w:hAnsiTheme="minorHAnsi" w:cstheme="minorBidi"/>
            <w:szCs w:val="22"/>
            <w:lang w:val="en-AU" w:eastAsia="en-AU"/>
          </w:rPr>
          <w:tab/>
        </w:r>
        <w:r w:rsidR="00AF4812" w:rsidRPr="00ED2279">
          <w:rPr>
            <w:rStyle w:val="Hyperlink"/>
          </w:rPr>
          <w:t>Policy and resources</w:t>
        </w:r>
        <w:r w:rsidR="00AF4812" w:rsidRPr="00ED2279">
          <w:rPr>
            <w:webHidden/>
          </w:rPr>
          <w:tab/>
        </w:r>
        <w:r w:rsidR="00AF4812" w:rsidRPr="00ED2279">
          <w:rPr>
            <w:webHidden/>
          </w:rPr>
          <w:fldChar w:fldCharType="begin"/>
        </w:r>
        <w:r w:rsidR="00AF4812" w:rsidRPr="00ED2279">
          <w:rPr>
            <w:webHidden/>
          </w:rPr>
          <w:instrText xml:space="preserve"> PAGEREF _Toc65760604 \h </w:instrText>
        </w:r>
        <w:r w:rsidR="00AF4812" w:rsidRPr="00ED2279">
          <w:rPr>
            <w:webHidden/>
          </w:rPr>
        </w:r>
        <w:r w:rsidR="00AF4812" w:rsidRPr="00ED2279">
          <w:rPr>
            <w:webHidden/>
          </w:rPr>
          <w:fldChar w:fldCharType="separate"/>
        </w:r>
        <w:r w:rsidR="00AF4812" w:rsidRPr="00ED2279">
          <w:rPr>
            <w:webHidden/>
          </w:rPr>
          <w:t>146</w:t>
        </w:r>
        <w:r w:rsidR="00AF4812" w:rsidRPr="00ED2279">
          <w:rPr>
            <w:webHidden/>
          </w:rPr>
          <w:fldChar w:fldCharType="end"/>
        </w:r>
      </w:hyperlink>
    </w:p>
    <w:p w14:paraId="72C63D03" w14:textId="51288EC6" w:rsidR="00AF4812" w:rsidRPr="00E46FB0" w:rsidRDefault="00084371">
      <w:pPr>
        <w:pStyle w:val="TOC3"/>
        <w:rPr>
          <w:rFonts w:asciiTheme="minorHAnsi" w:eastAsiaTheme="minorEastAsia" w:hAnsiTheme="minorHAnsi" w:cstheme="minorBidi"/>
          <w:szCs w:val="22"/>
          <w:lang w:val="en-AU" w:eastAsia="en-AU"/>
        </w:rPr>
      </w:pPr>
      <w:hyperlink w:anchor="_Toc65760605" w:history="1">
        <w:r w:rsidR="00AF4812" w:rsidRPr="00ED2279">
          <w:rPr>
            <w:rStyle w:val="Hyperlink"/>
            <w14:scene3d>
              <w14:camera w14:prst="orthographicFront"/>
              <w14:lightRig w14:rig="threePt" w14:dir="t">
                <w14:rot w14:lat="0" w14:lon="0" w14:rev="0"/>
              </w14:lightRig>
            </w14:scene3d>
          </w:rPr>
          <w:t>9.1.6</w:t>
        </w:r>
        <w:r w:rsidR="00AF4812" w:rsidRPr="00ED2279">
          <w:rPr>
            <w:rFonts w:asciiTheme="minorHAnsi" w:eastAsiaTheme="minorEastAsia" w:hAnsiTheme="minorHAnsi" w:cstheme="minorBidi"/>
            <w:szCs w:val="22"/>
            <w:lang w:val="en-AU" w:eastAsia="en-AU"/>
          </w:rPr>
          <w:tab/>
        </w:r>
        <w:r w:rsidR="00AF4812" w:rsidRPr="00ED2279">
          <w:rPr>
            <w:rStyle w:val="Hyperlink"/>
          </w:rPr>
          <w:t>Why is auditing important for IoT-enabled projects?</w:t>
        </w:r>
        <w:r w:rsidR="00AF4812" w:rsidRPr="00ED2279">
          <w:rPr>
            <w:webHidden/>
          </w:rPr>
          <w:tab/>
        </w:r>
        <w:r w:rsidR="00AF4812" w:rsidRPr="00ED2279">
          <w:rPr>
            <w:webHidden/>
          </w:rPr>
          <w:fldChar w:fldCharType="begin"/>
        </w:r>
        <w:r w:rsidR="00AF4812" w:rsidRPr="00ED2279">
          <w:rPr>
            <w:webHidden/>
          </w:rPr>
          <w:instrText xml:space="preserve"> PAGEREF _Toc65760605 \h </w:instrText>
        </w:r>
        <w:r w:rsidR="00AF4812" w:rsidRPr="00ED2279">
          <w:rPr>
            <w:webHidden/>
          </w:rPr>
        </w:r>
        <w:r w:rsidR="00AF4812" w:rsidRPr="00ED2279">
          <w:rPr>
            <w:webHidden/>
          </w:rPr>
          <w:fldChar w:fldCharType="separate"/>
        </w:r>
        <w:r w:rsidR="00AF4812" w:rsidRPr="00ED2279">
          <w:rPr>
            <w:webHidden/>
          </w:rPr>
          <w:t>148</w:t>
        </w:r>
        <w:r w:rsidR="00AF4812" w:rsidRPr="00ED2279">
          <w:rPr>
            <w:webHidden/>
          </w:rPr>
          <w:fldChar w:fldCharType="end"/>
        </w:r>
      </w:hyperlink>
    </w:p>
    <w:p w14:paraId="3A1FA390" w14:textId="623ECB5E" w:rsidR="00AF4812" w:rsidRPr="00E46FB0" w:rsidRDefault="00084371">
      <w:pPr>
        <w:pStyle w:val="TOC3"/>
        <w:rPr>
          <w:rFonts w:asciiTheme="minorHAnsi" w:eastAsiaTheme="minorEastAsia" w:hAnsiTheme="minorHAnsi" w:cstheme="minorBidi"/>
          <w:szCs w:val="22"/>
          <w:lang w:val="en-AU" w:eastAsia="en-AU"/>
        </w:rPr>
      </w:pPr>
      <w:hyperlink w:anchor="_Toc65760606" w:history="1">
        <w:r w:rsidR="00AF4812" w:rsidRPr="00ED2279">
          <w:rPr>
            <w:rStyle w:val="Hyperlink"/>
            <w14:scene3d>
              <w14:camera w14:prst="orthographicFront"/>
              <w14:lightRig w14:rig="threePt" w14:dir="t">
                <w14:rot w14:lat="0" w14:lon="0" w14:rev="0"/>
              </w14:lightRig>
            </w14:scene3d>
          </w:rPr>
          <w:t>9.1.7</w:t>
        </w:r>
        <w:r w:rsidR="00AF4812" w:rsidRPr="00ED2279">
          <w:rPr>
            <w:rFonts w:asciiTheme="minorHAnsi" w:eastAsiaTheme="minorEastAsia" w:hAnsiTheme="minorHAnsi" w:cstheme="minorBidi"/>
            <w:szCs w:val="22"/>
            <w:lang w:val="en-AU" w:eastAsia="en-AU"/>
          </w:rPr>
          <w:tab/>
        </w:r>
        <w:r w:rsidR="00AF4812" w:rsidRPr="00ED2279">
          <w:rPr>
            <w:rStyle w:val="Hyperlink"/>
          </w:rPr>
          <w:t>Document management and record-keeping</w:t>
        </w:r>
        <w:r w:rsidR="00AF4812" w:rsidRPr="00ED2279">
          <w:rPr>
            <w:webHidden/>
          </w:rPr>
          <w:tab/>
        </w:r>
        <w:r w:rsidR="00AF4812" w:rsidRPr="00ED2279">
          <w:rPr>
            <w:webHidden/>
          </w:rPr>
          <w:fldChar w:fldCharType="begin"/>
        </w:r>
        <w:r w:rsidR="00AF4812" w:rsidRPr="00ED2279">
          <w:rPr>
            <w:webHidden/>
          </w:rPr>
          <w:instrText xml:space="preserve"> PAGEREF _Toc65760606 \h </w:instrText>
        </w:r>
        <w:r w:rsidR="00AF4812" w:rsidRPr="00ED2279">
          <w:rPr>
            <w:webHidden/>
          </w:rPr>
        </w:r>
        <w:r w:rsidR="00AF4812" w:rsidRPr="00ED2279">
          <w:rPr>
            <w:webHidden/>
          </w:rPr>
          <w:fldChar w:fldCharType="separate"/>
        </w:r>
        <w:r w:rsidR="00AF4812" w:rsidRPr="00ED2279">
          <w:rPr>
            <w:webHidden/>
          </w:rPr>
          <w:t>148</w:t>
        </w:r>
        <w:r w:rsidR="00AF4812" w:rsidRPr="00ED2279">
          <w:rPr>
            <w:webHidden/>
          </w:rPr>
          <w:fldChar w:fldCharType="end"/>
        </w:r>
      </w:hyperlink>
    </w:p>
    <w:p w14:paraId="6AD28E5F" w14:textId="7FCD9546" w:rsidR="00AF4812" w:rsidRPr="00E46FB0" w:rsidRDefault="00084371">
      <w:pPr>
        <w:pStyle w:val="TOC3"/>
        <w:rPr>
          <w:rFonts w:asciiTheme="minorHAnsi" w:eastAsiaTheme="minorEastAsia" w:hAnsiTheme="minorHAnsi" w:cstheme="minorBidi"/>
          <w:szCs w:val="22"/>
          <w:lang w:val="en-AU" w:eastAsia="en-AU"/>
        </w:rPr>
      </w:pPr>
      <w:hyperlink w:anchor="_Toc65760607" w:history="1">
        <w:r w:rsidR="00AF4812" w:rsidRPr="00ED2279">
          <w:rPr>
            <w:rStyle w:val="Hyperlink"/>
            <w14:scene3d>
              <w14:camera w14:prst="orthographicFront"/>
              <w14:lightRig w14:rig="threePt" w14:dir="t">
                <w14:rot w14:lat="0" w14:lon="0" w14:rev="0"/>
              </w14:lightRig>
            </w14:scene3d>
          </w:rPr>
          <w:t>9.1.8</w:t>
        </w:r>
        <w:r w:rsidR="00AF4812" w:rsidRPr="00ED2279">
          <w:rPr>
            <w:rFonts w:asciiTheme="minorHAnsi" w:eastAsiaTheme="minorEastAsia" w:hAnsiTheme="minorHAnsi" w:cstheme="minorBidi"/>
            <w:szCs w:val="22"/>
            <w:lang w:val="en-AU" w:eastAsia="en-AU"/>
          </w:rPr>
          <w:tab/>
        </w:r>
        <w:r w:rsidR="00AF4812" w:rsidRPr="00ED2279">
          <w:rPr>
            <w:rStyle w:val="Hyperlink"/>
          </w:rPr>
          <w:t>The NSW Audit Office</w:t>
        </w:r>
        <w:r w:rsidR="00AF4812" w:rsidRPr="00ED2279">
          <w:rPr>
            <w:webHidden/>
          </w:rPr>
          <w:tab/>
        </w:r>
        <w:r w:rsidR="00AF4812" w:rsidRPr="00ED2279">
          <w:rPr>
            <w:webHidden/>
          </w:rPr>
          <w:fldChar w:fldCharType="begin"/>
        </w:r>
        <w:r w:rsidR="00AF4812" w:rsidRPr="00ED2279">
          <w:rPr>
            <w:webHidden/>
          </w:rPr>
          <w:instrText xml:space="preserve"> PAGEREF _Toc65760607 \h </w:instrText>
        </w:r>
        <w:r w:rsidR="00AF4812" w:rsidRPr="00ED2279">
          <w:rPr>
            <w:webHidden/>
          </w:rPr>
        </w:r>
        <w:r w:rsidR="00AF4812" w:rsidRPr="00ED2279">
          <w:rPr>
            <w:webHidden/>
          </w:rPr>
          <w:fldChar w:fldCharType="separate"/>
        </w:r>
        <w:r w:rsidR="00AF4812" w:rsidRPr="00ED2279">
          <w:rPr>
            <w:webHidden/>
          </w:rPr>
          <w:t>148</w:t>
        </w:r>
        <w:r w:rsidR="00AF4812" w:rsidRPr="00ED2279">
          <w:rPr>
            <w:webHidden/>
          </w:rPr>
          <w:fldChar w:fldCharType="end"/>
        </w:r>
      </w:hyperlink>
    </w:p>
    <w:p w14:paraId="2AACC228" w14:textId="3D30ED72" w:rsidR="00AF4812" w:rsidRPr="00E46FB0" w:rsidRDefault="00084371">
      <w:pPr>
        <w:pStyle w:val="TOC1"/>
        <w:rPr>
          <w:rFonts w:asciiTheme="minorHAnsi" w:eastAsiaTheme="minorEastAsia" w:hAnsiTheme="minorHAnsi" w:cstheme="minorBidi"/>
          <w:b w:val="0"/>
          <w:szCs w:val="22"/>
          <w:lang w:val="en-AU" w:eastAsia="en-AU"/>
        </w:rPr>
      </w:pPr>
      <w:hyperlink w:anchor="_Toc65760608" w:history="1">
        <w:r w:rsidR="00AF4812" w:rsidRPr="00ED2279">
          <w:rPr>
            <w:rStyle w:val="Hyperlink"/>
          </w:rPr>
          <w:t>10.</w:t>
        </w:r>
        <w:r w:rsidR="00AF4812" w:rsidRPr="00ED2279">
          <w:rPr>
            <w:rFonts w:asciiTheme="minorHAnsi" w:eastAsiaTheme="minorEastAsia" w:hAnsiTheme="minorHAnsi" w:cstheme="minorBidi"/>
            <w:b w:val="0"/>
            <w:szCs w:val="22"/>
            <w:lang w:val="en-AU" w:eastAsia="en-AU"/>
          </w:rPr>
          <w:tab/>
        </w:r>
        <w:r w:rsidR="00AF4812" w:rsidRPr="00ED2279">
          <w:rPr>
            <w:rStyle w:val="Hyperlink"/>
          </w:rPr>
          <w:t>Appendices</w:t>
        </w:r>
        <w:r w:rsidR="00AF4812" w:rsidRPr="00ED2279">
          <w:rPr>
            <w:webHidden/>
          </w:rPr>
          <w:tab/>
        </w:r>
        <w:r w:rsidR="00AF4812" w:rsidRPr="00ED2279">
          <w:rPr>
            <w:webHidden/>
          </w:rPr>
          <w:fldChar w:fldCharType="begin"/>
        </w:r>
        <w:r w:rsidR="00AF4812" w:rsidRPr="00ED2279">
          <w:rPr>
            <w:webHidden/>
          </w:rPr>
          <w:instrText xml:space="preserve"> PAGEREF _Toc65760608 \h </w:instrText>
        </w:r>
        <w:r w:rsidR="00AF4812" w:rsidRPr="00ED2279">
          <w:rPr>
            <w:webHidden/>
          </w:rPr>
        </w:r>
        <w:r w:rsidR="00AF4812" w:rsidRPr="00ED2279">
          <w:rPr>
            <w:webHidden/>
          </w:rPr>
          <w:fldChar w:fldCharType="separate"/>
        </w:r>
        <w:r w:rsidR="00AF4812" w:rsidRPr="00ED2279">
          <w:rPr>
            <w:webHidden/>
          </w:rPr>
          <w:t>149</w:t>
        </w:r>
        <w:r w:rsidR="00AF4812" w:rsidRPr="00ED2279">
          <w:rPr>
            <w:webHidden/>
          </w:rPr>
          <w:fldChar w:fldCharType="end"/>
        </w:r>
      </w:hyperlink>
    </w:p>
    <w:p w14:paraId="40A144E2" w14:textId="738C88C1" w:rsidR="00AF4812" w:rsidRPr="00E46FB0" w:rsidRDefault="00084371">
      <w:pPr>
        <w:pStyle w:val="TOC2"/>
        <w:rPr>
          <w:rFonts w:asciiTheme="minorHAnsi" w:eastAsiaTheme="minorEastAsia" w:hAnsiTheme="minorHAnsi" w:cstheme="minorBidi"/>
          <w:szCs w:val="22"/>
          <w:lang w:val="en-AU" w:eastAsia="en-AU"/>
        </w:rPr>
      </w:pPr>
      <w:hyperlink w:anchor="_Toc65760609" w:history="1">
        <w:r w:rsidR="00AF4812" w:rsidRPr="00ED2279">
          <w:rPr>
            <w:rStyle w:val="Hyperlink"/>
          </w:rPr>
          <w:t>Appendix A – Pre-mortem exercise</w:t>
        </w:r>
        <w:r w:rsidR="00AF4812" w:rsidRPr="00ED2279">
          <w:rPr>
            <w:webHidden/>
          </w:rPr>
          <w:tab/>
        </w:r>
        <w:r w:rsidR="00AF4812" w:rsidRPr="00ED2279">
          <w:rPr>
            <w:webHidden/>
          </w:rPr>
          <w:fldChar w:fldCharType="begin"/>
        </w:r>
        <w:r w:rsidR="00AF4812" w:rsidRPr="00ED2279">
          <w:rPr>
            <w:webHidden/>
          </w:rPr>
          <w:instrText xml:space="preserve"> PAGEREF _Toc65760609 \h </w:instrText>
        </w:r>
        <w:r w:rsidR="00AF4812" w:rsidRPr="00ED2279">
          <w:rPr>
            <w:webHidden/>
          </w:rPr>
        </w:r>
        <w:r w:rsidR="00AF4812" w:rsidRPr="00ED2279">
          <w:rPr>
            <w:webHidden/>
          </w:rPr>
          <w:fldChar w:fldCharType="separate"/>
        </w:r>
        <w:r w:rsidR="00AF4812" w:rsidRPr="00ED2279">
          <w:rPr>
            <w:webHidden/>
          </w:rPr>
          <w:t>149</w:t>
        </w:r>
        <w:r w:rsidR="00AF4812" w:rsidRPr="00ED2279">
          <w:rPr>
            <w:webHidden/>
          </w:rPr>
          <w:fldChar w:fldCharType="end"/>
        </w:r>
      </w:hyperlink>
    </w:p>
    <w:p w14:paraId="05DC6F77" w14:textId="25CFB5BF" w:rsidR="00AF4812" w:rsidRPr="00E46FB0" w:rsidRDefault="00084371">
      <w:pPr>
        <w:pStyle w:val="TOC2"/>
        <w:rPr>
          <w:rFonts w:asciiTheme="minorHAnsi" w:eastAsiaTheme="minorEastAsia" w:hAnsiTheme="minorHAnsi" w:cstheme="minorBidi"/>
          <w:szCs w:val="22"/>
          <w:lang w:val="en-AU" w:eastAsia="en-AU"/>
        </w:rPr>
      </w:pPr>
      <w:hyperlink w:anchor="_Toc65760610" w:history="1">
        <w:r w:rsidR="00AF4812" w:rsidRPr="00ED2279">
          <w:rPr>
            <w:rStyle w:val="Hyperlink"/>
          </w:rPr>
          <w:t>Appendix B – Privacy Collection Statement template</w:t>
        </w:r>
        <w:r w:rsidR="00AF4812" w:rsidRPr="00ED2279">
          <w:rPr>
            <w:webHidden/>
          </w:rPr>
          <w:tab/>
        </w:r>
        <w:r w:rsidR="00AF4812" w:rsidRPr="00ED2279">
          <w:rPr>
            <w:webHidden/>
          </w:rPr>
          <w:fldChar w:fldCharType="begin"/>
        </w:r>
        <w:r w:rsidR="00AF4812" w:rsidRPr="00ED2279">
          <w:rPr>
            <w:webHidden/>
          </w:rPr>
          <w:instrText xml:space="preserve"> PAGEREF _Toc65760610 \h </w:instrText>
        </w:r>
        <w:r w:rsidR="00AF4812" w:rsidRPr="00ED2279">
          <w:rPr>
            <w:webHidden/>
          </w:rPr>
        </w:r>
        <w:r w:rsidR="00AF4812" w:rsidRPr="00ED2279">
          <w:rPr>
            <w:webHidden/>
          </w:rPr>
          <w:fldChar w:fldCharType="separate"/>
        </w:r>
        <w:r w:rsidR="00AF4812" w:rsidRPr="00ED2279">
          <w:rPr>
            <w:webHidden/>
          </w:rPr>
          <w:t>152</w:t>
        </w:r>
        <w:r w:rsidR="00AF4812" w:rsidRPr="00ED2279">
          <w:rPr>
            <w:webHidden/>
          </w:rPr>
          <w:fldChar w:fldCharType="end"/>
        </w:r>
      </w:hyperlink>
    </w:p>
    <w:p w14:paraId="74ACE824" w14:textId="1B475A6D" w:rsidR="00AF4812" w:rsidRPr="00E46FB0" w:rsidRDefault="00084371">
      <w:pPr>
        <w:pStyle w:val="TOC2"/>
        <w:rPr>
          <w:rFonts w:asciiTheme="minorHAnsi" w:eastAsiaTheme="minorEastAsia" w:hAnsiTheme="minorHAnsi" w:cstheme="minorBidi"/>
          <w:szCs w:val="22"/>
          <w:lang w:val="en-AU" w:eastAsia="en-AU"/>
        </w:rPr>
      </w:pPr>
      <w:hyperlink w:anchor="_Toc65760611" w:history="1">
        <w:r w:rsidR="00AF4812" w:rsidRPr="00ED2279">
          <w:rPr>
            <w:rStyle w:val="Hyperlink"/>
          </w:rPr>
          <w:t>Appendix C – Checklist for IoT solutions</w:t>
        </w:r>
        <w:r w:rsidR="00AF4812" w:rsidRPr="00ED2279">
          <w:rPr>
            <w:webHidden/>
          </w:rPr>
          <w:tab/>
        </w:r>
        <w:r w:rsidR="00AF4812" w:rsidRPr="00ED2279">
          <w:rPr>
            <w:webHidden/>
          </w:rPr>
          <w:fldChar w:fldCharType="begin"/>
        </w:r>
        <w:r w:rsidR="00AF4812" w:rsidRPr="00ED2279">
          <w:rPr>
            <w:webHidden/>
          </w:rPr>
          <w:instrText xml:space="preserve"> PAGEREF _Toc65760611 \h </w:instrText>
        </w:r>
        <w:r w:rsidR="00AF4812" w:rsidRPr="00ED2279">
          <w:rPr>
            <w:webHidden/>
          </w:rPr>
        </w:r>
        <w:r w:rsidR="00AF4812" w:rsidRPr="00ED2279">
          <w:rPr>
            <w:webHidden/>
          </w:rPr>
          <w:fldChar w:fldCharType="separate"/>
        </w:r>
        <w:r w:rsidR="00AF4812" w:rsidRPr="00ED2279">
          <w:rPr>
            <w:webHidden/>
          </w:rPr>
          <w:t>153</w:t>
        </w:r>
        <w:r w:rsidR="00AF4812" w:rsidRPr="00ED2279">
          <w:rPr>
            <w:webHidden/>
          </w:rPr>
          <w:fldChar w:fldCharType="end"/>
        </w:r>
      </w:hyperlink>
    </w:p>
    <w:p w14:paraId="2852AAF6" w14:textId="1F13E78A" w:rsidR="00AF4812" w:rsidRPr="00E46FB0" w:rsidRDefault="00084371">
      <w:pPr>
        <w:pStyle w:val="TOC2"/>
        <w:rPr>
          <w:rFonts w:asciiTheme="minorHAnsi" w:eastAsiaTheme="minorEastAsia" w:hAnsiTheme="minorHAnsi" w:cstheme="minorBidi"/>
          <w:szCs w:val="22"/>
          <w:lang w:val="en-AU" w:eastAsia="en-AU"/>
        </w:rPr>
      </w:pPr>
      <w:hyperlink w:anchor="_Toc65760612" w:history="1">
        <w:r w:rsidR="00AF4812" w:rsidRPr="00ED2279">
          <w:rPr>
            <w:rStyle w:val="Hyperlink"/>
          </w:rPr>
          <w:t>Appendix D – Key IoT wireless network options currently available in NSW</w:t>
        </w:r>
        <w:r w:rsidR="00AF4812" w:rsidRPr="00ED2279">
          <w:rPr>
            <w:webHidden/>
          </w:rPr>
          <w:tab/>
        </w:r>
        <w:r w:rsidR="00AF4812" w:rsidRPr="00ED2279">
          <w:rPr>
            <w:webHidden/>
          </w:rPr>
          <w:fldChar w:fldCharType="begin"/>
        </w:r>
        <w:r w:rsidR="00AF4812" w:rsidRPr="00ED2279">
          <w:rPr>
            <w:webHidden/>
          </w:rPr>
          <w:instrText xml:space="preserve"> PAGEREF _Toc65760612 \h </w:instrText>
        </w:r>
        <w:r w:rsidR="00AF4812" w:rsidRPr="00ED2279">
          <w:rPr>
            <w:webHidden/>
          </w:rPr>
        </w:r>
        <w:r w:rsidR="00AF4812" w:rsidRPr="00ED2279">
          <w:rPr>
            <w:webHidden/>
          </w:rPr>
          <w:fldChar w:fldCharType="separate"/>
        </w:r>
        <w:r w:rsidR="00AF4812" w:rsidRPr="00ED2279">
          <w:rPr>
            <w:webHidden/>
          </w:rPr>
          <w:t>154</w:t>
        </w:r>
        <w:r w:rsidR="00AF4812" w:rsidRPr="00ED2279">
          <w:rPr>
            <w:webHidden/>
          </w:rPr>
          <w:fldChar w:fldCharType="end"/>
        </w:r>
      </w:hyperlink>
    </w:p>
    <w:p w14:paraId="067558D7" w14:textId="209B6A34" w:rsidR="00AF4812" w:rsidRPr="00E46FB0" w:rsidRDefault="00084371">
      <w:pPr>
        <w:pStyle w:val="TOC2"/>
        <w:rPr>
          <w:rFonts w:asciiTheme="minorHAnsi" w:eastAsiaTheme="minorEastAsia" w:hAnsiTheme="minorHAnsi" w:cstheme="minorBidi"/>
          <w:szCs w:val="22"/>
          <w:lang w:val="en-AU" w:eastAsia="en-AU"/>
        </w:rPr>
      </w:pPr>
      <w:hyperlink w:anchor="_Toc65760613" w:history="1">
        <w:r w:rsidR="00AF4812" w:rsidRPr="00ED2279">
          <w:rPr>
            <w:rStyle w:val="Hyperlink"/>
          </w:rPr>
          <w:t>Appendix E – The Five Safes</w:t>
        </w:r>
        <w:r w:rsidR="00AF4812" w:rsidRPr="00ED2279">
          <w:rPr>
            <w:webHidden/>
          </w:rPr>
          <w:tab/>
        </w:r>
        <w:r w:rsidR="00AF4812" w:rsidRPr="00ED2279">
          <w:rPr>
            <w:webHidden/>
          </w:rPr>
          <w:fldChar w:fldCharType="begin"/>
        </w:r>
        <w:r w:rsidR="00AF4812" w:rsidRPr="00ED2279">
          <w:rPr>
            <w:webHidden/>
          </w:rPr>
          <w:instrText xml:space="preserve"> PAGEREF _Toc65760613 \h </w:instrText>
        </w:r>
        <w:r w:rsidR="00AF4812" w:rsidRPr="00ED2279">
          <w:rPr>
            <w:webHidden/>
          </w:rPr>
        </w:r>
        <w:r w:rsidR="00AF4812" w:rsidRPr="00ED2279">
          <w:rPr>
            <w:webHidden/>
          </w:rPr>
          <w:fldChar w:fldCharType="separate"/>
        </w:r>
        <w:r w:rsidR="00AF4812" w:rsidRPr="00ED2279">
          <w:rPr>
            <w:webHidden/>
          </w:rPr>
          <w:t>156</w:t>
        </w:r>
        <w:r w:rsidR="00AF4812" w:rsidRPr="00ED2279">
          <w:rPr>
            <w:webHidden/>
          </w:rPr>
          <w:fldChar w:fldCharType="end"/>
        </w:r>
      </w:hyperlink>
    </w:p>
    <w:p w14:paraId="5EDDEFCB" w14:textId="4694A646" w:rsidR="00AF4812" w:rsidRPr="00E46FB0" w:rsidRDefault="00084371">
      <w:pPr>
        <w:pStyle w:val="TOC2"/>
        <w:rPr>
          <w:rFonts w:asciiTheme="minorHAnsi" w:eastAsiaTheme="minorEastAsia" w:hAnsiTheme="minorHAnsi" w:cstheme="minorBidi"/>
          <w:szCs w:val="22"/>
          <w:lang w:val="en-AU" w:eastAsia="en-AU"/>
        </w:rPr>
      </w:pPr>
      <w:hyperlink w:anchor="_Toc65760614" w:history="1">
        <w:r w:rsidR="00AF4812" w:rsidRPr="00ED2279">
          <w:rPr>
            <w:rStyle w:val="Hyperlink"/>
          </w:rPr>
          <w:t>Appendix F – NSW Government policy, framework or tool referenced in the IoT Policy</w:t>
        </w:r>
        <w:r w:rsidR="00AF4812" w:rsidRPr="00ED2279">
          <w:rPr>
            <w:webHidden/>
          </w:rPr>
          <w:tab/>
        </w:r>
        <w:r w:rsidR="00AF4812" w:rsidRPr="00ED2279">
          <w:rPr>
            <w:webHidden/>
          </w:rPr>
          <w:fldChar w:fldCharType="begin"/>
        </w:r>
        <w:r w:rsidR="00AF4812" w:rsidRPr="00ED2279">
          <w:rPr>
            <w:webHidden/>
          </w:rPr>
          <w:instrText xml:space="preserve"> PAGEREF _Toc65760614 \h </w:instrText>
        </w:r>
        <w:r w:rsidR="00AF4812" w:rsidRPr="00ED2279">
          <w:rPr>
            <w:webHidden/>
          </w:rPr>
        </w:r>
        <w:r w:rsidR="00AF4812" w:rsidRPr="00ED2279">
          <w:rPr>
            <w:webHidden/>
          </w:rPr>
          <w:fldChar w:fldCharType="separate"/>
        </w:r>
        <w:r w:rsidR="00AF4812" w:rsidRPr="00ED2279">
          <w:rPr>
            <w:webHidden/>
          </w:rPr>
          <w:t>158</w:t>
        </w:r>
        <w:r w:rsidR="00AF4812" w:rsidRPr="00ED2279">
          <w:rPr>
            <w:webHidden/>
          </w:rPr>
          <w:fldChar w:fldCharType="end"/>
        </w:r>
      </w:hyperlink>
    </w:p>
    <w:p w14:paraId="034527BA" w14:textId="140EE3AA" w:rsidR="00AF4812" w:rsidRPr="00E46FB0" w:rsidRDefault="00084371">
      <w:pPr>
        <w:pStyle w:val="TOC1"/>
        <w:rPr>
          <w:rFonts w:asciiTheme="minorHAnsi" w:eastAsiaTheme="minorEastAsia" w:hAnsiTheme="minorHAnsi" w:cstheme="minorBidi"/>
          <w:b w:val="0"/>
          <w:szCs w:val="22"/>
          <w:lang w:val="en-AU" w:eastAsia="en-AU"/>
        </w:rPr>
      </w:pPr>
      <w:hyperlink w:anchor="_Toc65760615" w:history="1">
        <w:r w:rsidR="00AF4812" w:rsidRPr="00ED2279">
          <w:rPr>
            <w:rStyle w:val="Hyperlink"/>
          </w:rPr>
          <w:t>11.</w:t>
        </w:r>
        <w:r w:rsidR="00AF4812" w:rsidRPr="00ED2279">
          <w:rPr>
            <w:rFonts w:asciiTheme="minorHAnsi" w:eastAsiaTheme="minorEastAsia" w:hAnsiTheme="minorHAnsi" w:cstheme="minorBidi"/>
            <w:b w:val="0"/>
            <w:szCs w:val="22"/>
            <w:lang w:val="en-AU" w:eastAsia="en-AU"/>
          </w:rPr>
          <w:tab/>
        </w:r>
        <w:r w:rsidR="00AF4812" w:rsidRPr="00ED2279">
          <w:rPr>
            <w:rStyle w:val="Hyperlink"/>
          </w:rPr>
          <w:t>Document Control</w:t>
        </w:r>
        <w:r w:rsidR="00AF4812" w:rsidRPr="00ED2279">
          <w:rPr>
            <w:webHidden/>
          </w:rPr>
          <w:tab/>
        </w:r>
        <w:r w:rsidR="00AF4812" w:rsidRPr="00ED2279">
          <w:rPr>
            <w:webHidden/>
          </w:rPr>
          <w:fldChar w:fldCharType="begin"/>
        </w:r>
        <w:r w:rsidR="00AF4812" w:rsidRPr="00ED2279">
          <w:rPr>
            <w:webHidden/>
          </w:rPr>
          <w:instrText xml:space="preserve"> PAGEREF _Toc65760615 \h </w:instrText>
        </w:r>
        <w:r w:rsidR="00AF4812" w:rsidRPr="00ED2279">
          <w:rPr>
            <w:webHidden/>
          </w:rPr>
        </w:r>
        <w:r w:rsidR="00AF4812" w:rsidRPr="00ED2279">
          <w:rPr>
            <w:webHidden/>
          </w:rPr>
          <w:fldChar w:fldCharType="separate"/>
        </w:r>
        <w:r w:rsidR="00AF4812" w:rsidRPr="00ED2279">
          <w:rPr>
            <w:webHidden/>
          </w:rPr>
          <w:t>160</w:t>
        </w:r>
        <w:r w:rsidR="00AF4812" w:rsidRPr="00ED2279">
          <w:rPr>
            <w:webHidden/>
          </w:rPr>
          <w:fldChar w:fldCharType="end"/>
        </w:r>
      </w:hyperlink>
    </w:p>
    <w:p w14:paraId="0F11AA0B" w14:textId="4D8CE0EC" w:rsidR="00AF4812" w:rsidRPr="00E46FB0" w:rsidRDefault="00084371">
      <w:pPr>
        <w:pStyle w:val="TOC2"/>
        <w:rPr>
          <w:rFonts w:asciiTheme="minorHAnsi" w:eastAsiaTheme="minorEastAsia" w:hAnsiTheme="minorHAnsi" w:cstheme="minorBidi"/>
          <w:szCs w:val="22"/>
          <w:lang w:val="en-AU" w:eastAsia="en-AU"/>
        </w:rPr>
      </w:pPr>
      <w:hyperlink w:anchor="_Toc65760616" w:history="1">
        <w:r w:rsidR="00AF4812" w:rsidRPr="00ED2279">
          <w:rPr>
            <w:rStyle w:val="Hyperlink"/>
            <w14:scene3d>
              <w14:camera w14:prst="orthographicFront"/>
              <w14:lightRig w14:rig="threePt" w14:dir="t">
                <w14:rot w14:lat="0" w14:lon="0" w14:rev="0"/>
              </w14:lightRig>
            </w14:scene3d>
          </w:rPr>
          <w:t>11.1</w:t>
        </w:r>
        <w:r w:rsidR="00AF4812" w:rsidRPr="00ED2279">
          <w:rPr>
            <w:rFonts w:asciiTheme="minorHAnsi" w:eastAsiaTheme="minorEastAsia" w:hAnsiTheme="minorHAnsi" w:cstheme="minorBidi"/>
            <w:szCs w:val="22"/>
            <w:lang w:val="en-AU" w:eastAsia="en-AU"/>
          </w:rPr>
          <w:tab/>
        </w:r>
        <w:r w:rsidR="00AF4812" w:rsidRPr="00ED2279">
          <w:rPr>
            <w:rStyle w:val="Hyperlink"/>
          </w:rPr>
          <w:t>Document Approval</w:t>
        </w:r>
        <w:r w:rsidR="00AF4812" w:rsidRPr="00ED2279">
          <w:rPr>
            <w:webHidden/>
          </w:rPr>
          <w:tab/>
        </w:r>
        <w:r w:rsidR="00AF4812" w:rsidRPr="00ED2279">
          <w:rPr>
            <w:webHidden/>
          </w:rPr>
          <w:fldChar w:fldCharType="begin"/>
        </w:r>
        <w:r w:rsidR="00AF4812" w:rsidRPr="00ED2279">
          <w:rPr>
            <w:webHidden/>
          </w:rPr>
          <w:instrText xml:space="preserve"> PAGEREF _Toc65760616 \h </w:instrText>
        </w:r>
        <w:r w:rsidR="00AF4812" w:rsidRPr="00ED2279">
          <w:rPr>
            <w:webHidden/>
          </w:rPr>
        </w:r>
        <w:r w:rsidR="00AF4812" w:rsidRPr="00ED2279">
          <w:rPr>
            <w:webHidden/>
          </w:rPr>
          <w:fldChar w:fldCharType="separate"/>
        </w:r>
        <w:r w:rsidR="00AF4812" w:rsidRPr="00ED2279">
          <w:rPr>
            <w:webHidden/>
          </w:rPr>
          <w:t>160</w:t>
        </w:r>
        <w:r w:rsidR="00AF4812" w:rsidRPr="00ED2279">
          <w:rPr>
            <w:webHidden/>
          </w:rPr>
          <w:fldChar w:fldCharType="end"/>
        </w:r>
      </w:hyperlink>
    </w:p>
    <w:p w14:paraId="33B52691" w14:textId="52F2615B" w:rsidR="00AF4812" w:rsidRPr="00E46FB0" w:rsidRDefault="00084371">
      <w:pPr>
        <w:pStyle w:val="TOC2"/>
        <w:rPr>
          <w:rFonts w:asciiTheme="minorHAnsi" w:eastAsiaTheme="minorEastAsia" w:hAnsiTheme="minorHAnsi" w:cstheme="minorBidi"/>
          <w:szCs w:val="22"/>
          <w:lang w:val="en-AU" w:eastAsia="en-AU"/>
        </w:rPr>
      </w:pPr>
      <w:hyperlink w:anchor="_Toc65760617" w:history="1">
        <w:r w:rsidR="00AF4812" w:rsidRPr="00ED2279">
          <w:rPr>
            <w:rStyle w:val="Hyperlink"/>
            <w14:scene3d>
              <w14:camera w14:prst="orthographicFront"/>
              <w14:lightRig w14:rig="threePt" w14:dir="t">
                <w14:rot w14:lat="0" w14:lon="0" w14:rev="0"/>
              </w14:lightRig>
            </w14:scene3d>
          </w:rPr>
          <w:t>11.2</w:t>
        </w:r>
        <w:r w:rsidR="00AF4812" w:rsidRPr="00ED2279">
          <w:rPr>
            <w:rFonts w:asciiTheme="minorHAnsi" w:eastAsiaTheme="minorEastAsia" w:hAnsiTheme="minorHAnsi" w:cstheme="minorBidi"/>
            <w:szCs w:val="22"/>
            <w:lang w:val="en-AU" w:eastAsia="en-AU"/>
          </w:rPr>
          <w:tab/>
        </w:r>
        <w:r w:rsidR="00AF4812" w:rsidRPr="00ED2279">
          <w:rPr>
            <w:rStyle w:val="Hyperlink"/>
          </w:rPr>
          <w:t>Document Version Control</w:t>
        </w:r>
        <w:r w:rsidR="00AF4812" w:rsidRPr="00ED2279">
          <w:rPr>
            <w:webHidden/>
          </w:rPr>
          <w:tab/>
        </w:r>
        <w:r w:rsidR="00AF4812" w:rsidRPr="00ED2279">
          <w:rPr>
            <w:webHidden/>
          </w:rPr>
          <w:fldChar w:fldCharType="begin"/>
        </w:r>
        <w:r w:rsidR="00AF4812" w:rsidRPr="00ED2279">
          <w:rPr>
            <w:webHidden/>
          </w:rPr>
          <w:instrText xml:space="preserve"> PAGEREF _Toc65760617 \h </w:instrText>
        </w:r>
        <w:r w:rsidR="00AF4812" w:rsidRPr="00ED2279">
          <w:rPr>
            <w:webHidden/>
          </w:rPr>
        </w:r>
        <w:r w:rsidR="00AF4812" w:rsidRPr="00ED2279">
          <w:rPr>
            <w:webHidden/>
          </w:rPr>
          <w:fldChar w:fldCharType="separate"/>
        </w:r>
        <w:r w:rsidR="00AF4812" w:rsidRPr="00ED2279">
          <w:rPr>
            <w:webHidden/>
          </w:rPr>
          <w:t>160</w:t>
        </w:r>
        <w:r w:rsidR="00AF4812" w:rsidRPr="00ED2279">
          <w:rPr>
            <w:webHidden/>
          </w:rPr>
          <w:fldChar w:fldCharType="end"/>
        </w:r>
      </w:hyperlink>
    </w:p>
    <w:p w14:paraId="62641592" w14:textId="4795467E" w:rsidR="007D473C" w:rsidRPr="00E46FB0" w:rsidRDefault="002141C0" w:rsidP="003F476C">
      <w:pPr>
        <w:pStyle w:val="TOC1"/>
        <w:sectPr w:rsidR="007D473C" w:rsidRPr="00E46FB0" w:rsidSect="00601632">
          <w:headerReference w:type="even" r:id="rId14"/>
          <w:headerReference w:type="default" r:id="rId15"/>
          <w:headerReference w:type="first" r:id="rId16"/>
          <w:footerReference w:type="first" r:id="rId17"/>
          <w:pgSz w:w="11906" w:h="16838"/>
          <w:pgMar w:top="1418" w:right="1134" w:bottom="1134" w:left="1134" w:header="851" w:footer="425" w:gutter="0"/>
          <w:pgNumType w:fmt="lowerRoman"/>
          <w:cols w:space="708"/>
          <w:docGrid w:linePitch="360"/>
        </w:sectPr>
      </w:pPr>
      <w:r w:rsidRPr="00E46FB0">
        <w:fldChar w:fldCharType="end"/>
      </w:r>
    </w:p>
    <w:p w14:paraId="5F23FA12" w14:textId="03796C87" w:rsidR="009F54FD" w:rsidRPr="00E46FB0" w:rsidRDefault="00F11BFE" w:rsidP="00D4137E">
      <w:pPr>
        <w:pStyle w:val="Heading1"/>
        <w:tabs>
          <w:tab w:val="clear" w:pos="794"/>
          <w:tab w:val="num" w:pos="942"/>
        </w:tabs>
        <w:rPr>
          <w:rFonts w:ascii="Arial" w:hAnsi="Arial"/>
        </w:rPr>
      </w:pPr>
      <w:bookmarkStart w:id="30" w:name="_Toc65760459"/>
      <w:bookmarkStart w:id="31" w:name="_Toc141694658"/>
      <w:bookmarkStart w:id="32" w:name="_Toc141695591"/>
      <w:bookmarkStart w:id="33" w:name="_Toc141770715"/>
      <w:bookmarkStart w:id="34" w:name="_Toc144186850"/>
      <w:bookmarkStart w:id="35" w:name="_Toc144186929"/>
      <w:bookmarkStart w:id="36" w:name="_Toc144197249"/>
      <w:bookmarkStart w:id="37" w:name="_Toc144198001"/>
      <w:bookmarkStart w:id="38" w:name="_Toc144532306"/>
      <w:bookmarkStart w:id="39" w:name="_Ref144536355"/>
      <w:bookmarkStart w:id="40" w:name="_Ref144536361"/>
      <w:bookmarkStart w:id="41" w:name="_Toc144540640"/>
      <w:bookmarkStart w:id="42" w:name="_Toc144605393"/>
      <w:bookmarkStart w:id="43" w:name="_Ref144802290"/>
      <w:bookmarkStart w:id="44" w:name="_Ref144802296"/>
      <w:bookmarkStart w:id="45" w:name="_Ref144802320"/>
      <w:bookmarkStart w:id="46" w:name="_Toc144868205"/>
      <w:bookmarkStart w:id="47" w:name="_Toc144881584"/>
      <w:bookmarkStart w:id="48" w:name="_Toc144882234"/>
      <w:bookmarkStart w:id="49" w:name="_Toc145903587"/>
      <w:bookmarkStart w:id="50" w:name="_Toc145904040"/>
      <w:bookmarkStart w:id="51" w:name="_Toc145904110"/>
      <w:bookmarkStart w:id="52" w:name="_Toc145913885"/>
      <w:bookmarkStart w:id="53" w:name="_Toc146358412"/>
      <w:bookmarkStart w:id="54" w:name="_Toc146360518"/>
      <w:bookmarkStart w:id="55" w:name="_Toc146360614"/>
      <w:bookmarkStart w:id="56" w:name="_Toc146429427"/>
      <w:bookmarkStart w:id="57" w:name="_Toc146444631"/>
      <w:bookmarkStart w:id="58" w:name="_Toc146446937"/>
      <w:bookmarkStart w:id="59" w:name="_Toc146446967"/>
      <w:bookmarkStart w:id="60" w:name="_Toc146530778"/>
      <w:bookmarkStart w:id="61" w:name="_Toc146531229"/>
      <w:bookmarkStart w:id="62" w:name="_Toc147641229"/>
      <w:bookmarkStart w:id="63" w:name="_Toc147657485"/>
      <w:bookmarkStart w:id="64" w:name="_Toc149451045"/>
      <w:r w:rsidRPr="00E46FB0">
        <w:rPr>
          <w:rFonts w:ascii="Arial" w:hAnsi="Arial"/>
        </w:rPr>
        <w:lastRenderedPageBreak/>
        <w:t>The Internet of Things</w:t>
      </w:r>
      <w:r w:rsidR="002F5698" w:rsidRPr="00ED2279">
        <w:rPr>
          <w:rFonts w:ascii="Arial" w:hAnsi="Arial"/>
        </w:rPr>
        <w:t xml:space="preserve"> in NSW</w:t>
      </w:r>
      <w:r w:rsidR="00D1149B" w:rsidRPr="00E46FB0">
        <w:rPr>
          <w:rStyle w:val="FootnoteReference"/>
          <w:rFonts w:ascii="Arial" w:hAnsi="Arial"/>
          <w:noProof/>
        </w:rPr>
        <mc:AlternateContent>
          <mc:Choice Requires="wps">
            <w:drawing>
              <wp:inline distT="0" distB="0" distL="0" distR="0" wp14:anchorId="5A075307" wp14:editId="4FD94DD4">
                <wp:extent cx="5465299" cy="6534443"/>
                <wp:effectExtent l="0" t="0" r="2540" b="0"/>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299" cy="6534443"/>
                        </a:xfrm>
                        <a:prstGeom prst="rect">
                          <a:avLst/>
                        </a:prstGeom>
                        <a:solidFill>
                          <a:schemeClr val="accent5">
                            <a:lumMod val="40000"/>
                            <a:lumOff val="60000"/>
                          </a:schemeClr>
                        </a:solidFill>
                        <a:ln w="9525">
                          <a:noFill/>
                          <a:miter lim="800000"/>
                          <a:headEnd/>
                          <a:tailEnd/>
                        </a:ln>
                      </wps:spPr>
                      <wps:txbx>
                        <w:txbxContent>
                          <w:p w14:paraId="1B4BF371" w14:textId="77777777" w:rsidR="004A5EF4" w:rsidRPr="00A57E29" w:rsidRDefault="004A5EF4" w:rsidP="00D1149B">
                            <w:pPr>
                              <w:pStyle w:val="DCSbodytext"/>
                              <w:ind w:left="0"/>
                              <w:jc w:val="center"/>
                              <w:rPr>
                                <w:rStyle w:val="Hyperlink"/>
                                <w:b/>
                                <w:color w:val="auto"/>
                                <w:u w:val="none"/>
                              </w:rPr>
                            </w:pPr>
                            <w:r>
                              <w:rPr>
                                <w:b/>
                              </w:rPr>
                              <w:t>Key takeaways from this module</w:t>
                            </w:r>
                          </w:p>
                          <w:p w14:paraId="4BC6F01F" w14:textId="6B4ECB03" w:rsidR="004A5EF4" w:rsidRPr="0071585E" w:rsidRDefault="004A5EF4" w:rsidP="00D1149B">
                            <w:pPr>
                              <w:pStyle w:val="DCSbodytext"/>
                              <w:numPr>
                                <w:ilvl w:val="0"/>
                                <w:numId w:val="166"/>
                              </w:numPr>
                            </w:pPr>
                            <w:r w:rsidRPr="00613833">
                              <w:t xml:space="preserve">The Internet of Things (IoT) refers to </w:t>
                            </w:r>
                            <w:r w:rsidRPr="00310CC7">
                              <w:t xml:space="preserve">an infrastructure of interconnected objects, people, systems and information resources together with intelligent services to allow them to process information of the physical and the virtual world and </w:t>
                            </w:r>
                            <w:r w:rsidR="001F5241" w:rsidRPr="00310CC7">
                              <w:t>react.</w:t>
                            </w:r>
                          </w:p>
                          <w:p w14:paraId="29F6A656" w14:textId="77777777" w:rsidR="004A5EF4" w:rsidRPr="00613833" w:rsidRDefault="004A5EF4" w:rsidP="00D1149B">
                            <w:pPr>
                              <w:pStyle w:val="DCSbodytext"/>
                              <w:numPr>
                                <w:ilvl w:val="0"/>
                                <w:numId w:val="166"/>
                              </w:numPr>
                            </w:pPr>
                            <w:r w:rsidRPr="00613833">
                              <w:t>Although we have only seen the tip of the iceberg, IoT is already so pervasive that most people do</w:t>
                            </w:r>
                            <w:r>
                              <w:t xml:space="preserve"> </w:t>
                            </w:r>
                            <w:r w:rsidRPr="00613833">
                              <w:t>n</w:t>
                            </w:r>
                            <w:r>
                              <w:t>o</w:t>
                            </w:r>
                            <w:r w:rsidRPr="00613833">
                              <w:t>t notice its presence and take for granted the services that it makes possible.</w:t>
                            </w:r>
                          </w:p>
                          <w:p w14:paraId="7657F93F" w14:textId="77777777" w:rsidR="004A5EF4" w:rsidRPr="0071585E" w:rsidRDefault="004A5EF4" w:rsidP="00D1149B">
                            <w:pPr>
                              <w:pStyle w:val="DCSbodytext"/>
                              <w:numPr>
                                <w:ilvl w:val="0"/>
                                <w:numId w:val="166"/>
                              </w:numPr>
                            </w:pPr>
                            <w:r w:rsidRPr="00613833">
                              <w:t xml:space="preserve">Many projects may not be </w:t>
                            </w:r>
                            <w:r>
                              <w:t xml:space="preserve">recognised as involving </w:t>
                            </w:r>
                            <w:r w:rsidRPr="00613833">
                              <w:t xml:space="preserve">IoT, such as infrastructure projects like building a bridge or tunnel, </w:t>
                            </w:r>
                            <w:r>
                              <w:t>but</w:t>
                            </w:r>
                            <w:r w:rsidRPr="00613833">
                              <w:t xml:space="preserve"> if they have sensors capturing data then they are IoT-enabled</w:t>
                            </w:r>
                            <w:r>
                              <w:t xml:space="preserve"> projects.</w:t>
                            </w:r>
                          </w:p>
                          <w:p w14:paraId="2801D515" w14:textId="77777777" w:rsidR="004A5EF4" w:rsidRDefault="004A5EF4" w:rsidP="00D1149B">
                            <w:pPr>
                              <w:pStyle w:val="DCSbodytext"/>
                              <w:numPr>
                                <w:ilvl w:val="0"/>
                                <w:numId w:val="166"/>
                              </w:numPr>
                            </w:pPr>
                            <w:r w:rsidRPr="0020579E">
                              <w:t xml:space="preserve">The true value of IoT lies in the ability of organisations to use the information generated by IoT to gain insights </w:t>
                            </w:r>
                            <w:r>
                              <w:t xml:space="preserve">for better decision-making </w:t>
                            </w:r>
                            <w:r w:rsidRPr="0020579E">
                              <w:t>and provid</w:t>
                            </w:r>
                            <w:r>
                              <w:t>ing</w:t>
                            </w:r>
                            <w:r w:rsidRPr="0020579E">
                              <w:t xml:space="preserve"> better services. </w:t>
                            </w:r>
                          </w:p>
                          <w:p w14:paraId="69584F62" w14:textId="77777777" w:rsidR="004A5EF4" w:rsidRPr="00ED2279" w:rsidRDefault="004A5EF4" w:rsidP="00D1149B">
                            <w:pPr>
                              <w:pStyle w:val="DCSbodytext"/>
                              <w:numPr>
                                <w:ilvl w:val="0"/>
                                <w:numId w:val="166"/>
                              </w:numPr>
                            </w:pPr>
                            <w:r>
                              <w:t>N</w:t>
                            </w:r>
                            <w:r w:rsidRPr="00613833">
                              <w:t xml:space="preserve">o single IoT device or network can function alone as each component plays an </w:t>
                            </w:r>
                            <w:r w:rsidRPr="00ED2279">
                              <w:t>interconnected role in the IoT ecosystem.</w:t>
                            </w:r>
                          </w:p>
                          <w:p w14:paraId="7BEA4AC0" w14:textId="5A444798" w:rsidR="004A5EF4" w:rsidRPr="00ED2279" w:rsidRDefault="004A5EF4" w:rsidP="00D1149B">
                            <w:pPr>
                              <w:pStyle w:val="DCSbodytext"/>
                              <w:numPr>
                                <w:ilvl w:val="0"/>
                                <w:numId w:val="166"/>
                              </w:numPr>
                            </w:pPr>
                            <w:r w:rsidRPr="00ED2279">
                              <w:t xml:space="preserve">Data needs to be considered at all stages of the project cycle if the benefits promised by IoT are to be achieved. </w:t>
                            </w:r>
                            <w:r w:rsidR="00E322F7" w:rsidRPr="00ED2279">
                              <w:t>This includes the security, collation and storage of data in a cohesive</w:t>
                            </w:r>
                            <w:r w:rsidR="00877E69" w:rsidRPr="00ED2279">
                              <w:t xml:space="preserve"> and consistent manner. </w:t>
                            </w:r>
                          </w:p>
                          <w:p w14:paraId="66429405" w14:textId="77777777" w:rsidR="004A5EF4" w:rsidRDefault="004A5EF4" w:rsidP="00D1149B">
                            <w:pPr>
                              <w:pStyle w:val="DCSbodytext"/>
                              <w:numPr>
                                <w:ilvl w:val="0"/>
                                <w:numId w:val="166"/>
                              </w:numPr>
                            </w:pPr>
                            <w:r w:rsidRPr="00613833">
                              <w:t>The NSW Government is keenly focused on improving customer service, and IoT has potential applications for many services delivered by government</w:t>
                            </w:r>
                            <w:r>
                              <w:t>.</w:t>
                            </w:r>
                          </w:p>
                          <w:p w14:paraId="23356FCA" w14:textId="77777777" w:rsidR="004A5EF4" w:rsidRDefault="004A5EF4" w:rsidP="00D1149B">
                            <w:pPr>
                              <w:pStyle w:val="DCSbodytext"/>
                              <w:numPr>
                                <w:ilvl w:val="0"/>
                                <w:numId w:val="166"/>
                              </w:numPr>
                            </w:pPr>
                            <w:r w:rsidRPr="00613833">
                              <w:t>Effective deployment and use of IoT across the NSW Government requires a consistent approach, built on common understanding of opportunities, risks, obligations and best practice</w:t>
                            </w:r>
                            <w:r>
                              <w:t>.</w:t>
                            </w:r>
                          </w:p>
                          <w:p w14:paraId="540E6868" w14:textId="77777777" w:rsidR="004A5EF4" w:rsidRDefault="004A5EF4" w:rsidP="00D1149B">
                            <w:pPr>
                              <w:pStyle w:val="DCSbodytext"/>
                              <w:numPr>
                                <w:ilvl w:val="0"/>
                                <w:numId w:val="166"/>
                              </w:numPr>
                            </w:pPr>
                            <w:r>
                              <w:t>T</w:t>
                            </w:r>
                            <w:r w:rsidRPr="00723E51">
                              <w:t xml:space="preserve">his policy aims to give you a </w:t>
                            </w:r>
                            <w:r>
                              <w:t xml:space="preserve">foundational </w:t>
                            </w:r>
                            <w:r w:rsidRPr="00723E51">
                              <w:t>level of IoT</w:t>
                            </w:r>
                            <w:r>
                              <w:t xml:space="preserve"> knowledge</w:t>
                            </w:r>
                            <w:r w:rsidRPr="00723E51">
                              <w:t xml:space="preserve"> to enable you to have informed conversations with relevant experts.</w:t>
                            </w:r>
                          </w:p>
                          <w:p w14:paraId="47C83752" w14:textId="77777777" w:rsidR="004A5EF4" w:rsidRDefault="004A5EF4" w:rsidP="00D1149B">
                            <w:pPr>
                              <w:pStyle w:val="DCSbodytext"/>
                            </w:pPr>
                          </w:p>
                          <w:p w14:paraId="66FF20F3" w14:textId="77777777" w:rsidR="004A5EF4" w:rsidRDefault="004A5EF4" w:rsidP="00D1149B">
                            <w:pPr>
                              <w:pStyle w:val="DCSbodytext"/>
                            </w:pPr>
                          </w:p>
                          <w:p w14:paraId="649FF426" w14:textId="77777777" w:rsidR="004A5EF4" w:rsidRDefault="004A5EF4" w:rsidP="00D1149B">
                            <w:pPr>
                              <w:pStyle w:val="DCSbodytext"/>
                            </w:pPr>
                          </w:p>
                        </w:txbxContent>
                      </wps:txbx>
                      <wps:bodyPr rot="0" vert="horz" wrap="square" lIns="91440" tIns="45720" rIns="91440" bIns="45720" anchor="t" anchorCtr="0">
                        <a:noAutofit/>
                      </wps:bodyPr>
                    </wps:wsp>
                  </a:graphicData>
                </a:graphic>
              </wp:inline>
            </w:drawing>
          </mc:Choice>
          <mc:Fallback>
            <w:pict>
              <v:shapetype w14:anchorId="5A075307" id="_x0000_t202" coordsize="21600,21600" o:spt="202" path="m,l,21600r21600,l21600,xe">
                <v:stroke joinstyle="miter"/>
                <v:path gradientshapeok="t" o:connecttype="rect"/>
              </v:shapetype>
              <v:shape id="Text Box 2" o:spid="_x0000_s1026" type="#_x0000_t202" style="width:430.35pt;height: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" fillcolor="#b6dde8 [1304]" stroked="f">
                <v:textbox>
                  <w:txbxContent>
                    <w:p w14:paraId="1B4BF371" w14:textId="77777777" w:rsidR="004A5EF4" w:rsidRPr="00A57E29" w:rsidRDefault="004A5EF4" w:rsidP="00D1149B">
                      <w:pPr>
                        <w:pStyle w:val="DCSbodytext"/>
                        <w:ind w:left="0"/>
                        <w:jc w:val="center"/>
                        <w:rPr>
                          <w:rStyle w:val="Hyperlink"/>
                          <w:b/>
                          <w:color w:val="auto"/>
                          <w:u w:val="none"/>
                        </w:rPr>
                      </w:pPr>
                      <w:r>
                        <w:rPr>
                          <w:b/>
                        </w:rPr>
                        <w:t>Key takeaways from this module</w:t>
                      </w:r>
                    </w:p>
                    <w:p w14:paraId="4BC6F01F" w14:textId="6B4ECB03" w:rsidR="004A5EF4" w:rsidRPr="0071585E" w:rsidRDefault="004A5EF4" w:rsidP="00D1149B">
                      <w:pPr>
                        <w:pStyle w:val="DCSbodytext"/>
                        <w:numPr>
                          <w:ilvl w:val="0"/>
                          <w:numId w:val="166"/>
                        </w:numPr>
                      </w:pPr>
                      <w:r w:rsidRPr="00613833">
                        <w:t xml:space="preserve">The Internet of Things (IoT) refers to </w:t>
                      </w:r>
                      <w:r w:rsidRPr="00310CC7">
                        <w:t xml:space="preserve">an infrastructure of interconnected objects, people, systems and information resources together with intelligent services to allow them to process information of the physical and the virtual world and </w:t>
                      </w:r>
                      <w:r w:rsidR="001F5241" w:rsidRPr="00310CC7">
                        <w:t>react.</w:t>
                      </w:r>
                    </w:p>
                    <w:p w14:paraId="29F6A656" w14:textId="77777777" w:rsidR="004A5EF4" w:rsidRPr="00613833" w:rsidRDefault="004A5EF4" w:rsidP="00D1149B">
                      <w:pPr>
                        <w:pStyle w:val="DCSbodytext"/>
                        <w:numPr>
                          <w:ilvl w:val="0"/>
                          <w:numId w:val="166"/>
                        </w:numPr>
                      </w:pPr>
                      <w:r w:rsidRPr="00613833">
                        <w:t>Although we have only seen the tip of the iceberg, IoT is already so pervasive that most people do</w:t>
                      </w:r>
                      <w:r>
                        <w:t xml:space="preserve"> </w:t>
                      </w:r>
                      <w:r w:rsidRPr="00613833">
                        <w:t>n</w:t>
                      </w:r>
                      <w:r>
                        <w:t>o</w:t>
                      </w:r>
                      <w:r w:rsidRPr="00613833">
                        <w:t>t notice its presence and take for granted the services that it makes possible.</w:t>
                      </w:r>
                    </w:p>
                    <w:p w14:paraId="7657F93F" w14:textId="77777777" w:rsidR="004A5EF4" w:rsidRPr="0071585E" w:rsidRDefault="004A5EF4" w:rsidP="00D1149B">
                      <w:pPr>
                        <w:pStyle w:val="DCSbodytext"/>
                        <w:numPr>
                          <w:ilvl w:val="0"/>
                          <w:numId w:val="166"/>
                        </w:numPr>
                      </w:pPr>
                      <w:r w:rsidRPr="00613833">
                        <w:t xml:space="preserve">Many projects may not be </w:t>
                      </w:r>
                      <w:r>
                        <w:t xml:space="preserve">recognised as involving </w:t>
                      </w:r>
                      <w:r w:rsidRPr="00613833">
                        <w:t xml:space="preserve">IoT, such as infrastructure projects like building a bridge or tunnel, </w:t>
                      </w:r>
                      <w:r>
                        <w:t>but</w:t>
                      </w:r>
                      <w:r w:rsidRPr="00613833">
                        <w:t xml:space="preserve"> if they have sensors capturing data then they are IoT-enabled</w:t>
                      </w:r>
                      <w:r>
                        <w:t xml:space="preserve"> projects.</w:t>
                      </w:r>
                    </w:p>
                    <w:p w14:paraId="2801D515" w14:textId="77777777" w:rsidR="004A5EF4" w:rsidRDefault="004A5EF4" w:rsidP="00D1149B">
                      <w:pPr>
                        <w:pStyle w:val="DCSbodytext"/>
                        <w:numPr>
                          <w:ilvl w:val="0"/>
                          <w:numId w:val="166"/>
                        </w:numPr>
                      </w:pPr>
                      <w:r w:rsidRPr="0020579E">
                        <w:t xml:space="preserve">The true value of IoT lies in the ability of organisations to use the information generated by IoT to gain insights </w:t>
                      </w:r>
                      <w:r>
                        <w:t xml:space="preserve">for better decision-making </w:t>
                      </w:r>
                      <w:r w:rsidRPr="0020579E">
                        <w:t>and provid</w:t>
                      </w:r>
                      <w:r>
                        <w:t>ing</w:t>
                      </w:r>
                      <w:r w:rsidRPr="0020579E">
                        <w:t xml:space="preserve"> better services. </w:t>
                      </w:r>
                    </w:p>
                    <w:p w14:paraId="69584F62" w14:textId="77777777" w:rsidR="004A5EF4" w:rsidRPr="00ED2279" w:rsidRDefault="004A5EF4" w:rsidP="00D1149B">
                      <w:pPr>
                        <w:pStyle w:val="DCSbodytext"/>
                        <w:numPr>
                          <w:ilvl w:val="0"/>
                          <w:numId w:val="166"/>
                        </w:numPr>
                      </w:pPr>
                      <w:r>
                        <w:t>N</w:t>
                      </w:r>
                      <w:r w:rsidRPr="00613833">
                        <w:t xml:space="preserve">o single IoT device or network can function alone as each component plays an </w:t>
                      </w:r>
                      <w:r w:rsidRPr="00ED2279">
                        <w:t>interconnected role in the IoT ecosystem.</w:t>
                      </w:r>
                    </w:p>
                    <w:p w14:paraId="7BEA4AC0" w14:textId="5A444798" w:rsidR="004A5EF4" w:rsidRPr="00ED2279" w:rsidRDefault="004A5EF4" w:rsidP="00D1149B">
                      <w:pPr>
                        <w:pStyle w:val="DCSbodytext"/>
                        <w:numPr>
                          <w:ilvl w:val="0"/>
                          <w:numId w:val="166"/>
                        </w:numPr>
                      </w:pPr>
                      <w:r w:rsidRPr="00ED2279">
                        <w:t xml:space="preserve">Data needs to be considered at all stages of the project cycle if the benefits promised by IoT are to be achieved. </w:t>
                      </w:r>
                      <w:r w:rsidR="00E322F7" w:rsidRPr="00ED2279">
                        <w:t>This includes the security, collation and storage of data in a cohesive</w:t>
                      </w:r>
                      <w:r w:rsidR="00877E69" w:rsidRPr="00ED2279">
                        <w:t xml:space="preserve"> and consistent manner. </w:t>
                      </w:r>
                    </w:p>
                    <w:p w14:paraId="66429405" w14:textId="77777777" w:rsidR="004A5EF4" w:rsidRDefault="004A5EF4" w:rsidP="00D1149B">
                      <w:pPr>
                        <w:pStyle w:val="DCSbodytext"/>
                        <w:numPr>
                          <w:ilvl w:val="0"/>
                          <w:numId w:val="166"/>
                        </w:numPr>
                      </w:pPr>
                      <w:r w:rsidRPr="00613833">
                        <w:t>The NSW Government is keenly focused on improving customer service, and IoT has potential applications for many services delivered by government</w:t>
                      </w:r>
                      <w:r>
                        <w:t>.</w:t>
                      </w:r>
                    </w:p>
                    <w:p w14:paraId="23356FCA" w14:textId="77777777" w:rsidR="004A5EF4" w:rsidRDefault="004A5EF4" w:rsidP="00D1149B">
                      <w:pPr>
                        <w:pStyle w:val="DCSbodytext"/>
                        <w:numPr>
                          <w:ilvl w:val="0"/>
                          <w:numId w:val="166"/>
                        </w:numPr>
                      </w:pPr>
                      <w:r w:rsidRPr="00613833">
                        <w:t>Effective deployment and use of IoT across the NSW Government requires a consistent approach, built on common understanding of opportunities, risks, obligations and best practice</w:t>
                      </w:r>
                      <w:r>
                        <w:t>.</w:t>
                      </w:r>
                    </w:p>
                    <w:p w14:paraId="540E6868" w14:textId="77777777" w:rsidR="004A5EF4" w:rsidRDefault="004A5EF4" w:rsidP="00D1149B">
                      <w:pPr>
                        <w:pStyle w:val="DCSbodytext"/>
                        <w:numPr>
                          <w:ilvl w:val="0"/>
                          <w:numId w:val="166"/>
                        </w:numPr>
                      </w:pPr>
                      <w:r>
                        <w:t>T</w:t>
                      </w:r>
                      <w:r w:rsidRPr="00723E51">
                        <w:t xml:space="preserve">his policy aims to give you a </w:t>
                      </w:r>
                      <w:r>
                        <w:t xml:space="preserve">foundational </w:t>
                      </w:r>
                      <w:r w:rsidRPr="00723E51">
                        <w:t>level of IoT</w:t>
                      </w:r>
                      <w:r>
                        <w:t xml:space="preserve"> knowledge</w:t>
                      </w:r>
                      <w:r w:rsidRPr="00723E51">
                        <w:t xml:space="preserve"> to enable you to have informed conversations with relevant experts.</w:t>
                      </w:r>
                    </w:p>
                    <w:p w14:paraId="47C83752" w14:textId="77777777" w:rsidR="004A5EF4" w:rsidRDefault="004A5EF4" w:rsidP="00D1149B">
                      <w:pPr>
                        <w:pStyle w:val="DCSbodytext"/>
                      </w:pPr>
                    </w:p>
                    <w:p w14:paraId="66FF20F3" w14:textId="77777777" w:rsidR="004A5EF4" w:rsidRDefault="004A5EF4" w:rsidP="00D1149B">
                      <w:pPr>
                        <w:pStyle w:val="DCSbodytext"/>
                      </w:pPr>
                    </w:p>
                    <w:p w14:paraId="649FF426" w14:textId="77777777" w:rsidR="004A5EF4" w:rsidRDefault="004A5EF4" w:rsidP="00D1149B">
                      <w:pPr>
                        <w:pStyle w:val="DCSbodytext"/>
                      </w:pPr>
                    </w:p>
                  </w:txbxContent>
                </v:textbox>
                <w10:anchorlock/>
              </v:shape>
            </w:pict>
          </mc:Fallback>
        </mc:AlternateContent>
      </w:r>
      <w:bookmarkEnd w:id="30"/>
    </w:p>
    <w:p w14:paraId="16CF95F4" w14:textId="6ABEAF4C" w:rsidR="008C08C8" w:rsidRPr="00ED2279" w:rsidRDefault="008C08C8" w:rsidP="008C08C8">
      <w:pPr>
        <w:pStyle w:val="DCSbodytext"/>
        <w:rPr>
          <w:lang w:eastAsia="en-AU"/>
        </w:rPr>
      </w:pPr>
    </w:p>
    <w:p w14:paraId="037DB738" w14:textId="77777777" w:rsidR="001D3817" w:rsidRPr="00ED2279" w:rsidRDefault="001D3817" w:rsidP="008060F0">
      <w:pPr>
        <w:pStyle w:val="Heading2"/>
        <w:rPr>
          <w:rFonts w:ascii="Arial" w:hAnsi="Arial"/>
        </w:rPr>
        <w:sectPr w:rsidR="001D3817" w:rsidRPr="00ED2279" w:rsidSect="002771AA">
          <w:headerReference w:type="even" r:id="rId18"/>
          <w:headerReference w:type="default" r:id="rId19"/>
          <w:headerReference w:type="first" r:id="rId20"/>
          <w:pgSz w:w="11906" w:h="16838"/>
          <w:pgMar w:top="1418" w:right="1134" w:bottom="1134" w:left="1134" w:header="851" w:footer="425" w:gutter="0"/>
          <w:pgNumType w:start="1"/>
          <w:cols w:space="708"/>
          <w:titlePg/>
          <w:docGrid w:linePitch="360"/>
        </w:sectPr>
      </w:pPr>
    </w:p>
    <w:p w14:paraId="65BB6FEB" w14:textId="1D1681C9" w:rsidR="000D1292" w:rsidRPr="00ED2279" w:rsidRDefault="002F5698" w:rsidP="00E978FF">
      <w:pPr>
        <w:pStyle w:val="Heading2"/>
        <w:ind w:left="851"/>
        <w:rPr>
          <w:rFonts w:ascii="Arial" w:hAnsi="Arial"/>
        </w:rPr>
      </w:pPr>
      <w:bookmarkStart w:id="65" w:name="_Toc65760460"/>
      <w:r w:rsidRPr="00E46FB0">
        <w:rPr>
          <w:rFonts w:ascii="Arial" w:hAnsi="Arial"/>
        </w:rPr>
        <w:lastRenderedPageBreak/>
        <w:t>Introduction to I</w:t>
      </w:r>
      <w:r w:rsidR="00F35FA5" w:rsidRPr="00ED2279">
        <w:rPr>
          <w:rFonts w:ascii="Arial" w:hAnsi="Arial"/>
        </w:rPr>
        <w:t>oT</w:t>
      </w:r>
      <w:bookmarkEnd w:id="65"/>
    </w:p>
    <w:p w14:paraId="0FA1E6C0" w14:textId="2F3E4708" w:rsidR="0073138D" w:rsidRPr="00ED2279" w:rsidRDefault="00D07A1F" w:rsidP="0073138D">
      <w:pPr>
        <w:pStyle w:val="Heading3"/>
        <w:rPr>
          <w:rFonts w:ascii="Arial" w:hAnsi="Arial"/>
        </w:rPr>
      </w:pPr>
      <w:bookmarkStart w:id="66" w:name="_Toc15314034"/>
      <w:bookmarkStart w:id="67" w:name="_Toc15314035"/>
      <w:bookmarkStart w:id="68" w:name="_Toc65760461"/>
      <w:bookmarkEnd w:id="66"/>
      <w:bookmarkEnd w:id="67"/>
      <w:r w:rsidRPr="00ED2279">
        <w:rPr>
          <w:rFonts w:ascii="Arial" w:hAnsi="Arial"/>
        </w:rPr>
        <w:t>What is IoT</w:t>
      </w:r>
      <w:r w:rsidR="00825D64" w:rsidRPr="00ED2279">
        <w:rPr>
          <w:rFonts w:ascii="Arial" w:hAnsi="Arial"/>
        </w:rPr>
        <w:t>?</w:t>
      </w:r>
      <w:bookmarkEnd w:id="68"/>
    </w:p>
    <w:p w14:paraId="01359CD4" w14:textId="31628811" w:rsidR="00FF6970" w:rsidRPr="00E46FB0" w:rsidRDefault="004D050C" w:rsidP="0022369F">
      <w:pPr>
        <w:pStyle w:val="DCSbodytext"/>
      </w:pPr>
      <w:r w:rsidRPr="00ED2279">
        <w:t>The Internet of Things (IoT) refers to</w:t>
      </w:r>
      <w:r w:rsidR="00FF6970" w:rsidRPr="00ED2279">
        <w:t xml:space="preserve"> </w:t>
      </w:r>
      <w:r w:rsidR="00C11A11" w:rsidRPr="00ED2279">
        <w:t>‘</w:t>
      </w:r>
      <w:r w:rsidR="00FF6970" w:rsidRPr="00ED2279">
        <w:rPr>
          <w:rStyle w:val="hgkelc"/>
        </w:rPr>
        <w:t>an infrastructure of interconnected objects, people, systems and information resources together with intelligent services to allow them to process information of the physical and the virtual world and react</w:t>
      </w:r>
      <w:r w:rsidR="00C11A11" w:rsidRPr="00ED2279">
        <w:rPr>
          <w:rStyle w:val="hgkelc"/>
        </w:rPr>
        <w:t>’</w:t>
      </w:r>
      <w:sdt>
        <w:sdtPr>
          <w:rPr>
            <w:rStyle w:val="hgkelc"/>
          </w:rPr>
          <w:id w:val="-1227305033"/>
          <w:citation/>
        </w:sdtPr>
        <w:sdtEndPr>
          <w:rPr>
            <w:rStyle w:val="hgkelc"/>
          </w:rPr>
        </w:sdtEndPr>
        <w:sdtContent>
          <w:r w:rsidR="00684DF4" w:rsidRPr="00ED2279">
            <w:rPr>
              <w:rStyle w:val="hgkelc"/>
            </w:rPr>
            <w:fldChar w:fldCharType="begin"/>
          </w:r>
          <w:r w:rsidR="00684DF4" w:rsidRPr="00ED2279">
            <w:rPr>
              <w:rStyle w:val="hgkelc"/>
            </w:rPr>
            <w:instrText xml:space="preserve"> CITATION ASI202 \l 3081 </w:instrText>
          </w:r>
          <w:r w:rsidR="00684DF4" w:rsidRPr="00ED2279">
            <w:rPr>
              <w:rStyle w:val="hgkelc"/>
            </w:rPr>
            <w:fldChar w:fldCharType="separate"/>
          </w:r>
          <w:r w:rsidR="00684DF4" w:rsidRPr="00ED2279">
            <w:rPr>
              <w:rStyle w:val="hgkelc"/>
              <w:noProof/>
            </w:rPr>
            <w:t xml:space="preserve"> </w:t>
          </w:r>
          <w:r w:rsidR="00684DF4" w:rsidRPr="00ED2279">
            <w:rPr>
              <w:noProof/>
            </w:rPr>
            <w:t>(21823.1:2020, Internet of things (IoT) - Interoperability for internet of things systems, Part 1: Framework, 2020)</w:t>
          </w:r>
          <w:r w:rsidR="00684DF4" w:rsidRPr="00ED2279">
            <w:rPr>
              <w:rStyle w:val="hgkelc"/>
            </w:rPr>
            <w:fldChar w:fldCharType="end"/>
          </w:r>
        </w:sdtContent>
      </w:sdt>
      <w:r w:rsidRPr="00E46FB0">
        <w:t xml:space="preserve"> </w:t>
      </w:r>
    </w:p>
    <w:p w14:paraId="18017E1D" w14:textId="7B31DB10" w:rsidR="004D050C" w:rsidRPr="00ED2279" w:rsidRDefault="00FF6970" w:rsidP="0022369F">
      <w:pPr>
        <w:pStyle w:val="DCSbodytext"/>
      </w:pPr>
      <w:r w:rsidRPr="00ED2279">
        <w:t xml:space="preserve">This means </w:t>
      </w:r>
      <w:r w:rsidR="004D050C" w:rsidRPr="00ED2279">
        <w:t>physical devices that are connected to the internet, collecting and sharing data. It is the global network of infrastructure, vehicles, wearable devices, home appliances, medical technologies and other objects that are embedded with electronics, software, sensors and actuators, enabling these ‘things’ to share and exchange data to perform their functions more efficiently and effectively.</w:t>
      </w:r>
      <w:r w:rsidR="002349DF" w:rsidRPr="00ED2279">
        <w:t xml:space="preserve"> </w:t>
      </w:r>
    </w:p>
    <w:p w14:paraId="0C4FE14D" w14:textId="429E14F5" w:rsidR="004D050C" w:rsidRPr="00ED2279" w:rsidRDefault="004D050C" w:rsidP="0022369F">
      <w:pPr>
        <w:pStyle w:val="DCSbodytext"/>
        <w:spacing w:after="120"/>
      </w:pPr>
      <w:r w:rsidRPr="00ED2279">
        <w:t>Being connected to the internet means that</w:t>
      </w:r>
      <w:r w:rsidR="00F21B60" w:rsidRPr="00ED2279">
        <w:t xml:space="preserve"> a</w:t>
      </w:r>
      <w:r w:rsidRPr="00ED2279">
        <w:t xml:space="preserve"> ‘thing’ can:</w:t>
      </w:r>
    </w:p>
    <w:p w14:paraId="6F82F460" w14:textId="2924CDE2" w:rsidR="004D050C" w:rsidRPr="00ED2279" w:rsidRDefault="004D050C" w:rsidP="00003096">
      <w:pPr>
        <w:pStyle w:val="DCSbodytext"/>
        <w:numPr>
          <w:ilvl w:val="0"/>
          <w:numId w:val="114"/>
        </w:numPr>
        <w:spacing w:after="120"/>
      </w:pPr>
      <w:r w:rsidRPr="00ED2279">
        <w:t>collect information and send it</w:t>
      </w:r>
      <w:r w:rsidR="00F21B60" w:rsidRPr="00ED2279">
        <w:t>, or</w:t>
      </w:r>
    </w:p>
    <w:p w14:paraId="0DE609EE" w14:textId="7CCC377C" w:rsidR="004D050C" w:rsidRPr="00ED2279" w:rsidRDefault="004D050C" w:rsidP="00003096">
      <w:pPr>
        <w:pStyle w:val="DCSbodytext"/>
        <w:numPr>
          <w:ilvl w:val="0"/>
          <w:numId w:val="114"/>
        </w:numPr>
        <w:spacing w:after="120"/>
      </w:pPr>
      <w:r w:rsidRPr="00ED2279">
        <w:t>receive information and act on it, or</w:t>
      </w:r>
    </w:p>
    <w:p w14:paraId="4D179719" w14:textId="77777777" w:rsidR="004D050C" w:rsidRPr="00ED2279" w:rsidRDefault="004D050C" w:rsidP="00003096">
      <w:pPr>
        <w:pStyle w:val="DCSbodytext"/>
        <w:numPr>
          <w:ilvl w:val="0"/>
          <w:numId w:val="114"/>
        </w:numPr>
      </w:pPr>
      <w:r w:rsidRPr="00ED2279">
        <w:t>do both.</w:t>
      </w:r>
    </w:p>
    <w:p w14:paraId="1D0C774C" w14:textId="2C0ACBC5" w:rsidR="004D050C" w:rsidRPr="00ED2279" w:rsidRDefault="002365F8" w:rsidP="0022369F">
      <w:pPr>
        <w:pStyle w:val="DCSbodytext"/>
      </w:pPr>
      <w:r w:rsidRPr="00ED2279">
        <w:t xml:space="preserve">Collecting, sending, </w:t>
      </w:r>
      <w:r w:rsidR="007B5151" w:rsidRPr="00ED2279">
        <w:t>receiving,</w:t>
      </w:r>
      <w:r w:rsidRPr="00ED2279">
        <w:t xml:space="preserve"> and acting on information</w:t>
      </w:r>
      <w:r w:rsidR="004D050C" w:rsidRPr="00ED2279">
        <w:t xml:space="preserve"> allows us to make more intelligent decisions with less human intervention</w:t>
      </w:r>
      <w:r w:rsidR="00F21B60" w:rsidRPr="00ED2279">
        <w:t>. This</w:t>
      </w:r>
      <w:r w:rsidR="0000204C" w:rsidRPr="00ED2279">
        <w:t xml:space="preserve"> can save time and money while also improving services. </w:t>
      </w:r>
      <w:r w:rsidR="004D050C" w:rsidRPr="00ED2279">
        <w:t xml:space="preserve"> </w:t>
      </w:r>
    </w:p>
    <w:p w14:paraId="02495097" w14:textId="085C2907" w:rsidR="004D050C" w:rsidRPr="00ED2279" w:rsidRDefault="004D050C" w:rsidP="0022369F">
      <w:pPr>
        <w:pStyle w:val="DCSbodytext"/>
      </w:pPr>
      <w:r w:rsidRPr="00ED2279">
        <w:t xml:space="preserve">IoT is </w:t>
      </w:r>
      <w:r w:rsidR="002A37B1" w:rsidRPr="00ED2279">
        <w:t>likely to disrupt</w:t>
      </w:r>
      <w:r w:rsidRPr="00ED2279">
        <w:t xml:space="preserve"> every aspect of our lives. In the coming decade IoT will be the driving force for innovation in all major economic sectors: health, education, agriculture, transportation, construction, manufacturing, utilities, entertainment. It will also create innovation opportunities between and across these traditional sectors.</w:t>
      </w:r>
    </w:p>
    <w:p w14:paraId="5F745CE7" w14:textId="77777777" w:rsidR="00124BA0" w:rsidRPr="00ED2279" w:rsidRDefault="004D050C" w:rsidP="009169EF">
      <w:pPr>
        <w:pStyle w:val="DCSbodytext"/>
      </w:pPr>
      <w:r w:rsidRPr="00ED2279">
        <w:t>The potential application of IoT is almost limitless. Although we have only seen the tip of the iceberg, IoT is already so pervasive that most people do</w:t>
      </w:r>
      <w:r w:rsidR="00417361" w:rsidRPr="00ED2279">
        <w:t xml:space="preserve"> </w:t>
      </w:r>
      <w:r w:rsidRPr="00ED2279">
        <w:t>n</w:t>
      </w:r>
      <w:r w:rsidR="00417361" w:rsidRPr="00ED2279">
        <w:t>o</w:t>
      </w:r>
      <w:r w:rsidRPr="00ED2279">
        <w:t xml:space="preserve">t notice its presence and take for granted the services that it makes possible. </w:t>
      </w:r>
    </w:p>
    <w:p w14:paraId="51A56A40" w14:textId="529E968F" w:rsidR="009169EF" w:rsidRPr="00ED2279" w:rsidRDefault="004D050C" w:rsidP="009169EF">
      <w:pPr>
        <w:pStyle w:val="DCSbodytext"/>
      </w:pPr>
      <w:r w:rsidRPr="00ED2279">
        <w:t>For example, Sydney commuters can access real-time information about their train journey on their</w:t>
      </w:r>
      <w:r w:rsidR="00124BA0" w:rsidRPr="00ED2279">
        <w:t xml:space="preserve"> smart</w:t>
      </w:r>
      <w:r w:rsidRPr="00ED2279">
        <w:t xml:space="preserve">phones </w:t>
      </w:r>
      <w:r w:rsidR="00124BA0" w:rsidRPr="00ED2279">
        <w:t xml:space="preserve">thanks to complex IoT applications. They </w:t>
      </w:r>
      <w:r w:rsidR="00DD2201" w:rsidRPr="00ED2279">
        <w:t>can access information</w:t>
      </w:r>
      <w:r w:rsidR="00124BA0" w:rsidRPr="00ED2279">
        <w:t xml:space="preserve"> </w:t>
      </w:r>
      <w:r w:rsidR="00DE5437" w:rsidRPr="00ED2279">
        <w:t>like</w:t>
      </w:r>
      <w:r w:rsidRPr="00ED2279">
        <w:t xml:space="preserve"> the train’s location, projected arrival time at </w:t>
      </w:r>
      <w:r w:rsidR="002E2320" w:rsidRPr="00ED2279">
        <w:t>individual</w:t>
      </w:r>
      <w:r w:rsidRPr="00ED2279">
        <w:t xml:space="preserve"> station</w:t>
      </w:r>
      <w:r w:rsidR="002E2320" w:rsidRPr="00ED2279">
        <w:t>s</w:t>
      </w:r>
      <w:r w:rsidRPr="00ED2279">
        <w:t xml:space="preserve"> and the </w:t>
      </w:r>
      <w:r w:rsidR="00850EC4" w:rsidRPr="00ED2279">
        <w:t xml:space="preserve">commuter </w:t>
      </w:r>
      <w:r w:rsidRPr="00ED2279">
        <w:t xml:space="preserve">capacity of each carriage. </w:t>
      </w:r>
      <w:r w:rsidR="00F945E0" w:rsidRPr="00ED2279">
        <w:t xml:space="preserve">Behind the scenes, </w:t>
      </w:r>
      <w:r w:rsidR="004362A6" w:rsidRPr="00ED2279">
        <w:t xml:space="preserve">IoT </w:t>
      </w:r>
      <w:r w:rsidRPr="00ED2279">
        <w:t>sensors assist</w:t>
      </w:r>
      <w:r w:rsidR="00E025C1" w:rsidRPr="00ED2279">
        <w:t xml:space="preserve"> transport staff </w:t>
      </w:r>
      <w:r w:rsidRPr="00ED2279">
        <w:t xml:space="preserve">with tasks like </w:t>
      </w:r>
      <w:r w:rsidR="00954D84" w:rsidRPr="00ED2279">
        <w:t xml:space="preserve">track and train </w:t>
      </w:r>
      <w:r w:rsidRPr="00ED2279">
        <w:t>maintenance and performance management.</w:t>
      </w:r>
    </w:p>
    <w:p w14:paraId="720EE800" w14:textId="780B530D" w:rsidR="00E70791" w:rsidRPr="00ED2279" w:rsidRDefault="00E82B86" w:rsidP="000332AF">
      <w:pPr>
        <w:pStyle w:val="DCSbodytext"/>
      </w:pPr>
      <w:r w:rsidRPr="00ED2279">
        <w:t>IoT is emerging to add value everywhere</w:t>
      </w:r>
      <w:r w:rsidR="00A7766C" w:rsidRPr="00ED2279">
        <w:t xml:space="preserve"> but there is </w:t>
      </w:r>
      <w:r w:rsidR="002E6155" w:rsidRPr="00ED2279">
        <w:t>often</w:t>
      </w:r>
      <w:r w:rsidR="00FD2489" w:rsidRPr="00ED2279">
        <w:t xml:space="preserve"> a</w:t>
      </w:r>
      <w:r w:rsidR="00A7766C" w:rsidRPr="00ED2279">
        <w:t xml:space="preserve"> low </w:t>
      </w:r>
      <w:r w:rsidR="00180CAF" w:rsidRPr="00ED2279">
        <w:t>u</w:t>
      </w:r>
      <w:r w:rsidR="00A7766C" w:rsidRPr="00ED2279">
        <w:t xml:space="preserve">nderstanding of how </w:t>
      </w:r>
      <w:r w:rsidR="00180CAF" w:rsidRPr="00ED2279">
        <w:t>it works and its</w:t>
      </w:r>
      <w:r w:rsidR="00A7766C" w:rsidRPr="00ED2279">
        <w:t xml:space="preserve"> implications</w:t>
      </w:r>
      <w:r w:rsidR="00180CAF" w:rsidRPr="00ED2279">
        <w:t xml:space="preserve">. </w:t>
      </w:r>
      <w:r w:rsidR="00D011A8" w:rsidRPr="00ED2279">
        <w:t xml:space="preserve">Rapid growth and </w:t>
      </w:r>
      <w:r w:rsidR="00DF07FD" w:rsidRPr="00ED2279">
        <w:t xml:space="preserve">the </w:t>
      </w:r>
      <w:r w:rsidR="00D011A8" w:rsidRPr="00ED2279">
        <w:t xml:space="preserve">potential of technology is often accompanied by high risk and uncertainty. </w:t>
      </w:r>
    </w:p>
    <w:p w14:paraId="3A7350DE" w14:textId="2D6588E4" w:rsidR="000332AF" w:rsidRPr="00ED2279" w:rsidRDefault="00212946" w:rsidP="000332AF">
      <w:pPr>
        <w:pStyle w:val="DCSbodytext"/>
      </w:pPr>
      <w:r w:rsidRPr="00ED2279">
        <w:t xml:space="preserve">For the purpose of this document, projects that involve IoT are referred to as IoT-enabled projects or solutions. </w:t>
      </w:r>
      <w:r w:rsidR="008909C7" w:rsidRPr="00ED2279">
        <w:t xml:space="preserve">While you may not consider your project to be an IoT-enabled project, it is important to recognise IoT elements </w:t>
      </w:r>
      <w:r w:rsidR="00F845D3" w:rsidRPr="00ED2279">
        <w:t xml:space="preserve">in your project where they exist. </w:t>
      </w:r>
      <w:r w:rsidR="00E70791" w:rsidRPr="00ED2279">
        <w:t>M</w:t>
      </w:r>
      <w:r w:rsidR="000332AF" w:rsidRPr="00ED2279">
        <w:t xml:space="preserve">any </w:t>
      </w:r>
      <w:r w:rsidR="000332AF" w:rsidRPr="00ED2279">
        <w:lastRenderedPageBreak/>
        <w:t xml:space="preserve">projects may not </w:t>
      </w:r>
      <w:r w:rsidR="001337B1" w:rsidRPr="00ED2279">
        <w:t>be defined as IoT</w:t>
      </w:r>
      <w:r w:rsidR="0017361F" w:rsidRPr="00ED2279">
        <w:t>-enabled</w:t>
      </w:r>
      <w:r w:rsidR="001337B1" w:rsidRPr="00ED2279">
        <w:t>, such as infrastructure projects like building a bridge or tunnel</w:t>
      </w:r>
      <w:r w:rsidR="0017361F" w:rsidRPr="00ED2279">
        <w:t xml:space="preserve"> </w:t>
      </w:r>
      <w:r w:rsidR="00257124" w:rsidRPr="00ED2279">
        <w:t xml:space="preserve">even </w:t>
      </w:r>
      <w:r w:rsidR="0017361F" w:rsidRPr="00ED2279">
        <w:t xml:space="preserve">though they </w:t>
      </w:r>
      <w:r w:rsidR="00F5186C" w:rsidRPr="00ED2279">
        <w:t>use</w:t>
      </w:r>
      <w:r w:rsidR="008909C7" w:rsidRPr="00ED2279">
        <w:t xml:space="preserve"> IoT sensors.</w:t>
      </w:r>
    </w:p>
    <w:p w14:paraId="30962D24" w14:textId="0DF82AB3" w:rsidR="008C085C" w:rsidRPr="00ED2279" w:rsidRDefault="008C085C" w:rsidP="000332AF">
      <w:pPr>
        <w:pStyle w:val="DCSbodytext"/>
      </w:pPr>
      <w:r w:rsidRPr="00ED2279">
        <w:t xml:space="preserve">You may also find it useful to refer to the </w:t>
      </w:r>
      <w:hyperlink r:id="rId21" w:history="1">
        <w:r w:rsidRPr="00ED2279">
          <w:rPr>
            <w:rStyle w:val="Hyperlink"/>
          </w:rPr>
          <w:t>glossary of IoT terms</w:t>
        </w:r>
      </w:hyperlink>
      <w:r w:rsidRPr="00E46FB0">
        <w:t xml:space="preserve"> </w:t>
      </w:r>
      <w:r w:rsidR="00CB3F88" w:rsidRPr="00ED2279">
        <w:t xml:space="preserve">published </w:t>
      </w:r>
      <w:r w:rsidRPr="00ED2279">
        <w:t xml:space="preserve">in the IoT European Large-Pilots Programme </w:t>
      </w:r>
      <w:r w:rsidR="00CB3F88" w:rsidRPr="00ED2279">
        <w:t xml:space="preserve">handbook. </w:t>
      </w:r>
      <w:r w:rsidR="006F0D46" w:rsidRPr="00ED2279">
        <w:t>Note however that not all terms are relevant to the Australian context.</w:t>
      </w:r>
    </w:p>
    <w:p w14:paraId="725A3447" w14:textId="548A9E81" w:rsidR="008801FD" w:rsidRPr="00ED2279" w:rsidRDefault="008801FD" w:rsidP="008801FD">
      <w:pPr>
        <w:pStyle w:val="Heading3"/>
        <w:rPr>
          <w:rFonts w:ascii="Arial" w:hAnsi="Arial"/>
        </w:rPr>
      </w:pPr>
      <w:bookmarkStart w:id="69" w:name="_Toc18073186"/>
      <w:bookmarkStart w:id="70" w:name="_Toc18073358"/>
      <w:bookmarkStart w:id="71" w:name="_Toc18073529"/>
      <w:bookmarkStart w:id="72" w:name="_Toc18073699"/>
      <w:bookmarkStart w:id="73" w:name="_Toc18073865"/>
      <w:bookmarkStart w:id="74" w:name="_Toc18077487"/>
      <w:bookmarkStart w:id="75" w:name="_Toc18077656"/>
      <w:bookmarkStart w:id="76" w:name="_Toc18082890"/>
      <w:bookmarkStart w:id="77" w:name="_Toc18083062"/>
      <w:bookmarkStart w:id="78" w:name="_Toc18083235"/>
      <w:bookmarkStart w:id="79" w:name="_Toc18311182"/>
      <w:bookmarkStart w:id="80" w:name="_Toc18312738"/>
      <w:bookmarkStart w:id="81" w:name="_Toc18322028"/>
      <w:bookmarkStart w:id="82" w:name="_Toc18322207"/>
      <w:bookmarkStart w:id="83" w:name="_Toc18336788"/>
      <w:bookmarkStart w:id="84" w:name="_Toc18338068"/>
      <w:bookmarkStart w:id="85" w:name="_Toc65760462"/>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ED2279">
        <w:rPr>
          <w:rFonts w:ascii="Arial" w:hAnsi="Arial"/>
        </w:rPr>
        <w:t>Why use IoT</w:t>
      </w:r>
      <w:r w:rsidR="00825D64" w:rsidRPr="00ED2279">
        <w:rPr>
          <w:rFonts w:ascii="Arial" w:hAnsi="Arial"/>
        </w:rPr>
        <w:t>?</w:t>
      </w:r>
      <w:bookmarkEnd w:id="85"/>
    </w:p>
    <w:p w14:paraId="23144D8A" w14:textId="3E7C13DE" w:rsidR="0099363D" w:rsidRPr="00ED2279" w:rsidRDefault="0099363D" w:rsidP="0022369F">
      <w:pPr>
        <w:pStyle w:val="DCSbodytext"/>
      </w:pPr>
      <w:r w:rsidRPr="00ED2279">
        <w:t xml:space="preserve">The application of IoT technologies has the potential to deliver significant benefits to government, industry and citizens, </w:t>
      </w:r>
      <w:r w:rsidR="00B9249D" w:rsidRPr="00ED2279">
        <w:t>but its</w:t>
      </w:r>
      <w:r w:rsidRPr="00ED2279">
        <w:t xml:space="preserve"> value is not guaranteed by </w:t>
      </w:r>
      <w:r w:rsidR="00B9249D" w:rsidRPr="00ED2279">
        <w:t>its use alone.</w:t>
      </w:r>
      <w:r w:rsidRPr="00ED2279">
        <w:t xml:space="preserve"> The </w:t>
      </w:r>
      <w:r w:rsidR="00520288" w:rsidRPr="00ED2279">
        <w:t xml:space="preserve">true </w:t>
      </w:r>
      <w:r w:rsidRPr="00ED2279">
        <w:t xml:space="preserve">value of IoT lies in </w:t>
      </w:r>
      <w:r w:rsidR="00B9249D" w:rsidRPr="00ED2279">
        <w:t xml:space="preserve">the ability of organisations to use the </w:t>
      </w:r>
      <w:r w:rsidR="00EB4604" w:rsidRPr="00ED2279">
        <w:t>information</w:t>
      </w:r>
      <w:r w:rsidR="00B9249D" w:rsidRPr="00ED2279">
        <w:t xml:space="preserve"> generated by IoT to</w:t>
      </w:r>
      <w:r w:rsidRPr="00ED2279">
        <w:t xml:space="preserve"> gain insight</w:t>
      </w:r>
      <w:r w:rsidR="00236F6A" w:rsidRPr="00ED2279">
        <w:t>s</w:t>
      </w:r>
      <w:r w:rsidRPr="00ED2279">
        <w:t xml:space="preserve"> </w:t>
      </w:r>
      <w:r w:rsidR="003B76D1" w:rsidRPr="00ED2279">
        <w:t>for</w:t>
      </w:r>
      <w:r w:rsidRPr="00ED2279">
        <w:t xml:space="preserve"> better decision</w:t>
      </w:r>
      <w:r w:rsidR="003B76D1" w:rsidRPr="00ED2279">
        <w:t>-making</w:t>
      </w:r>
      <w:r w:rsidRPr="00ED2279">
        <w:t xml:space="preserve"> and provid</w:t>
      </w:r>
      <w:r w:rsidR="003B76D1" w:rsidRPr="00ED2279">
        <w:t>ing</w:t>
      </w:r>
      <w:r w:rsidRPr="00ED2279">
        <w:t xml:space="preserve"> better services. </w:t>
      </w:r>
    </w:p>
    <w:p w14:paraId="6A3C7BA3" w14:textId="0EB21BBE" w:rsidR="0099363D" w:rsidRPr="00ED2279" w:rsidRDefault="0099363D" w:rsidP="0022369F">
      <w:pPr>
        <w:pStyle w:val="DCSbodytext"/>
        <w:rPr>
          <w:shd w:val="clear" w:color="auto" w:fill="FFFFFF"/>
        </w:rPr>
      </w:pPr>
      <w:r w:rsidRPr="00ED2279">
        <w:rPr>
          <w:shd w:val="clear" w:color="auto" w:fill="FFFFFF"/>
        </w:rPr>
        <w:t>The information, or ‘data’, collected through IoT sensors or smart devices can drive sustainability, liveability, workability, productivity improvements, economic efficiencies</w:t>
      </w:r>
      <w:r w:rsidR="00DF07FD" w:rsidRPr="00ED2279">
        <w:rPr>
          <w:shd w:val="clear" w:color="auto" w:fill="FFFFFF"/>
        </w:rPr>
        <w:t>,</w:t>
      </w:r>
      <w:r w:rsidRPr="00ED2279">
        <w:rPr>
          <w:shd w:val="clear" w:color="auto" w:fill="FFFFFF"/>
        </w:rPr>
        <w:t xml:space="preserve"> and innovation. This data can also be used to drive other advanced technologies such as artificial intelligence</w:t>
      </w:r>
      <w:r w:rsidR="0080538C" w:rsidRPr="00ED2279">
        <w:rPr>
          <w:shd w:val="clear" w:color="auto" w:fill="FFFFFF"/>
        </w:rPr>
        <w:t xml:space="preserve"> (AI)</w:t>
      </w:r>
      <w:r w:rsidRPr="00ED2279">
        <w:rPr>
          <w:shd w:val="clear" w:color="auto" w:fill="FFFFFF"/>
        </w:rPr>
        <w:t>, augmented reality, digital twins and machine learning.</w:t>
      </w:r>
    </w:p>
    <w:p w14:paraId="12F98832" w14:textId="487F7B1A" w:rsidR="00424BEF" w:rsidRPr="00ED2279" w:rsidRDefault="0073138D">
      <w:pPr>
        <w:pStyle w:val="Heading3"/>
        <w:rPr>
          <w:rFonts w:ascii="Arial" w:hAnsi="Arial"/>
        </w:rPr>
      </w:pPr>
      <w:bookmarkStart w:id="86" w:name="_Toc16514509"/>
      <w:bookmarkStart w:id="87" w:name="_Toc16514702"/>
      <w:bookmarkStart w:id="88" w:name="_Toc16514894"/>
      <w:bookmarkStart w:id="89" w:name="_Toc16515087"/>
      <w:bookmarkStart w:id="90" w:name="_Toc16515278"/>
      <w:bookmarkStart w:id="91" w:name="_Toc16515472"/>
      <w:bookmarkStart w:id="92" w:name="_Toc16515666"/>
      <w:bookmarkStart w:id="93" w:name="_Toc16515908"/>
      <w:bookmarkStart w:id="94" w:name="_Toc16516379"/>
      <w:bookmarkStart w:id="95" w:name="_Toc16762153"/>
      <w:bookmarkStart w:id="96" w:name="_Toc16769932"/>
      <w:bookmarkStart w:id="97" w:name="_Toc16770126"/>
      <w:bookmarkStart w:id="98" w:name="_Toc16856034"/>
      <w:bookmarkStart w:id="99" w:name="_Toc16867803"/>
      <w:bookmarkStart w:id="100" w:name="_Toc16514510"/>
      <w:bookmarkStart w:id="101" w:name="_Toc16514703"/>
      <w:bookmarkStart w:id="102" w:name="_Toc16514895"/>
      <w:bookmarkStart w:id="103" w:name="_Toc16515088"/>
      <w:bookmarkStart w:id="104" w:name="_Toc16515279"/>
      <w:bookmarkStart w:id="105" w:name="_Toc16515473"/>
      <w:bookmarkStart w:id="106" w:name="_Toc16515667"/>
      <w:bookmarkStart w:id="107" w:name="_Toc16515909"/>
      <w:bookmarkStart w:id="108" w:name="_Toc16516380"/>
      <w:bookmarkStart w:id="109" w:name="_Toc16762154"/>
      <w:bookmarkStart w:id="110" w:name="_Toc16769933"/>
      <w:bookmarkStart w:id="111" w:name="_Toc16770127"/>
      <w:bookmarkStart w:id="112" w:name="_Toc16856035"/>
      <w:bookmarkStart w:id="113" w:name="_Toc16867804"/>
      <w:bookmarkStart w:id="114" w:name="_Applications_of_IoT"/>
      <w:bookmarkStart w:id="115" w:name="_Toc65760463"/>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ED2279">
        <w:rPr>
          <w:rFonts w:ascii="Arial" w:hAnsi="Arial"/>
        </w:rPr>
        <w:t>A</w:t>
      </w:r>
      <w:r w:rsidR="00424BEF" w:rsidRPr="00ED2279">
        <w:rPr>
          <w:rFonts w:ascii="Arial" w:hAnsi="Arial"/>
        </w:rPr>
        <w:t>pplications of IoT</w:t>
      </w:r>
      <w:bookmarkEnd w:id="115"/>
    </w:p>
    <w:p w14:paraId="0C3C9750" w14:textId="72F1324A" w:rsidR="001B411A" w:rsidRPr="00ED2279" w:rsidRDefault="00800534" w:rsidP="007B4B89">
      <w:pPr>
        <w:pStyle w:val="DCSbodytext"/>
        <w:rPr>
          <w:b/>
        </w:rPr>
      </w:pPr>
      <w:r w:rsidRPr="00ED2279">
        <w:t>IoT solutions can be used for a wide variety of purposes</w:t>
      </w:r>
      <w:r w:rsidR="00AB7C2A" w:rsidRPr="00ED2279">
        <w:t>.</w:t>
      </w:r>
      <w:r w:rsidR="00B46783" w:rsidRPr="00ED2279">
        <w:t xml:space="preserve"> </w:t>
      </w:r>
      <w:r w:rsidR="00E0136E" w:rsidRPr="00ED2279">
        <w:t>This is demonstrated in the diagram and in the case studies below.</w:t>
      </w:r>
    </w:p>
    <w:p w14:paraId="6D97819A" w14:textId="17E6CC69" w:rsidR="001B411A" w:rsidRPr="00ED2279" w:rsidRDefault="001B411A" w:rsidP="001B411A">
      <w:pPr>
        <w:pStyle w:val="DCSbodytext"/>
        <w:spacing w:before="240"/>
        <w:jc w:val="center"/>
      </w:pPr>
      <w:r w:rsidRPr="00ED2279">
        <w:rPr>
          <w:b/>
        </w:rPr>
        <w:t>Examples of applications of IoT</w:t>
      </w:r>
    </w:p>
    <w:p w14:paraId="5DB97D1B" w14:textId="302B4990" w:rsidR="009944D3" w:rsidRPr="00E46FB0" w:rsidRDefault="00FD22BF" w:rsidP="00FD22BF">
      <w:pPr>
        <w:jc w:val="center"/>
      </w:pPr>
      <w:r w:rsidRPr="00E46FB0">
        <w:rPr>
          <w:noProof/>
        </w:rPr>
        <w:drawing>
          <wp:inline distT="0" distB="0" distL="0" distR="0" wp14:anchorId="07B1D602" wp14:editId="4C6BC326">
            <wp:extent cx="4857750" cy="422938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22">
                      <a:extLst>
                        <a:ext uri="{28A0092B-C50C-407E-A947-70E740481C1C}">
                          <a14:useLocalDpi xmlns:a14="http://schemas.microsoft.com/office/drawing/2010/main" val="0"/>
                        </a:ext>
                      </a:extLst>
                    </a:blip>
                    <a:stretch>
                      <a:fillRect/>
                    </a:stretch>
                  </pic:blipFill>
                  <pic:spPr>
                    <a:xfrm>
                      <a:off x="0" y="0"/>
                      <a:ext cx="4865648" cy="4236260"/>
                    </a:xfrm>
                    <a:prstGeom prst="rect">
                      <a:avLst/>
                    </a:prstGeom>
                  </pic:spPr>
                </pic:pic>
              </a:graphicData>
            </a:graphic>
          </wp:inline>
        </w:drawing>
      </w:r>
    </w:p>
    <w:p w14:paraId="3EB9F663" w14:textId="64B59EF3" w:rsidR="009944D3" w:rsidRPr="00ED2279" w:rsidRDefault="009944D3" w:rsidP="001E79D0"/>
    <w:p w14:paraId="2702106C" w14:textId="77777777" w:rsidR="009944D3" w:rsidRPr="00ED2279" w:rsidRDefault="009944D3" w:rsidP="001E79D0"/>
    <w:p w14:paraId="66278580" w14:textId="2C74FC9D" w:rsidR="0029478F" w:rsidRPr="00ED2279" w:rsidRDefault="0029478F" w:rsidP="00FE62A6">
      <w:pPr>
        <w:pStyle w:val="DCSbodytext"/>
        <w:spacing w:before="240"/>
        <w:jc w:val="center"/>
      </w:pPr>
      <w:r w:rsidRPr="00ED2279">
        <w:rPr>
          <w:b/>
        </w:rPr>
        <w:t>Using IoT for research</w:t>
      </w:r>
    </w:p>
    <w:tbl>
      <w:tblPr>
        <w:tblStyle w:val="TableGrid"/>
        <w:tblW w:w="8788" w:type="dxa"/>
        <w:tblInd w:w="846" w:type="dxa"/>
        <w:shd w:val="clear" w:color="auto" w:fill="D9D9D9" w:themeFill="background1" w:themeFillShade="D9"/>
        <w:tblCellMar>
          <w:top w:w="85" w:type="dxa"/>
        </w:tblCellMar>
        <w:tblLook w:val="04A0" w:firstRow="1" w:lastRow="0" w:firstColumn="1" w:lastColumn="0" w:noHBand="0" w:noVBand="1"/>
      </w:tblPr>
      <w:tblGrid>
        <w:gridCol w:w="8788"/>
      </w:tblGrid>
      <w:tr w:rsidR="00212946" w:rsidRPr="00ED2279" w14:paraId="114FAFDC" w14:textId="77777777" w:rsidTr="00024EE4">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898E1B" w14:textId="77777777" w:rsidR="00212946" w:rsidRPr="00ED2279" w:rsidRDefault="00212946" w:rsidP="00024EE4">
            <w:pPr>
              <w:pStyle w:val="BodyText1"/>
              <w:spacing w:line="360" w:lineRule="auto"/>
              <w:jc w:val="center"/>
            </w:pPr>
            <w:r w:rsidRPr="00ED2279">
              <w:rPr>
                <w:b/>
              </w:rPr>
              <w:t>Case Study – NSW Department of Primary Industries using IoT for research</w:t>
            </w:r>
          </w:p>
          <w:p w14:paraId="411D7248" w14:textId="2B5547F3" w:rsidR="00212946" w:rsidRPr="00ED2279" w:rsidRDefault="00A058E8" w:rsidP="00024EE4">
            <w:pPr>
              <w:pStyle w:val="DCSbodytext"/>
              <w:ind w:left="0"/>
            </w:pPr>
            <w:r w:rsidRPr="00ED2279">
              <w:rPr>
                <w:rFonts w:eastAsia="Calibri" w:cs="Arial"/>
                <w:color w:val="333333"/>
                <w:szCs w:val="22"/>
              </w:rPr>
              <w:t xml:space="preserve">Through the </w:t>
            </w:r>
            <w:r w:rsidRPr="00ED2279">
              <w:rPr>
                <w:rFonts w:eastAsia="Calibri" w:cs="Arial"/>
                <w:b/>
                <w:color w:val="333333"/>
                <w:szCs w:val="22"/>
              </w:rPr>
              <w:t xml:space="preserve">World-Class Food and Fibre Infrastructure </w:t>
            </w:r>
            <w:r w:rsidR="00622B41" w:rsidRPr="00ED2279">
              <w:rPr>
                <w:rFonts w:eastAsia="Calibri" w:cs="Arial"/>
                <w:b/>
                <w:color w:val="333333"/>
                <w:szCs w:val="22"/>
              </w:rPr>
              <w:t>Program</w:t>
            </w:r>
            <w:r w:rsidR="00622B41" w:rsidRPr="00ED2279">
              <w:rPr>
                <w:rFonts w:eastAsia="Calibri" w:cs="Arial"/>
                <w:b/>
                <w:bCs/>
                <w:color w:val="333333"/>
                <w:szCs w:val="22"/>
              </w:rPr>
              <w:t>,</w:t>
            </w:r>
            <w:r w:rsidR="00622B41" w:rsidRPr="00ED2279">
              <w:rPr>
                <w:rFonts w:cs="Arial"/>
                <w:color w:val="000000"/>
                <w:szCs w:val="22"/>
              </w:rPr>
              <w:t xml:space="preserve"> </w:t>
            </w:r>
            <w:r w:rsidR="00E30D13" w:rsidRPr="00ED2279">
              <w:rPr>
                <w:rFonts w:cs="Arial"/>
                <w:color w:val="000000"/>
                <w:szCs w:val="22"/>
              </w:rPr>
              <w:t>t</w:t>
            </w:r>
            <w:r w:rsidR="00622B41" w:rsidRPr="00ED2279">
              <w:rPr>
                <w:rFonts w:cs="Arial"/>
                <w:color w:val="000000"/>
                <w:szCs w:val="22"/>
              </w:rPr>
              <w:t>he</w:t>
            </w:r>
            <w:r w:rsidR="00212946" w:rsidRPr="00ED2279">
              <w:rPr>
                <w:rFonts w:cs="Arial"/>
                <w:color w:val="000000"/>
                <w:szCs w:val="22"/>
              </w:rPr>
              <w:t xml:space="preserve"> NSW Department of Primary Industries (DPI) is investing in IoT enabling infrastructure</w:t>
            </w:r>
            <w:r w:rsidR="00212946" w:rsidRPr="00ED2279">
              <w:rPr>
                <w:rFonts w:cs="Arial"/>
                <w:color w:val="000000"/>
              </w:rPr>
              <w:t xml:space="preserve"> at its research sites. This creates the opportunity for DPI researchers to be more efficient in the delivery of research, and to solve problems through research that they previously could not solve. It also ensures that DPI remains in the top one percent of science institutions worldwide. </w:t>
            </w:r>
          </w:p>
          <w:p w14:paraId="21B61125" w14:textId="2902BB73" w:rsidR="00212946" w:rsidRPr="00ED2279" w:rsidRDefault="00212946" w:rsidP="00024EE4">
            <w:pPr>
              <w:pStyle w:val="DCSbodytext"/>
              <w:spacing w:after="120"/>
              <w:ind w:left="0"/>
              <w:rPr>
                <w:rFonts w:cs="Arial"/>
              </w:rPr>
            </w:pPr>
            <w:r w:rsidRPr="00ED2279">
              <w:rPr>
                <w:rFonts w:cs="Arial"/>
                <w:color w:val="000000"/>
              </w:rPr>
              <w:t>Since 2017 DPI has deployed low-power wide-area network (LPWAN) connectivity on nine of its research stations across NSW</w:t>
            </w:r>
            <w:r w:rsidR="004F54F1" w:rsidRPr="00ED2279">
              <w:rPr>
                <w:rFonts w:cs="Arial"/>
                <w:color w:val="000000"/>
              </w:rPr>
              <w:t>. This enabled DPI</w:t>
            </w:r>
            <w:r w:rsidRPr="00ED2279">
              <w:rPr>
                <w:rFonts w:cs="Arial"/>
                <w:color w:val="000000"/>
              </w:rPr>
              <w:t xml:space="preserve"> to trial established and emerging sensor technologies </w:t>
            </w:r>
            <w:r w:rsidR="005368F9" w:rsidRPr="00ED2279">
              <w:rPr>
                <w:rFonts w:cs="Arial"/>
                <w:color w:val="000000"/>
              </w:rPr>
              <w:t>to see</w:t>
            </w:r>
            <w:r w:rsidRPr="00ED2279">
              <w:rPr>
                <w:rFonts w:cs="Arial"/>
                <w:color w:val="000000"/>
              </w:rPr>
              <w:t xml:space="preserve"> how they enhance decision-making on farms. The connectivity networks are open networks available for use by surrounding farms, universities and towns. Some of the applications being trialled include:</w:t>
            </w:r>
          </w:p>
          <w:p w14:paraId="60BC7BE0" w14:textId="77777777" w:rsidR="00212946" w:rsidRPr="00ED2279" w:rsidRDefault="00212946" w:rsidP="00003096">
            <w:pPr>
              <w:pStyle w:val="DCSbodytext"/>
              <w:numPr>
                <w:ilvl w:val="0"/>
                <w:numId w:val="167"/>
              </w:numPr>
              <w:spacing w:after="120"/>
              <w:rPr>
                <w:rFonts w:cs="Arial"/>
              </w:rPr>
            </w:pPr>
            <w:r w:rsidRPr="00ED2279">
              <w:rPr>
                <w:rFonts w:cs="Arial"/>
                <w:color w:val="000000"/>
              </w:rPr>
              <w:t>solid state automatic weather stations</w:t>
            </w:r>
          </w:p>
          <w:p w14:paraId="39E92C7F" w14:textId="77777777" w:rsidR="00212946" w:rsidRPr="00ED2279" w:rsidRDefault="00212946" w:rsidP="00003096">
            <w:pPr>
              <w:pStyle w:val="DCSbodytext"/>
              <w:numPr>
                <w:ilvl w:val="0"/>
                <w:numId w:val="167"/>
              </w:numPr>
              <w:spacing w:after="120"/>
              <w:rPr>
                <w:rFonts w:cs="Arial"/>
              </w:rPr>
            </w:pPr>
            <w:r w:rsidRPr="00ED2279">
              <w:rPr>
                <w:rFonts w:cs="Arial"/>
                <w:color w:val="000000"/>
              </w:rPr>
              <w:t>salinity monitoring in fisheries research</w:t>
            </w:r>
          </w:p>
          <w:p w14:paraId="415CE219" w14:textId="77777777" w:rsidR="00212946" w:rsidRPr="00ED2279" w:rsidRDefault="00212946" w:rsidP="00003096">
            <w:pPr>
              <w:pStyle w:val="DCSbodytext"/>
              <w:numPr>
                <w:ilvl w:val="0"/>
                <w:numId w:val="167"/>
              </w:numPr>
              <w:spacing w:after="120"/>
              <w:rPr>
                <w:rFonts w:cs="Arial"/>
              </w:rPr>
            </w:pPr>
            <w:r w:rsidRPr="00ED2279">
              <w:rPr>
                <w:rFonts w:cs="Arial"/>
                <w:color w:val="000000"/>
              </w:rPr>
              <w:t>leaf wetness measurement as an indication of disease</w:t>
            </w:r>
          </w:p>
          <w:p w14:paraId="235AAA62" w14:textId="77777777" w:rsidR="00212946" w:rsidRPr="00ED2279" w:rsidRDefault="00212946" w:rsidP="00003096">
            <w:pPr>
              <w:pStyle w:val="DCSbodytext"/>
              <w:numPr>
                <w:ilvl w:val="0"/>
                <w:numId w:val="167"/>
              </w:numPr>
              <w:spacing w:after="120"/>
              <w:rPr>
                <w:rFonts w:cs="Arial"/>
              </w:rPr>
            </w:pPr>
            <w:r w:rsidRPr="00ED2279">
              <w:rPr>
                <w:rFonts w:cs="Arial"/>
                <w:color w:val="000000"/>
              </w:rPr>
              <w:t>bore and water tank level monitoring</w:t>
            </w:r>
          </w:p>
          <w:p w14:paraId="68472826" w14:textId="0935150E" w:rsidR="00212946" w:rsidRPr="00ED2279" w:rsidRDefault="00212946" w:rsidP="00003096">
            <w:pPr>
              <w:pStyle w:val="DCSbodytext"/>
              <w:numPr>
                <w:ilvl w:val="0"/>
                <w:numId w:val="167"/>
              </w:numPr>
              <w:spacing w:after="120"/>
              <w:rPr>
                <w:rFonts w:cs="Arial"/>
              </w:rPr>
            </w:pPr>
            <w:r w:rsidRPr="00ED2279">
              <w:rPr>
                <w:rFonts w:cs="Arial"/>
                <w:color w:val="000000"/>
              </w:rPr>
              <w:t>beehive temperature, location tracking</w:t>
            </w:r>
            <w:r w:rsidR="00DF07FD" w:rsidRPr="00ED2279">
              <w:rPr>
                <w:rFonts w:cs="Arial"/>
                <w:color w:val="000000"/>
              </w:rPr>
              <w:t>,</w:t>
            </w:r>
            <w:r w:rsidRPr="00ED2279">
              <w:rPr>
                <w:rFonts w:cs="Arial"/>
                <w:color w:val="000000"/>
              </w:rPr>
              <w:t xml:space="preserve"> and damage alerts</w:t>
            </w:r>
          </w:p>
          <w:p w14:paraId="0CDC1CA3" w14:textId="77777777" w:rsidR="00212946" w:rsidRPr="00ED2279" w:rsidRDefault="00212946" w:rsidP="00003096">
            <w:pPr>
              <w:pStyle w:val="DCSbodytext"/>
              <w:numPr>
                <w:ilvl w:val="0"/>
                <w:numId w:val="167"/>
              </w:numPr>
              <w:spacing w:after="120"/>
              <w:rPr>
                <w:rFonts w:cs="Arial"/>
              </w:rPr>
            </w:pPr>
            <w:r w:rsidRPr="00ED2279">
              <w:rPr>
                <w:rFonts w:cs="Arial"/>
                <w:color w:val="000000"/>
              </w:rPr>
              <w:t>irrigation channel level monitoring and pump operation alerts</w:t>
            </w:r>
          </w:p>
          <w:p w14:paraId="73436317" w14:textId="77777777" w:rsidR="00212946" w:rsidRPr="00ED2279" w:rsidRDefault="00212946" w:rsidP="00003096">
            <w:pPr>
              <w:pStyle w:val="DCSbodytext"/>
              <w:numPr>
                <w:ilvl w:val="0"/>
                <w:numId w:val="167"/>
              </w:numPr>
              <w:spacing w:after="120"/>
              <w:rPr>
                <w:rFonts w:cs="Arial"/>
              </w:rPr>
            </w:pPr>
            <w:r w:rsidRPr="00ED2279">
              <w:rPr>
                <w:rFonts w:cs="Arial"/>
                <w:color w:val="000000"/>
              </w:rPr>
              <w:t>irrigation equipment GPS tracking</w:t>
            </w:r>
          </w:p>
          <w:p w14:paraId="7B3D6D4D" w14:textId="77777777" w:rsidR="00212946" w:rsidRPr="00ED2279" w:rsidRDefault="00212946" w:rsidP="00003096">
            <w:pPr>
              <w:pStyle w:val="DCSbodytext"/>
              <w:numPr>
                <w:ilvl w:val="0"/>
                <w:numId w:val="167"/>
              </w:numPr>
              <w:spacing w:after="120"/>
              <w:rPr>
                <w:rFonts w:cs="Arial"/>
              </w:rPr>
            </w:pPr>
            <w:r w:rsidRPr="00ED2279">
              <w:rPr>
                <w:rFonts w:cs="Arial"/>
                <w:color w:val="000000"/>
              </w:rPr>
              <w:t>greenhouse temperature and humidity monitoring</w:t>
            </w:r>
          </w:p>
          <w:p w14:paraId="7E971E3A" w14:textId="77777777" w:rsidR="00212946" w:rsidRPr="00ED2279" w:rsidRDefault="00212946" w:rsidP="00003096">
            <w:pPr>
              <w:pStyle w:val="DCSbodytext"/>
              <w:numPr>
                <w:ilvl w:val="0"/>
                <w:numId w:val="167"/>
              </w:numPr>
              <w:rPr>
                <w:rFonts w:cs="Arial"/>
              </w:rPr>
            </w:pPr>
            <w:r w:rsidRPr="00ED2279">
              <w:rPr>
                <w:rFonts w:cs="Arial"/>
                <w:color w:val="000000"/>
              </w:rPr>
              <w:t>low power GPS tracking of livestock.</w:t>
            </w:r>
          </w:p>
          <w:p w14:paraId="570BEC52" w14:textId="11888674" w:rsidR="00C6636E" w:rsidRPr="00ED2279" w:rsidRDefault="00C6636E" w:rsidP="004A29F0">
            <w:pPr>
              <w:pStyle w:val="DCSbodytext"/>
              <w:ind w:left="0"/>
              <w:rPr>
                <w:rFonts w:eastAsia="Calibri" w:cs="Arial"/>
              </w:rPr>
            </w:pPr>
            <w:r w:rsidRPr="00ED2279">
              <w:rPr>
                <w:rFonts w:eastAsia="Calibri" w:cs="Arial"/>
              </w:rPr>
              <w:t xml:space="preserve">The program commenced with a pilot to deploy IoT connectivity to six sites to test the technology and identify user needs for adoption. </w:t>
            </w:r>
            <w:r w:rsidR="008E6C90" w:rsidRPr="00ED2279">
              <w:rPr>
                <w:rFonts w:eastAsia="Calibri" w:cs="Arial"/>
              </w:rPr>
              <w:t>As at January 2020</w:t>
            </w:r>
            <w:r w:rsidRPr="00ED2279">
              <w:rPr>
                <w:rFonts w:eastAsia="Calibri" w:cs="Arial"/>
              </w:rPr>
              <w:t>, 11 sites including Orange, Wagga Wagga, Tamworth and Griffith have IoT connectivity deployed, with the focus now shifting to DPI’s remaining sites, and initiatives to accelerate capability, adoption and research impact.</w:t>
            </w:r>
          </w:p>
          <w:p w14:paraId="7201EBBF" w14:textId="77777777" w:rsidR="001138AC" w:rsidRPr="00ED2279" w:rsidRDefault="00212946" w:rsidP="004A29F0">
            <w:pPr>
              <w:pStyle w:val="DCSbodytext"/>
              <w:ind w:left="0"/>
              <w:rPr>
                <w:rFonts w:cs="Arial"/>
              </w:rPr>
            </w:pPr>
            <w:r w:rsidRPr="00ED2279">
              <w:rPr>
                <w:rFonts w:cs="Arial"/>
              </w:rPr>
              <w:t xml:space="preserve">The </w:t>
            </w:r>
            <w:r w:rsidR="00915C24" w:rsidRPr="00ED2279">
              <w:rPr>
                <w:rFonts w:cs="Arial"/>
              </w:rPr>
              <w:t>pilot has</w:t>
            </w:r>
            <w:r w:rsidR="002B66C4" w:rsidRPr="00ED2279">
              <w:rPr>
                <w:rFonts w:cs="Arial"/>
              </w:rPr>
              <w:t xml:space="preserve"> enabled DPI researchers to easily and remotely capture, store and analyse on-field data to make more efficient and data driven scientific decisions. This led to improved research outcomes and impact, and more effective farm management.</w:t>
            </w:r>
            <w:r w:rsidRPr="00ED2279">
              <w:rPr>
                <w:rFonts w:cs="Arial"/>
              </w:rPr>
              <w:t xml:space="preserve"> </w:t>
            </w:r>
          </w:p>
          <w:p w14:paraId="066F8FA2" w14:textId="4EBE052F" w:rsidR="00212946" w:rsidRPr="00ED2279" w:rsidRDefault="00212946" w:rsidP="004A29F0">
            <w:pPr>
              <w:pStyle w:val="DCSbodytext"/>
              <w:ind w:left="0"/>
              <w:rPr>
                <w:rFonts w:cs="Arial"/>
              </w:rPr>
            </w:pPr>
            <w:r w:rsidRPr="00ED2279">
              <w:rPr>
                <w:rFonts w:cs="Arial"/>
              </w:rPr>
              <w:t xml:space="preserve">The pilots </w:t>
            </w:r>
            <w:r w:rsidR="001138AC" w:rsidRPr="00ED2279">
              <w:rPr>
                <w:rFonts w:cs="Arial"/>
              </w:rPr>
              <w:t xml:space="preserve">also </w:t>
            </w:r>
            <w:r w:rsidRPr="00ED2279">
              <w:rPr>
                <w:rFonts w:cs="Arial"/>
              </w:rPr>
              <w:t>seek to improve digital capability in primary industries by delivering training to local tech developers, universities, business suppliers and IT businesses, with a focus on climate adaptability and resilience. </w:t>
            </w:r>
          </w:p>
          <w:p w14:paraId="00E5F75F" w14:textId="68DDF9E6" w:rsidR="00212946" w:rsidRPr="00ED2279" w:rsidRDefault="00212946" w:rsidP="00024EE4">
            <w:pPr>
              <w:pStyle w:val="DCSbodytext"/>
              <w:ind w:left="0"/>
            </w:pPr>
            <w:r w:rsidRPr="00ED2279">
              <w:rPr>
                <w:rFonts w:cs="Arial"/>
              </w:rPr>
              <w:lastRenderedPageBreak/>
              <w:t xml:space="preserve">DPI's IoT trials have delivered valuable insights around the complexity of the technology, gaps in technical skills of users and evidence of unclear or inconsistent value propositions for </w:t>
            </w:r>
            <w:r w:rsidR="00DF07FD" w:rsidRPr="00ED2279">
              <w:rPr>
                <w:rFonts w:cs="Arial"/>
              </w:rPr>
              <w:t>broad-</w:t>
            </w:r>
            <w:r w:rsidRPr="00ED2279">
              <w:rPr>
                <w:rFonts w:cs="Arial"/>
              </w:rPr>
              <w:t>scale primary industries adoption. </w:t>
            </w:r>
          </w:p>
        </w:tc>
      </w:tr>
    </w:tbl>
    <w:p w14:paraId="0585C5E7" w14:textId="51F1E5EF" w:rsidR="00D318AC" w:rsidRPr="00ED2279" w:rsidRDefault="00B67BB5" w:rsidP="00FE62A6">
      <w:pPr>
        <w:pStyle w:val="DCSbodytext"/>
        <w:spacing w:before="240"/>
        <w:ind w:left="3600"/>
        <w:rPr>
          <w:b/>
        </w:rPr>
      </w:pPr>
      <w:bookmarkStart w:id="116" w:name="_Case_Study_–"/>
      <w:bookmarkEnd w:id="116"/>
      <w:r w:rsidRPr="00ED2279">
        <w:rPr>
          <w:b/>
        </w:rPr>
        <w:lastRenderedPageBreak/>
        <w:t xml:space="preserve">Using IoT </w:t>
      </w:r>
      <w:r w:rsidR="002822A7" w:rsidRPr="00ED2279">
        <w:rPr>
          <w:b/>
        </w:rPr>
        <w:t xml:space="preserve">for </w:t>
      </w:r>
      <w:r w:rsidR="006B4FD7" w:rsidRPr="00ED2279">
        <w:rPr>
          <w:b/>
        </w:rPr>
        <w:t>G</w:t>
      </w:r>
      <w:r w:rsidR="002822A7" w:rsidRPr="00ED2279">
        <w:rPr>
          <w:b/>
        </w:rPr>
        <w:t xml:space="preserve">reen </w:t>
      </w:r>
      <w:r w:rsidR="006B4FD7" w:rsidRPr="00ED2279">
        <w:rPr>
          <w:b/>
        </w:rPr>
        <w:t>Infrastructure</w:t>
      </w:r>
    </w:p>
    <w:p w14:paraId="6DFC579E" w14:textId="2D66BF69" w:rsidR="006B4FD7" w:rsidRPr="00ED2279" w:rsidRDefault="006B4FD7" w:rsidP="006B4FD7">
      <w:pPr>
        <w:pStyle w:val="DCSbodytext"/>
      </w:pPr>
      <w:r w:rsidRPr="00ED2279">
        <w:t>Green infrastructure is the network of green spaces, natural and semi-natural systems in place to support a good quality of life for communities in the urban environment. Such infrastructure includes waterways, bushland, tree canopy</w:t>
      </w:r>
      <w:r w:rsidR="004A29F0" w:rsidRPr="00ED2279">
        <w:t>,</w:t>
      </w:r>
      <w:r w:rsidRPr="00ED2279">
        <w:t xml:space="preserve"> green ground cover, parks and open spaces. </w:t>
      </w:r>
    </w:p>
    <w:p w14:paraId="2DC07EAA" w14:textId="6AB642CD" w:rsidR="006B4FD7" w:rsidRPr="00ED2279" w:rsidRDefault="00A31BBB" w:rsidP="00FE62A6">
      <w:pPr>
        <w:pStyle w:val="DCSbodytext"/>
        <w:rPr>
          <w:szCs w:val="22"/>
        </w:rPr>
      </w:pPr>
      <w:r w:rsidRPr="00ED2279">
        <w:t xml:space="preserve">IoT </w:t>
      </w:r>
      <w:r w:rsidR="006B4FD7" w:rsidRPr="00ED2279">
        <w:t>can be used in green infrastructure to:</w:t>
      </w:r>
    </w:p>
    <w:p w14:paraId="4CC81A32" w14:textId="4985DAFB" w:rsidR="006B4FD7" w:rsidRPr="00ED2279" w:rsidRDefault="00BC4BD4" w:rsidP="00B6049A">
      <w:pPr>
        <w:pStyle w:val="DCSbodytext"/>
        <w:numPr>
          <w:ilvl w:val="0"/>
          <w:numId w:val="114"/>
        </w:numPr>
        <w:spacing w:after="120"/>
      </w:pPr>
      <w:r w:rsidRPr="00ED2279">
        <w:t>c</w:t>
      </w:r>
      <w:r w:rsidR="006B4FD7" w:rsidRPr="00ED2279">
        <w:t>apture data on localised temperature, humidity and air quality and visibility to support proactive measures to protect people’s health and safety while enjoying green open spaces.</w:t>
      </w:r>
    </w:p>
    <w:p w14:paraId="33A1D338" w14:textId="37C991B8" w:rsidR="006B4FD7" w:rsidRPr="00ED2279" w:rsidRDefault="00611560" w:rsidP="00B6049A">
      <w:pPr>
        <w:pStyle w:val="DCSbodytext"/>
        <w:numPr>
          <w:ilvl w:val="0"/>
          <w:numId w:val="114"/>
        </w:numPr>
        <w:spacing w:after="120"/>
      </w:pPr>
      <w:r w:rsidRPr="00ED2279">
        <w:t>a</w:t>
      </w:r>
      <w:r w:rsidR="00081C38" w:rsidRPr="00ED2279">
        <w:t>ggregate and analyse e</w:t>
      </w:r>
      <w:r w:rsidR="006B4FD7" w:rsidRPr="00ED2279">
        <w:t>nvironmental data from IoT devices to provide real time insights on the environment to drive biodiversity and sustainability outcomes. Examples include tree health, soil moisture, water and air pollution levels, urban heat, threatened species monitoring</w:t>
      </w:r>
      <w:r w:rsidR="00081C38" w:rsidRPr="00ED2279">
        <w:t xml:space="preserve"> and</w:t>
      </w:r>
      <w:r w:rsidR="006B4FD7" w:rsidRPr="00ED2279">
        <w:t xml:space="preserve"> irrigation management.</w:t>
      </w:r>
    </w:p>
    <w:p w14:paraId="6230EA20" w14:textId="02E6D07E" w:rsidR="006B4FD7" w:rsidRPr="00ED2279" w:rsidRDefault="004D3588" w:rsidP="00B6049A">
      <w:pPr>
        <w:pStyle w:val="DCSbodytext"/>
        <w:numPr>
          <w:ilvl w:val="0"/>
          <w:numId w:val="114"/>
        </w:numPr>
        <w:spacing w:after="120"/>
      </w:pPr>
      <w:r w:rsidRPr="00ED2279">
        <w:t>provide w</w:t>
      </w:r>
      <w:r w:rsidR="006B4FD7" w:rsidRPr="00ED2279">
        <w:t xml:space="preserve">ater monitoring IoT solutions </w:t>
      </w:r>
      <w:r w:rsidR="006326BF" w:rsidRPr="00ED2279">
        <w:t>that</w:t>
      </w:r>
      <w:r w:rsidR="006B4FD7" w:rsidRPr="00ED2279">
        <w:t xml:space="preserve"> support water asset maintenance, contributing to water efficiency and waterway health.  </w:t>
      </w:r>
    </w:p>
    <w:p w14:paraId="72A202B7" w14:textId="7186F7D3" w:rsidR="004F7865" w:rsidRPr="00E46FB0" w:rsidRDefault="00E52DCB" w:rsidP="00D318AC">
      <w:pPr>
        <w:pStyle w:val="DCSbodytext"/>
        <w:spacing w:before="240"/>
        <w:rPr>
          <w:b/>
        </w:rPr>
      </w:pPr>
      <w:r w:rsidRPr="00E46FB0">
        <w:rPr>
          <w:b/>
          <w:noProof/>
        </w:rPr>
        <mc:AlternateContent>
          <mc:Choice Requires="wps">
            <w:drawing>
              <wp:anchor distT="0" distB="0" distL="114300" distR="114300" simplePos="0" relativeHeight="251658274" behindDoc="0" locked="0" layoutInCell="1" allowOverlap="1" wp14:anchorId="54622DD0" wp14:editId="078098BF">
                <wp:simplePos x="0" y="0"/>
                <wp:positionH relativeFrom="column">
                  <wp:posOffset>208280</wp:posOffset>
                </wp:positionH>
                <wp:positionV relativeFrom="paragraph">
                  <wp:posOffset>130810</wp:posOffset>
                </wp:positionV>
                <wp:extent cx="5961987" cy="3460474"/>
                <wp:effectExtent l="57150" t="38100" r="77470" b="102235"/>
                <wp:wrapNone/>
                <wp:docPr id="40" name="Rectangle 40"/>
                <wp:cNvGraphicFramePr/>
                <a:graphic xmlns:a="http://schemas.openxmlformats.org/drawingml/2006/main">
                  <a:graphicData uri="http://schemas.microsoft.com/office/word/2010/wordprocessingShape">
                    <wps:wsp>
                      <wps:cNvSpPr/>
                      <wps:spPr>
                        <a:xfrm>
                          <a:off x="0" y="0"/>
                          <a:ext cx="5961987" cy="3460474"/>
                        </a:xfrm>
                        <a:prstGeom prst="rect">
                          <a:avLst/>
                        </a:prstGeom>
                        <a:solidFill>
                          <a:schemeClr val="accent1">
                            <a:lumMod val="20000"/>
                            <a:lumOff val="80000"/>
                          </a:schemeClr>
                        </a:solidFill>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3723CF97" w14:textId="323D6C45" w:rsidR="004A5EF4" w:rsidRPr="00CF7945" w:rsidRDefault="004A5EF4" w:rsidP="00AA3FE6">
                            <w:pPr>
                              <w:pStyle w:val="BodyText1"/>
                              <w:spacing w:line="360" w:lineRule="auto"/>
                              <w:jc w:val="center"/>
                              <w:rPr>
                                <w:b/>
                              </w:rPr>
                            </w:pPr>
                            <w:r w:rsidRPr="00AC41E0">
                              <w:rPr>
                                <w:b/>
                              </w:rPr>
                              <w:t>Case Study</w:t>
                            </w:r>
                            <w:r w:rsidRPr="00ED2279">
                              <w:rPr>
                                <w:b/>
                              </w:rPr>
                              <w:t xml:space="preserve"> -</w:t>
                            </w:r>
                            <w:r w:rsidRPr="00CF7945">
                              <w:rPr>
                                <w:b/>
                              </w:rPr>
                              <w:t xml:space="preserve"> Wollondilly Shire Council’s using IoT for a better community experience</w:t>
                            </w:r>
                          </w:p>
                          <w:p w14:paraId="3009D06D" w14:textId="52EBAD91" w:rsidR="00E52DCB" w:rsidRDefault="00896C54" w:rsidP="00E56645">
                            <w:pPr>
                              <w:pStyle w:val="DCSbodytext"/>
                              <w:ind w:left="0"/>
                              <w:rPr>
                                <w:rFonts w:cs="Arial"/>
                                <w:color w:val="000000"/>
                              </w:rPr>
                            </w:pPr>
                            <w:r w:rsidRPr="00CF7945">
                              <w:rPr>
                                <w:rFonts w:cs="Arial"/>
                                <w:color w:val="000000"/>
                              </w:rPr>
                              <w:t>Wollondilly Shire Council sponsored a smart parks project</w:t>
                            </w:r>
                            <w:r>
                              <w:rPr>
                                <w:rFonts w:cs="Arial"/>
                                <w:color w:val="000000"/>
                              </w:rPr>
                              <w:t xml:space="preserve"> from</w:t>
                            </w:r>
                            <w:r w:rsidR="004A5EF4" w:rsidRPr="00CF7945">
                              <w:rPr>
                                <w:rFonts w:cs="Arial"/>
                                <w:color w:val="000000"/>
                              </w:rPr>
                              <w:t xml:space="preserve"> the 2019 Digital Western Parkland City </w:t>
                            </w:r>
                            <w:r w:rsidR="004A5EF4" w:rsidRPr="00CF7945">
                              <w:rPr>
                                <w:rFonts w:cs="Arial"/>
                                <w:color w:val="000000"/>
                              </w:rPr>
                              <w:t>Pitchfest</w:t>
                            </w:r>
                            <w:r w:rsidR="00E52DCB">
                              <w:rPr>
                                <w:rFonts w:cs="Arial"/>
                                <w:color w:val="000000"/>
                              </w:rPr>
                              <w:t>.</w:t>
                            </w:r>
                            <w:r w:rsidR="004A5EF4">
                              <w:rPr>
                                <w:rFonts w:cs="Arial"/>
                                <w:color w:val="000000"/>
                              </w:rPr>
                              <w:t xml:space="preserve"> </w:t>
                            </w:r>
                            <w:r w:rsidR="004A5EF4" w:rsidRPr="00CF7945">
                              <w:rPr>
                                <w:rFonts w:cs="Arial"/>
                                <w:color w:val="000000"/>
                              </w:rPr>
                              <w:t xml:space="preserve">IoT technology </w:t>
                            </w:r>
                            <w:r w:rsidR="004A5EF4">
                              <w:rPr>
                                <w:rFonts w:cs="Arial"/>
                                <w:color w:val="000000"/>
                              </w:rPr>
                              <w:t xml:space="preserve">was trialled </w:t>
                            </w:r>
                            <w:r w:rsidR="004A5EF4" w:rsidRPr="00CF7945">
                              <w:rPr>
                                <w:rFonts w:cs="Arial"/>
                                <w:color w:val="000000"/>
                              </w:rPr>
                              <w:t xml:space="preserve">to </w:t>
                            </w:r>
                            <w:r w:rsidR="004A5EF4">
                              <w:rPr>
                                <w:rFonts w:cs="Arial"/>
                                <w:color w:val="000000"/>
                              </w:rPr>
                              <w:t>improve</w:t>
                            </w:r>
                            <w:r w:rsidR="004A5EF4" w:rsidRPr="00CF7945">
                              <w:rPr>
                                <w:rFonts w:cs="Arial"/>
                                <w:color w:val="000000"/>
                              </w:rPr>
                              <w:t xml:space="preserve"> the </w:t>
                            </w:r>
                            <w:r w:rsidR="004A5EF4">
                              <w:rPr>
                                <w:rFonts w:cs="Arial"/>
                                <w:color w:val="000000"/>
                              </w:rPr>
                              <w:t xml:space="preserve">community’s </w:t>
                            </w:r>
                            <w:r w:rsidR="004A5EF4" w:rsidRPr="00CF7945">
                              <w:rPr>
                                <w:rFonts w:cs="Arial"/>
                                <w:color w:val="000000"/>
                              </w:rPr>
                              <w:t xml:space="preserve">experience of public open space </w:t>
                            </w:r>
                            <w:r w:rsidR="004A5EF4">
                              <w:rPr>
                                <w:rFonts w:cs="Arial"/>
                                <w:color w:val="000000"/>
                              </w:rPr>
                              <w:t>and operational efficiencies for council maintenance staff</w:t>
                            </w:r>
                            <w:r w:rsidR="004A5EF4" w:rsidRPr="00CF7945">
                              <w:rPr>
                                <w:rFonts w:cs="Arial"/>
                                <w:color w:val="000000"/>
                              </w:rPr>
                              <w:t xml:space="preserve">. </w:t>
                            </w:r>
                          </w:p>
                          <w:p w14:paraId="64BE925D" w14:textId="30E72F2E" w:rsidR="004A5EF4" w:rsidRPr="00CF7945" w:rsidRDefault="004A5EF4" w:rsidP="00E56645">
                            <w:pPr>
                              <w:pStyle w:val="DCSbodytext"/>
                              <w:ind w:left="0"/>
                              <w:rPr>
                                <w:rFonts w:cs="Arial"/>
                                <w:color w:val="000000"/>
                              </w:rPr>
                            </w:pPr>
                            <w:r w:rsidRPr="00CF7945">
                              <w:rPr>
                                <w:rFonts w:cs="Arial"/>
                                <w:color w:val="000000"/>
                              </w:rPr>
                              <w:t>At the time, the Shire had poor mobile and internet connectivity, making it challenging to monitor and maintain council owned public open space. </w:t>
                            </w:r>
                          </w:p>
                          <w:p w14:paraId="7E01E48E" w14:textId="038DC1D7" w:rsidR="004A5EF4" w:rsidRPr="00CF7945" w:rsidRDefault="004A5EF4" w:rsidP="00E56645">
                            <w:pPr>
                              <w:pStyle w:val="DCSbodytext"/>
                              <w:ind w:left="0"/>
                              <w:rPr>
                                <w:rFonts w:cs="Arial"/>
                                <w:color w:val="000000"/>
                              </w:rPr>
                            </w:pPr>
                            <w:r w:rsidRPr="00CF7945">
                              <w:rPr>
                                <w:rFonts w:cs="Arial"/>
                                <w:color w:val="000000"/>
                              </w:rPr>
                              <w:t>Telopea Park in Buxton was chosen as the trial site. Technologies trialled included ‘smart pole’ infrastructure to support Wi-Fi, LoRaWAN and mobile connectivity, and IoT sensors to monitor parking, waste, and BBQ and amenities block usage.</w:t>
                            </w:r>
                          </w:p>
                          <w:p w14:paraId="29AA1592" w14:textId="495B3697" w:rsidR="004A5EF4" w:rsidRPr="00CF7945" w:rsidRDefault="004A5EF4" w:rsidP="00E56645">
                            <w:pPr>
                              <w:pStyle w:val="DCSbodytext"/>
                              <w:ind w:left="0"/>
                              <w:rPr>
                                <w:rFonts w:cs="Arial"/>
                                <w:color w:val="000000"/>
                              </w:rPr>
                            </w:pPr>
                            <w:r w:rsidRPr="00CF7945">
                              <w:rPr>
                                <w:rFonts w:cs="Arial"/>
                                <w:color w:val="000000"/>
                              </w:rPr>
                              <w:t xml:space="preserve">During the height of COVID-19 restrictions, Wollondilly Shire Council </w:t>
                            </w:r>
                            <w:r w:rsidR="00E52DCB">
                              <w:rPr>
                                <w:rFonts w:cs="Arial"/>
                                <w:color w:val="000000"/>
                              </w:rPr>
                              <w:t>used</w:t>
                            </w:r>
                            <w:r w:rsidRPr="00CF7945">
                              <w:rPr>
                                <w:rFonts w:cs="Arial"/>
                                <w:color w:val="000000"/>
                              </w:rPr>
                              <w:t xml:space="preserve"> the IoT network and sensors to monitor park usage to ensure compliance with public social distancing and self-isolation requirements.</w:t>
                            </w:r>
                          </w:p>
                          <w:p w14:paraId="728D658D" w14:textId="77777777" w:rsidR="004A5EF4" w:rsidRDefault="004A5EF4" w:rsidP="00E52D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22DD0" id="Rectangle 40" o:spid="_x0000_s1027" style="position:absolute;left:0;text-align:left;margin-left:16.4pt;margin-top:10.3pt;width:469.45pt;height:27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" fillcolor="#dbe5f1 [660]" strokecolor="black [3213]">
                <v:shadow on="t" color="black" opacity="24903f" origin=",.5" offset="0,.55556mm"/>
                <v:textbox>
                  <w:txbxContent>
                    <w:p w14:paraId="3723CF97" w14:textId="323D6C45" w:rsidR="004A5EF4" w:rsidRPr="00CF7945" w:rsidRDefault="004A5EF4" w:rsidP="00AA3FE6">
                      <w:pPr>
                        <w:pStyle w:val="BodyText1"/>
                        <w:spacing w:line="360" w:lineRule="auto"/>
                        <w:jc w:val="center"/>
                        <w:rPr>
                          <w:b/>
                        </w:rPr>
                      </w:pPr>
                      <w:r w:rsidRPr="00AC41E0">
                        <w:rPr>
                          <w:b/>
                        </w:rPr>
                        <w:t>Case Study</w:t>
                      </w:r>
                      <w:r w:rsidRPr="00ED2279">
                        <w:rPr>
                          <w:b/>
                        </w:rPr>
                        <w:t xml:space="preserve"> -</w:t>
                      </w:r>
                      <w:r w:rsidRPr="00CF7945">
                        <w:rPr>
                          <w:b/>
                        </w:rPr>
                        <w:t xml:space="preserve"> Wollondilly Shire Council’s using IoT for a better community experience</w:t>
                      </w:r>
                    </w:p>
                    <w:p w14:paraId="3009D06D" w14:textId="52EBAD91" w:rsidR="00E52DCB" w:rsidRDefault="00896C54" w:rsidP="00E56645">
                      <w:pPr>
                        <w:pStyle w:val="DCSbodytext"/>
                        <w:ind w:left="0"/>
                        <w:rPr>
                          <w:rFonts w:cs="Arial"/>
                          <w:color w:val="000000"/>
                        </w:rPr>
                      </w:pPr>
                      <w:r w:rsidRPr="00CF7945">
                        <w:rPr>
                          <w:rFonts w:cs="Arial"/>
                          <w:color w:val="000000"/>
                        </w:rPr>
                        <w:t>Wollondilly Shire Council sponsored a smart parks project</w:t>
                      </w:r>
                      <w:r>
                        <w:rPr>
                          <w:rFonts w:cs="Arial"/>
                          <w:color w:val="000000"/>
                        </w:rPr>
                        <w:t xml:space="preserve"> from</w:t>
                      </w:r>
                      <w:r w:rsidR="004A5EF4" w:rsidRPr="00CF7945">
                        <w:rPr>
                          <w:rFonts w:cs="Arial"/>
                          <w:color w:val="000000"/>
                        </w:rPr>
                        <w:t xml:space="preserve"> the 2019 Digital Western Parkland City </w:t>
                      </w:r>
                      <w:r w:rsidR="004A5EF4" w:rsidRPr="00CF7945">
                        <w:rPr>
                          <w:rFonts w:cs="Arial"/>
                          <w:color w:val="000000"/>
                        </w:rPr>
                        <w:t>Pitchfest</w:t>
                      </w:r>
                      <w:r w:rsidR="00E52DCB">
                        <w:rPr>
                          <w:rFonts w:cs="Arial"/>
                          <w:color w:val="000000"/>
                        </w:rPr>
                        <w:t>.</w:t>
                      </w:r>
                      <w:r w:rsidR="004A5EF4">
                        <w:rPr>
                          <w:rFonts w:cs="Arial"/>
                          <w:color w:val="000000"/>
                        </w:rPr>
                        <w:t xml:space="preserve"> </w:t>
                      </w:r>
                      <w:r w:rsidR="004A5EF4" w:rsidRPr="00CF7945">
                        <w:rPr>
                          <w:rFonts w:cs="Arial"/>
                          <w:color w:val="000000"/>
                        </w:rPr>
                        <w:t xml:space="preserve">IoT technology </w:t>
                      </w:r>
                      <w:r w:rsidR="004A5EF4">
                        <w:rPr>
                          <w:rFonts w:cs="Arial"/>
                          <w:color w:val="000000"/>
                        </w:rPr>
                        <w:t xml:space="preserve">was trialled </w:t>
                      </w:r>
                      <w:r w:rsidR="004A5EF4" w:rsidRPr="00CF7945">
                        <w:rPr>
                          <w:rFonts w:cs="Arial"/>
                          <w:color w:val="000000"/>
                        </w:rPr>
                        <w:t xml:space="preserve">to </w:t>
                      </w:r>
                      <w:r w:rsidR="004A5EF4">
                        <w:rPr>
                          <w:rFonts w:cs="Arial"/>
                          <w:color w:val="000000"/>
                        </w:rPr>
                        <w:t>improve</w:t>
                      </w:r>
                      <w:r w:rsidR="004A5EF4" w:rsidRPr="00CF7945">
                        <w:rPr>
                          <w:rFonts w:cs="Arial"/>
                          <w:color w:val="000000"/>
                        </w:rPr>
                        <w:t xml:space="preserve"> the </w:t>
                      </w:r>
                      <w:r w:rsidR="004A5EF4">
                        <w:rPr>
                          <w:rFonts w:cs="Arial"/>
                          <w:color w:val="000000"/>
                        </w:rPr>
                        <w:t xml:space="preserve">community’s </w:t>
                      </w:r>
                      <w:r w:rsidR="004A5EF4" w:rsidRPr="00CF7945">
                        <w:rPr>
                          <w:rFonts w:cs="Arial"/>
                          <w:color w:val="000000"/>
                        </w:rPr>
                        <w:t xml:space="preserve">experience of public open space </w:t>
                      </w:r>
                      <w:r w:rsidR="004A5EF4">
                        <w:rPr>
                          <w:rFonts w:cs="Arial"/>
                          <w:color w:val="000000"/>
                        </w:rPr>
                        <w:t>and operational efficiencies for council maintenance staff</w:t>
                      </w:r>
                      <w:r w:rsidR="004A5EF4" w:rsidRPr="00CF7945">
                        <w:rPr>
                          <w:rFonts w:cs="Arial"/>
                          <w:color w:val="000000"/>
                        </w:rPr>
                        <w:t xml:space="preserve">. </w:t>
                      </w:r>
                    </w:p>
                    <w:p w14:paraId="64BE925D" w14:textId="30E72F2E" w:rsidR="004A5EF4" w:rsidRPr="00CF7945" w:rsidRDefault="004A5EF4" w:rsidP="00E56645">
                      <w:pPr>
                        <w:pStyle w:val="DCSbodytext"/>
                        <w:ind w:left="0"/>
                        <w:rPr>
                          <w:rFonts w:cs="Arial"/>
                          <w:color w:val="000000"/>
                        </w:rPr>
                      </w:pPr>
                      <w:r w:rsidRPr="00CF7945">
                        <w:rPr>
                          <w:rFonts w:cs="Arial"/>
                          <w:color w:val="000000"/>
                        </w:rPr>
                        <w:t>At the time, the Shire had poor mobile and internet connectivity, making it challenging to monitor and maintain council owned public open space. </w:t>
                      </w:r>
                    </w:p>
                    <w:p w14:paraId="7E01E48E" w14:textId="038DC1D7" w:rsidR="004A5EF4" w:rsidRPr="00CF7945" w:rsidRDefault="004A5EF4" w:rsidP="00E56645">
                      <w:pPr>
                        <w:pStyle w:val="DCSbodytext"/>
                        <w:ind w:left="0"/>
                        <w:rPr>
                          <w:rFonts w:cs="Arial"/>
                          <w:color w:val="000000"/>
                        </w:rPr>
                      </w:pPr>
                      <w:r w:rsidRPr="00CF7945">
                        <w:rPr>
                          <w:rFonts w:cs="Arial"/>
                          <w:color w:val="000000"/>
                        </w:rPr>
                        <w:t>Telopea Park in Buxton was chosen as the trial site. Technologies trialled included ‘smart pole’ infrastructure to support Wi-Fi, LoRaWAN and mobile connectivity, and IoT sensors to monitor parking, waste, and BBQ and amenities block usage.</w:t>
                      </w:r>
                    </w:p>
                    <w:p w14:paraId="29AA1592" w14:textId="495B3697" w:rsidR="004A5EF4" w:rsidRPr="00CF7945" w:rsidRDefault="004A5EF4" w:rsidP="00E56645">
                      <w:pPr>
                        <w:pStyle w:val="DCSbodytext"/>
                        <w:ind w:left="0"/>
                        <w:rPr>
                          <w:rFonts w:cs="Arial"/>
                          <w:color w:val="000000"/>
                        </w:rPr>
                      </w:pPr>
                      <w:r w:rsidRPr="00CF7945">
                        <w:rPr>
                          <w:rFonts w:cs="Arial"/>
                          <w:color w:val="000000"/>
                        </w:rPr>
                        <w:t xml:space="preserve">During the height of COVID-19 restrictions, Wollondilly Shire Council </w:t>
                      </w:r>
                      <w:r w:rsidR="00E52DCB">
                        <w:rPr>
                          <w:rFonts w:cs="Arial"/>
                          <w:color w:val="000000"/>
                        </w:rPr>
                        <w:t>used</w:t>
                      </w:r>
                      <w:r w:rsidRPr="00CF7945">
                        <w:rPr>
                          <w:rFonts w:cs="Arial"/>
                          <w:color w:val="000000"/>
                        </w:rPr>
                        <w:t xml:space="preserve"> the IoT network and sensors to monitor park usage to ensure compliance with public social distancing and self-isolation requirements.</w:t>
                      </w:r>
                    </w:p>
                    <w:p w14:paraId="728D658D" w14:textId="77777777" w:rsidR="004A5EF4" w:rsidRDefault="004A5EF4" w:rsidP="00E52DCB">
                      <w:pPr>
                        <w:jc w:val="center"/>
                      </w:pPr>
                    </w:p>
                  </w:txbxContent>
                </v:textbox>
              </v:rect>
            </w:pict>
          </mc:Fallback>
        </mc:AlternateContent>
      </w:r>
    </w:p>
    <w:p w14:paraId="1DE55880" w14:textId="77777777" w:rsidR="00CD263F" w:rsidRPr="00ED2279" w:rsidRDefault="00CD263F" w:rsidP="00D318AC">
      <w:pPr>
        <w:pStyle w:val="DCSbodytext"/>
        <w:spacing w:before="240"/>
        <w:rPr>
          <w:b/>
        </w:rPr>
      </w:pPr>
    </w:p>
    <w:p w14:paraId="656663B1" w14:textId="77777777" w:rsidR="00CD263F" w:rsidRPr="00ED2279" w:rsidRDefault="00CD263F" w:rsidP="00D318AC">
      <w:pPr>
        <w:pStyle w:val="DCSbodytext"/>
        <w:spacing w:before="240"/>
        <w:rPr>
          <w:b/>
        </w:rPr>
      </w:pPr>
    </w:p>
    <w:p w14:paraId="13217E2F" w14:textId="6B17F604" w:rsidR="004F7865" w:rsidRPr="00ED2279" w:rsidRDefault="004F7865" w:rsidP="00D318AC">
      <w:pPr>
        <w:pStyle w:val="DCSbodytext"/>
        <w:spacing w:before="240"/>
        <w:rPr>
          <w:b/>
        </w:rPr>
      </w:pPr>
    </w:p>
    <w:p w14:paraId="22B3F14D" w14:textId="24ED24EE" w:rsidR="004F7865" w:rsidRPr="00ED2279" w:rsidRDefault="004F7865" w:rsidP="00D318AC">
      <w:pPr>
        <w:pStyle w:val="DCSbodytext"/>
        <w:spacing w:before="240"/>
        <w:rPr>
          <w:b/>
        </w:rPr>
      </w:pPr>
    </w:p>
    <w:p w14:paraId="73774C37" w14:textId="7093EACF" w:rsidR="004F7865" w:rsidRPr="00ED2279" w:rsidRDefault="004F7865" w:rsidP="00FE62A6">
      <w:pPr>
        <w:pStyle w:val="DCSbodytext"/>
        <w:spacing w:before="240"/>
        <w:rPr>
          <w:b/>
        </w:rPr>
      </w:pPr>
    </w:p>
    <w:p w14:paraId="7A582C86" w14:textId="255D0DF0" w:rsidR="0071720E" w:rsidRPr="00ED2279" w:rsidRDefault="0071720E" w:rsidP="00FE62A6">
      <w:pPr>
        <w:pStyle w:val="xmsonormal"/>
      </w:pPr>
    </w:p>
    <w:p w14:paraId="474D3569" w14:textId="3AE864B1" w:rsidR="008D7D07" w:rsidRPr="00ED2279" w:rsidRDefault="008D7D07" w:rsidP="00110CB8">
      <w:pPr>
        <w:pStyle w:val="DCSbodytext"/>
        <w:spacing w:before="240"/>
        <w:jc w:val="center"/>
        <w:rPr>
          <w:b/>
        </w:rPr>
      </w:pPr>
    </w:p>
    <w:p w14:paraId="375E8B25" w14:textId="1E07F431" w:rsidR="008D7D07" w:rsidRPr="00ED2279" w:rsidRDefault="008D7D07" w:rsidP="00110CB8">
      <w:pPr>
        <w:pStyle w:val="DCSbodytext"/>
        <w:spacing w:before="240"/>
        <w:jc w:val="center"/>
        <w:rPr>
          <w:b/>
        </w:rPr>
      </w:pPr>
    </w:p>
    <w:p w14:paraId="25D538E2" w14:textId="2C4CBDF9" w:rsidR="008D7D07" w:rsidRPr="00ED2279" w:rsidRDefault="008D7D07" w:rsidP="00110CB8">
      <w:pPr>
        <w:pStyle w:val="DCSbodytext"/>
        <w:spacing w:before="240"/>
        <w:jc w:val="center"/>
        <w:rPr>
          <w:b/>
        </w:rPr>
      </w:pPr>
    </w:p>
    <w:p w14:paraId="4E4002D0" w14:textId="5EDD294C" w:rsidR="008D7D07" w:rsidRPr="00ED2279" w:rsidRDefault="008D7D07" w:rsidP="00110CB8">
      <w:pPr>
        <w:pStyle w:val="DCSbodytext"/>
        <w:spacing w:before="240"/>
        <w:jc w:val="center"/>
        <w:rPr>
          <w:b/>
        </w:rPr>
      </w:pPr>
    </w:p>
    <w:p w14:paraId="32EF9FF4" w14:textId="5B6B6AB9" w:rsidR="008D7D07" w:rsidRPr="00ED2279" w:rsidRDefault="008D7D07" w:rsidP="00110CB8">
      <w:pPr>
        <w:pStyle w:val="DCSbodytext"/>
        <w:spacing w:before="240"/>
        <w:jc w:val="center"/>
        <w:rPr>
          <w:b/>
        </w:rPr>
      </w:pPr>
    </w:p>
    <w:p w14:paraId="5F713E81" w14:textId="01F5D406" w:rsidR="00136297" w:rsidRPr="00ED2279" w:rsidRDefault="00136297" w:rsidP="00F116EA">
      <w:pPr>
        <w:pStyle w:val="BodyText"/>
      </w:pPr>
      <w:bookmarkStart w:id="117" w:name="_Toc18073190"/>
      <w:bookmarkStart w:id="118" w:name="_Toc18073361"/>
      <w:bookmarkEnd w:id="117"/>
      <w:bookmarkEnd w:id="118"/>
    </w:p>
    <w:p w14:paraId="4ED3A380" w14:textId="715A24E4" w:rsidR="00F7325D" w:rsidRPr="00E46FB0" w:rsidRDefault="00F7325D" w:rsidP="00F116EA">
      <w:pPr>
        <w:pStyle w:val="BodyText"/>
      </w:pPr>
      <w:bookmarkStart w:id="119" w:name="_Toc65760464"/>
      <w:r w:rsidRPr="00E46FB0">
        <w:rPr>
          <w:b/>
          <w:noProof/>
        </w:rPr>
        <w:lastRenderedPageBreak/>
        <mc:AlternateContent>
          <mc:Choice Requires="wps">
            <w:drawing>
              <wp:anchor distT="0" distB="0" distL="114300" distR="114300" simplePos="0" relativeHeight="251658275" behindDoc="0" locked="0" layoutInCell="1" allowOverlap="1" wp14:anchorId="0052B8B1" wp14:editId="2A4642C7">
                <wp:simplePos x="0" y="0"/>
                <wp:positionH relativeFrom="margin">
                  <wp:align>right</wp:align>
                </wp:positionH>
                <wp:positionV relativeFrom="paragraph">
                  <wp:posOffset>-182245</wp:posOffset>
                </wp:positionV>
                <wp:extent cx="5939266" cy="2727186"/>
                <wp:effectExtent l="57150" t="38100" r="80645" b="92710"/>
                <wp:wrapNone/>
                <wp:docPr id="41" name="Rectangle 41"/>
                <wp:cNvGraphicFramePr/>
                <a:graphic xmlns:a="http://schemas.openxmlformats.org/drawingml/2006/main">
                  <a:graphicData uri="http://schemas.microsoft.com/office/word/2010/wordprocessingShape">
                    <wps:wsp>
                      <wps:cNvSpPr/>
                      <wps:spPr>
                        <a:xfrm>
                          <a:off x="0" y="0"/>
                          <a:ext cx="5939266" cy="2727186"/>
                        </a:xfrm>
                        <a:prstGeom prst="rect">
                          <a:avLst/>
                        </a:prstGeom>
                        <a:solidFill>
                          <a:schemeClr val="accent1">
                            <a:lumMod val="20000"/>
                            <a:lumOff val="80000"/>
                          </a:schemeClr>
                        </a:solidFill>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69004D51" w14:textId="77777777" w:rsidR="004A5EF4" w:rsidRPr="00CF7945" w:rsidRDefault="004A5EF4" w:rsidP="008D7D07">
                            <w:pPr>
                              <w:pStyle w:val="BodyText1"/>
                              <w:spacing w:line="360" w:lineRule="auto"/>
                              <w:jc w:val="center"/>
                              <w:rPr>
                                <w:b/>
                              </w:rPr>
                            </w:pPr>
                            <w:r w:rsidRPr="00ED2279">
                              <w:rPr>
                                <w:b/>
                              </w:rPr>
                              <w:t>Case Study -</w:t>
                            </w:r>
                            <w:r w:rsidRPr="00CF7945">
                              <w:rPr>
                                <w:b/>
                              </w:rPr>
                              <w:t xml:space="preserve"> Liverpool City Council using IoT for environmental care </w:t>
                            </w:r>
                          </w:p>
                          <w:p w14:paraId="4BA30B8B" w14:textId="77777777" w:rsidR="004A5EF4" w:rsidRPr="00CF7945" w:rsidRDefault="004A5EF4" w:rsidP="008D7D07">
                            <w:pPr>
                              <w:pStyle w:val="DCSbodytext"/>
                              <w:ind w:left="0"/>
                              <w:rPr>
                                <w:rFonts w:cs="Arial"/>
                                <w:color w:val="000000"/>
                              </w:rPr>
                            </w:pPr>
                            <w:r w:rsidRPr="00CF7945">
                              <w:rPr>
                                <w:rFonts w:cs="Arial"/>
                                <w:color w:val="000000"/>
                              </w:rPr>
                              <w:t xml:space="preserve">As part of the 2019 Digital Western Parkland City Pitchfest, Liverpool City Council and the Department of Planning, Industry and Environment co-delivered a digital tree register and tree monitoring project in the Casula Parklands. </w:t>
                            </w:r>
                          </w:p>
                          <w:p w14:paraId="48FEBBA5" w14:textId="77777777" w:rsidR="004A5EF4" w:rsidRPr="00556E37" w:rsidRDefault="004A5EF4" w:rsidP="008D7D07">
                            <w:pPr>
                              <w:pStyle w:val="DCSbodytext"/>
                              <w:ind w:left="0"/>
                              <w:rPr>
                                <w:rFonts w:cs="Arial"/>
                                <w:color w:val="000000"/>
                              </w:rPr>
                            </w:pPr>
                            <w:r w:rsidRPr="00CF7945">
                              <w:rPr>
                                <w:rFonts w:cs="Arial"/>
                                <w:color w:val="000000"/>
                              </w:rPr>
                              <w:t xml:space="preserve">IoT sensors were placed in the ground next to 10 trees to monitor soil temperature and humidity. The data captured from these sensors was directed to a dashboard where it was visualised as a traffic light system to indicate when a tree needed watering, accompanied by weather forecasting that included predicted rainfall. </w:t>
                            </w:r>
                          </w:p>
                          <w:p w14:paraId="6F719536" w14:textId="77777777" w:rsidR="004A5EF4" w:rsidRPr="00556E37" w:rsidRDefault="004A5EF4" w:rsidP="008D7D07">
                            <w:pPr>
                              <w:pStyle w:val="DCSbodytext"/>
                              <w:ind w:left="0"/>
                              <w:rPr>
                                <w:rFonts w:cs="Arial"/>
                                <w:color w:val="000000"/>
                              </w:rPr>
                            </w:pPr>
                            <w:r w:rsidRPr="00556E37">
                              <w:rPr>
                                <w:rFonts w:cs="Arial"/>
                                <w:color w:val="000000"/>
                              </w:rPr>
                              <w:t>After the success of the trial, Liverpool City Council is now looking to scale the solution to monitor 245 trees as part of the Liverpool Urban Forest Strategy. The expansion will create individual tree profiles on an open platform to encourage tree care from the community.</w:t>
                            </w:r>
                          </w:p>
                          <w:p w14:paraId="29270F78" w14:textId="77777777" w:rsidR="004A5EF4" w:rsidRDefault="004A5EF4" w:rsidP="00E52D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2B8B1" id="Rectangle 41" o:spid="_x0000_s1028" style="position:absolute;left:0;text-align:left;margin-left:416.45pt;margin-top:-14.35pt;width:467.65pt;height:214.75pt;z-index:25165827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" fillcolor="#dbe5f1 [660]" strokecolor="black [3213]">
                <v:shadow on="t" color="black" opacity="24903f" origin=",.5" offset="0,.55556mm"/>
                <v:textbox>
                  <w:txbxContent>
                    <w:p w14:paraId="69004D51" w14:textId="77777777" w:rsidR="004A5EF4" w:rsidRPr="00CF7945" w:rsidRDefault="004A5EF4" w:rsidP="008D7D07">
                      <w:pPr>
                        <w:pStyle w:val="BodyText1"/>
                        <w:spacing w:line="360" w:lineRule="auto"/>
                        <w:jc w:val="center"/>
                        <w:rPr>
                          <w:b/>
                        </w:rPr>
                      </w:pPr>
                      <w:r w:rsidRPr="00ED2279">
                        <w:rPr>
                          <w:b/>
                        </w:rPr>
                        <w:t>Case Study -</w:t>
                      </w:r>
                      <w:r w:rsidRPr="00CF7945">
                        <w:rPr>
                          <w:b/>
                        </w:rPr>
                        <w:t xml:space="preserve"> Liverpool City Council using IoT for environmental care </w:t>
                      </w:r>
                    </w:p>
                    <w:p w14:paraId="4BA30B8B" w14:textId="77777777" w:rsidR="004A5EF4" w:rsidRPr="00CF7945" w:rsidRDefault="004A5EF4" w:rsidP="008D7D07">
                      <w:pPr>
                        <w:pStyle w:val="DCSbodytext"/>
                        <w:ind w:left="0"/>
                        <w:rPr>
                          <w:rFonts w:cs="Arial"/>
                          <w:color w:val="000000"/>
                        </w:rPr>
                      </w:pPr>
                      <w:r w:rsidRPr="00CF7945">
                        <w:rPr>
                          <w:rFonts w:cs="Arial"/>
                          <w:color w:val="000000"/>
                        </w:rPr>
                        <w:t xml:space="preserve">As part of the 2019 Digital Western Parkland City Pitchfest, Liverpool City Council and the Department of Planning, Industry and Environment co-delivered a digital tree register and tree monitoring project in the Casula Parklands. </w:t>
                      </w:r>
                    </w:p>
                    <w:p w14:paraId="48FEBBA5" w14:textId="77777777" w:rsidR="004A5EF4" w:rsidRPr="00556E37" w:rsidRDefault="004A5EF4" w:rsidP="008D7D07">
                      <w:pPr>
                        <w:pStyle w:val="DCSbodytext"/>
                        <w:ind w:left="0"/>
                        <w:rPr>
                          <w:rFonts w:cs="Arial"/>
                          <w:color w:val="000000"/>
                        </w:rPr>
                      </w:pPr>
                      <w:r w:rsidRPr="00CF7945">
                        <w:rPr>
                          <w:rFonts w:cs="Arial"/>
                          <w:color w:val="000000"/>
                        </w:rPr>
                        <w:t xml:space="preserve">IoT sensors were placed in the ground next to 10 trees to monitor soil temperature and humidity. The data captured from these sensors was directed to a dashboard where it was visualised as a traffic light system to indicate when a tree needed watering, accompanied by weather forecasting that included predicted rainfall. </w:t>
                      </w:r>
                    </w:p>
                    <w:p w14:paraId="6F719536" w14:textId="77777777" w:rsidR="004A5EF4" w:rsidRPr="00556E37" w:rsidRDefault="004A5EF4" w:rsidP="008D7D07">
                      <w:pPr>
                        <w:pStyle w:val="DCSbodytext"/>
                        <w:ind w:left="0"/>
                        <w:rPr>
                          <w:rFonts w:cs="Arial"/>
                          <w:color w:val="000000"/>
                        </w:rPr>
                      </w:pPr>
                      <w:r w:rsidRPr="00556E37">
                        <w:rPr>
                          <w:rFonts w:cs="Arial"/>
                          <w:color w:val="000000"/>
                        </w:rPr>
                        <w:t>After the success of the trial, Liverpool City Council is now looking to scale the solution to monitor 245 trees as part of the Liverpool Urban Forest Strategy. The expansion will create individual tree profiles on an open platform to encourage tree care from the community.</w:t>
                      </w:r>
                    </w:p>
                    <w:p w14:paraId="29270F78" w14:textId="77777777" w:rsidR="004A5EF4" w:rsidRDefault="004A5EF4" w:rsidP="00E52DCB">
                      <w:pPr>
                        <w:jc w:val="center"/>
                      </w:pPr>
                    </w:p>
                  </w:txbxContent>
                </v:textbox>
                <w10:wrap anchorx="margin"/>
              </v:rect>
            </w:pict>
          </mc:Fallback>
        </mc:AlternateContent>
      </w:r>
    </w:p>
    <w:p w14:paraId="785929DE" w14:textId="4483B317" w:rsidR="00F7325D" w:rsidRPr="00ED2279" w:rsidRDefault="00F7325D" w:rsidP="00F116EA">
      <w:pPr>
        <w:pStyle w:val="BodyText"/>
      </w:pPr>
    </w:p>
    <w:p w14:paraId="0B7A5EBD" w14:textId="7A2A3C7F" w:rsidR="00F7325D" w:rsidRPr="00ED2279" w:rsidRDefault="00F7325D" w:rsidP="00F116EA">
      <w:pPr>
        <w:pStyle w:val="BodyText"/>
      </w:pPr>
    </w:p>
    <w:p w14:paraId="0C7A5BC8" w14:textId="12326576" w:rsidR="00F7325D" w:rsidRPr="00ED2279" w:rsidRDefault="00F7325D" w:rsidP="00F116EA">
      <w:pPr>
        <w:pStyle w:val="BodyText"/>
      </w:pPr>
    </w:p>
    <w:p w14:paraId="326B1837" w14:textId="1DCCE912" w:rsidR="00F7325D" w:rsidRPr="00ED2279" w:rsidRDefault="00F7325D" w:rsidP="00F116EA">
      <w:pPr>
        <w:pStyle w:val="BodyText"/>
      </w:pPr>
    </w:p>
    <w:p w14:paraId="0C787A65" w14:textId="6979F18B" w:rsidR="00F7325D" w:rsidRPr="00ED2279" w:rsidRDefault="00F7325D" w:rsidP="00F116EA">
      <w:pPr>
        <w:pStyle w:val="BodyText"/>
      </w:pPr>
    </w:p>
    <w:p w14:paraId="06345B55" w14:textId="264AA083" w:rsidR="00F7325D" w:rsidRPr="00ED2279" w:rsidRDefault="00F7325D" w:rsidP="00F116EA">
      <w:pPr>
        <w:pStyle w:val="BodyText"/>
      </w:pPr>
    </w:p>
    <w:p w14:paraId="644FA4AC" w14:textId="3BAA6CAB" w:rsidR="00F7325D" w:rsidRPr="00ED2279" w:rsidRDefault="00F7325D" w:rsidP="00F116EA">
      <w:pPr>
        <w:pStyle w:val="BodyText"/>
      </w:pPr>
    </w:p>
    <w:p w14:paraId="1417B8BC" w14:textId="77777777" w:rsidR="00F7325D" w:rsidRPr="00ED2279" w:rsidRDefault="00F7325D" w:rsidP="00F116EA">
      <w:pPr>
        <w:pStyle w:val="BodyText"/>
      </w:pPr>
    </w:p>
    <w:p w14:paraId="4B403BE3" w14:textId="2A1E8ED4" w:rsidR="00553B84" w:rsidRPr="00ED2279" w:rsidRDefault="00553B84" w:rsidP="00765F56">
      <w:pPr>
        <w:pStyle w:val="Heading3"/>
      </w:pPr>
      <w:r w:rsidRPr="00ED2279">
        <w:t>The IoT ecosyst</w:t>
      </w:r>
      <w:r w:rsidR="00212946" w:rsidRPr="00ED2279">
        <w:t>e</w:t>
      </w:r>
      <w:r w:rsidRPr="00ED2279">
        <w:t>m</w:t>
      </w:r>
      <w:bookmarkEnd w:id="119"/>
    </w:p>
    <w:p w14:paraId="762AD7B7" w14:textId="1CD675E5" w:rsidR="00A24959" w:rsidRPr="00ED2279" w:rsidRDefault="009041E8" w:rsidP="00A24959">
      <w:pPr>
        <w:pStyle w:val="DCSbodytext"/>
      </w:pPr>
      <w:bookmarkStart w:id="120" w:name="_Toc18073191"/>
      <w:bookmarkStart w:id="121" w:name="_Toc18073362"/>
      <w:bookmarkStart w:id="122" w:name="_Toc18073533"/>
      <w:bookmarkStart w:id="123" w:name="_Toc18073192"/>
      <w:bookmarkStart w:id="124" w:name="_Toc18073363"/>
      <w:bookmarkStart w:id="125" w:name="_Toc18073534"/>
      <w:bookmarkStart w:id="126" w:name="_Toc18073535"/>
      <w:bookmarkEnd w:id="120"/>
      <w:bookmarkEnd w:id="121"/>
      <w:bookmarkEnd w:id="122"/>
      <w:bookmarkEnd w:id="123"/>
      <w:bookmarkEnd w:id="124"/>
      <w:bookmarkEnd w:id="125"/>
      <w:bookmarkEnd w:id="126"/>
      <w:r w:rsidRPr="00ED2279">
        <w:t xml:space="preserve">It is easy to </w:t>
      </w:r>
      <w:r w:rsidR="00555B73" w:rsidRPr="00ED2279">
        <w:t>focus on</w:t>
      </w:r>
      <w:r w:rsidR="001D3EC2" w:rsidRPr="00ED2279">
        <w:t xml:space="preserve"> the</w:t>
      </w:r>
      <w:r w:rsidRPr="00ED2279">
        <w:t xml:space="preserve"> physical device w</w:t>
      </w:r>
      <w:r w:rsidR="00A24959" w:rsidRPr="00ED2279">
        <w:t xml:space="preserve">hen </w:t>
      </w:r>
      <w:r w:rsidR="00FF5E3F" w:rsidRPr="00ED2279">
        <w:t>thinking</w:t>
      </w:r>
      <w:r w:rsidR="00A24959" w:rsidRPr="00ED2279">
        <w:t xml:space="preserve"> </w:t>
      </w:r>
      <w:r w:rsidR="00EB0AFD" w:rsidRPr="00ED2279">
        <w:t>about</w:t>
      </w:r>
      <w:r w:rsidR="00A24959" w:rsidRPr="00ED2279">
        <w:t xml:space="preserve"> IoT</w:t>
      </w:r>
      <w:r w:rsidR="00FF5E3F" w:rsidRPr="00ED2279">
        <w:t>. H</w:t>
      </w:r>
      <w:r w:rsidR="00A24959" w:rsidRPr="00ED2279">
        <w:t>owever</w:t>
      </w:r>
      <w:r w:rsidR="00EB0AFD" w:rsidRPr="00ED2279">
        <w:t>,</w:t>
      </w:r>
      <w:r w:rsidR="00A24959" w:rsidRPr="00ED2279">
        <w:t xml:space="preserve"> this is just one element of the IoT ecosystem. </w:t>
      </w:r>
      <w:r w:rsidR="00FF5E3F" w:rsidRPr="00ED2279">
        <w:t>Like</w:t>
      </w:r>
      <w:r w:rsidR="00A24959" w:rsidRPr="00ED2279">
        <w:t xml:space="preserve"> the human body, no single IoT device or network can function alone </w:t>
      </w:r>
      <w:r w:rsidR="00FF5E3F" w:rsidRPr="00ED2279">
        <w:t xml:space="preserve">as </w:t>
      </w:r>
      <w:r w:rsidR="00A24959" w:rsidRPr="00ED2279">
        <w:t xml:space="preserve">each component </w:t>
      </w:r>
      <w:r w:rsidR="00FF5E3F" w:rsidRPr="00ED2279">
        <w:t xml:space="preserve">plays </w:t>
      </w:r>
      <w:r w:rsidR="00A24959" w:rsidRPr="00ED2279">
        <w:t>a</w:t>
      </w:r>
      <w:r w:rsidR="00FF5E3F" w:rsidRPr="00ED2279">
        <w:t xml:space="preserve">n interconnected </w:t>
      </w:r>
      <w:r w:rsidR="00A24959" w:rsidRPr="00ED2279">
        <w:t>role</w:t>
      </w:r>
      <w:r w:rsidR="00EB0AFD" w:rsidRPr="00ED2279">
        <w:t xml:space="preserve"> within the IoT ecosystem</w:t>
      </w:r>
      <w:r w:rsidR="00A24959" w:rsidRPr="00ED2279">
        <w:t>. Broadly, an IoT ecosystem includes:</w:t>
      </w:r>
    </w:p>
    <w:p w14:paraId="015CB194" w14:textId="5AB883DF" w:rsidR="00A24959" w:rsidRPr="00ED2279" w:rsidRDefault="00A24959" w:rsidP="00A24959">
      <w:pPr>
        <w:pStyle w:val="DCSbodytext"/>
      </w:pPr>
      <w:r w:rsidRPr="00ED2279">
        <w:rPr>
          <w:i/>
        </w:rPr>
        <w:t>Things</w:t>
      </w:r>
      <w:r w:rsidR="005F24C5" w:rsidRPr="00ED2279">
        <w:rPr>
          <w:i/>
        </w:rPr>
        <w:t xml:space="preserve">: </w:t>
      </w:r>
      <w:r w:rsidR="005F24C5" w:rsidRPr="00ED2279">
        <w:t>M</w:t>
      </w:r>
      <w:r w:rsidRPr="00ED2279">
        <w:t>achines, equipment, devices and other physical assets to which IoT hardware is applied, allowing them to sense and affect the surrounding physical environment, receive and transfer data and interact with control units and other enabled things</w:t>
      </w:r>
      <w:r w:rsidR="003F4DEC" w:rsidRPr="00ED2279">
        <w:t>.</w:t>
      </w:r>
    </w:p>
    <w:p w14:paraId="5C1537FB" w14:textId="515BDF27" w:rsidR="00A24959" w:rsidRPr="00ED2279" w:rsidRDefault="00A24959" w:rsidP="00A24959">
      <w:pPr>
        <w:pStyle w:val="DCSbodytext"/>
      </w:pPr>
      <w:r w:rsidRPr="00ED2279">
        <w:rPr>
          <w:i/>
        </w:rPr>
        <w:t>IoT hardware</w:t>
      </w:r>
      <w:r w:rsidR="00AD4FF9" w:rsidRPr="00ED2279">
        <w:rPr>
          <w:i/>
        </w:rPr>
        <w:t>:</w:t>
      </w:r>
      <w:r w:rsidR="00AD4FF9" w:rsidRPr="00ED2279">
        <w:t xml:space="preserve"> S</w:t>
      </w:r>
      <w:r w:rsidRPr="00ED2279">
        <w:t>ensors, actuators, instruments and other components that capture and relay contextual information and real-world data and enable the ‘thing’ to communicate with its environment</w:t>
      </w:r>
      <w:r w:rsidR="001A114F" w:rsidRPr="00ED2279">
        <w:t>.</w:t>
      </w:r>
    </w:p>
    <w:p w14:paraId="35118163" w14:textId="15B8791D" w:rsidR="00A24959" w:rsidRPr="00ED2279" w:rsidRDefault="00A24959" w:rsidP="00523D7E">
      <w:pPr>
        <w:pStyle w:val="DCSbodytext"/>
      </w:pPr>
      <w:r w:rsidRPr="00ED2279">
        <w:rPr>
          <w:i/>
        </w:rPr>
        <w:t>IoT backbone</w:t>
      </w:r>
      <w:r w:rsidR="00AD4FF9" w:rsidRPr="00ED2279">
        <w:rPr>
          <w:i/>
        </w:rPr>
        <w:t>:</w:t>
      </w:r>
      <w:r w:rsidR="00AD4FF9" w:rsidRPr="00ED2279">
        <w:t xml:space="preserve"> </w:t>
      </w:r>
      <w:r w:rsidR="00985C76" w:rsidRPr="00ED2279">
        <w:t>The c</w:t>
      </w:r>
      <w:r w:rsidRPr="00ED2279">
        <w:t>apture and storage of the raw data received from the connected ‘things’, and the processing, storage (cloud, servers, data centres) and management of this data</w:t>
      </w:r>
      <w:r w:rsidR="005045FB" w:rsidRPr="00ED2279">
        <w:t>.</w:t>
      </w:r>
    </w:p>
    <w:p w14:paraId="7B9D72CD" w14:textId="6EAF8296" w:rsidR="00A24959" w:rsidRPr="00ED2279" w:rsidRDefault="00A24959" w:rsidP="00495BE2">
      <w:pPr>
        <w:pStyle w:val="DCSbodytext"/>
        <w:spacing w:after="120"/>
      </w:pPr>
      <w:r w:rsidRPr="00ED2279">
        <w:rPr>
          <w:i/>
        </w:rPr>
        <w:t>Communication and network</w:t>
      </w:r>
      <w:r w:rsidR="00AD4FF9" w:rsidRPr="00ED2279">
        <w:t>:</w:t>
      </w:r>
      <w:r w:rsidRPr="00ED2279">
        <w:t xml:space="preserve"> network hardware, software, protocols and services that connect IoT hardware to the internet</w:t>
      </w:r>
      <w:r w:rsidR="00A82614" w:rsidRPr="00ED2279">
        <w:t>, w</w:t>
      </w:r>
      <w:r w:rsidRPr="00ED2279">
        <w:t>hether that is:</w:t>
      </w:r>
    </w:p>
    <w:p w14:paraId="2D699258" w14:textId="42871993" w:rsidR="00F63D53" w:rsidRPr="00ED2279" w:rsidRDefault="002B7ED4" w:rsidP="00003096">
      <w:pPr>
        <w:pStyle w:val="DCSbodytext"/>
        <w:numPr>
          <w:ilvl w:val="0"/>
          <w:numId w:val="115"/>
        </w:numPr>
        <w:spacing w:after="120"/>
      </w:pPr>
      <w:r w:rsidRPr="00ED2279">
        <w:t>B</w:t>
      </w:r>
      <w:r w:rsidR="00A24959" w:rsidRPr="00ED2279">
        <w:t>ackhaul connectivity</w:t>
      </w:r>
      <w:r w:rsidR="00A82614" w:rsidRPr="00ED2279">
        <w:t xml:space="preserve">: </w:t>
      </w:r>
      <w:r w:rsidR="00A24959" w:rsidRPr="00ED2279">
        <w:t>long-haul communications</w:t>
      </w:r>
      <w:r w:rsidR="00A82614" w:rsidRPr="00ED2279">
        <w:t xml:space="preserve">; </w:t>
      </w:r>
      <w:r w:rsidR="00A24959" w:rsidRPr="00ED2279">
        <w:t>GPS, cable, LPWANs, cellular</w:t>
      </w:r>
    </w:p>
    <w:p w14:paraId="4FBCA8A1" w14:textId="7158AE16" w:rsidR="00A24959" w:rsidRPr="00ED2279" w:rsidRDefault="002B7ED4" w:rsidP="00003096">
      <w:pPr>
        <w:pStyle w:val="DCSbodytext"/>
        <w:numPr>
          <w:ilvl w:val="0"/>
          <w:numId w:val="115"/>
        </w:numPr>
        <w:spacing w:after="120"/>
        <w:ind w:hanging="317"/>
      </w:pPr>
      <w:r w:rsidRPr="00ED2279">
        <w:t>L</w:t>
      </w:r>
      <w:r w:rsidR="00A24959" w:rsidRPr="00ED2279">
        <w:t>ocal connectivity</w:t>
      </w:r>
      <w:r w:rsidR="00C27402" w:rsidRPr="00ED2279">
        <w:t xml:space="preserve">: </w:t>
      </w:r>
      <w:r w:rsidR="00A24959" w:rsidRPr="00ED2279">
        <w:t>short-range and machine-to-machine communications</w:t>
      </w:r>
      <w:r w:rsidR="00C27402" w:rsidRPr="00ED2279">
        <w:t>;</w:t>
      </w:r>
      <w:r w:rsidR="00A24959" w:rsidRPr="00ED2279">
        <w:t xml:space="preserve"> WLAN, mesh networks, Bluetooth, </w:t>
      </w:r>
      <w:r w:rsidR="00BB283D" w:rsidRPr="00ED2279">
        <w:t>Wi-Fi</w:t>
      </w:r>
    </w:p>
    <w:p w14:paraId="139E1523" w14:textId="6EB35FFF" w:rsidR="00A24959" w:rsidRPr="00ED2279" w:rsidRDefault="00A24959" w:rsidP="00003096">
      <w:pPr>
        <w:pStyle w:val="DCSbodytext"/>
        <w:numPr>
          <w:ilvl w:val="0"/>
          <w:numId w:val="115"/>
        </w:numPr>
        <w:ind w:hanging="317"/>
      </w:pPr>
      <w:r w:rsidRPr="00ED2279">
        <w:t>IoT gateways</w:t>
      </w:r>
      <w:r w:rsidR="00C27402" w:rsidRPr="00ED2279">
        <w:t>:</w:t>
      </w:r>
      <w:r w:rsidRPr="00ED2279">
        <w:t xml:space="preserve"> intermediaries between the sensors/actuators and the cloud to process the collected data locally before sending it to the cloud</w:t>
      </w:r>
      <w:r w:rsidR="00495BE2" w:rsidRPr="00ED2279">
        <w:t>.</w:t>
      </w:r>
    </w:p>
    <w:p w14:paraId="1C408090" w14:textId="77777777" w:rsidR="00F7325D" w:rsidRPr="00ED2279" w:rsidRDefault="00A24959" w:rsidP="00F63D53">
      <w:pPr>
        <w:pStyle w:val="DCSbodytext"/>
        <w:ind w:left="1843"/>
      </w:pPr>
      <w:r w:rsidRPr="00ED2279">
        <w:t xml:space="preserve">See </w:t>
      </w:r>
      <w:hyperlink w:anchor="_Appendix_D_–" w:history="1">
        <w:r w:rsidR="00495BE2" w:rsidRPr="00ED2279">
          <w:rPr>
            <w:rStyle w:val="Hyperlink"/>
          </w:rPr>
          <w:t>Appendix</w:t>
        </w:r>
        <w:r w:rsidR="00E7316C" w:rsidRPr="00ED2279">
          <w:rPr>
            <w:rStyle w:val="Hyperlink"/>
          </w:rPr>
          <w:t xml:space="preserve"> D</w:t>
        </w:r>
      </w:hyperlink>
      <w:r w:rsidRPr="00E46FB0">
        <w:t xml:space="preserve"> for</w:t>
      </w:r>
      <w:r w:rsidRPr="00ED2279">
        <w:t xml:space="preserve"> </w:t>
      </w:r>
      <w:r w:rsidR="00E7316C" w:rsidRPr="00ED2279">
        <w:t xml:space="preserve">a table of key wireless network options </w:t>
      </w:r>
      <w:r w:rsidRPr="00ED2279">
        <w:t>available in NSW</w:t>
      </w:r>
      <w:r w:rsidR="00495BE2" w:rsidRPr="00ED2279">
        <w:t>.</w:t>
      </w:r>
    </w:p>
    <w:p w14:paraId="5AC05CE1" w14:textId="77777777" w:rsidR="00F7325D" w:rsidRPr="00ED2279" w:rsidRDefault="00F7325D">
      <w:pPr>
        <w:rPr>
          <w:rFonts w:ascii="Arial" w:hAnsi="Arial"/>
          <w:sz w:val="22"/>
          <w:lang w:eastAsia="en-US"/>
        </w:rPr>
      </w:pPr>
      <w:r w:rsidRPr="00ED2279">
        <w:br w:type="page"/>
      </w:r>
    </w:p>
    <w:p w14:paraId="329DA1BA" w14:textId="7190CAC8" w:rsidR="00A24959" w:rsidRPr="00ED2279" w:rsidRDefault="00A9585C" w:rsidP="00F63D53">
      <w:pPr>
        <w:pStyle w:val="DCSbodytext"/>
        <w:ind w:left="1843"/>
      </w:pPr>
      <w:r w:rsidRPr="00ED2279">
        <w:lastRenderedPageBreak/>
        <w:t xml:space="preserve"> </w:t>
      </w:r>
    </w:p>
    <w:p w14:paraId="04D99694" w14:textId="19CC48A5" w:rsidR="00F942CF" w:rsidRPr="00ED2279" w:rsidRDefault="000D5BF0" w:rsidP="00A70BFF">
      <w:pPr>
        <w:ind w:left="1843"/>
        <w:rPr>
          <w:rFonts w:ascii="Arial" w:hAnsi="Arial" w:cs="Arial"/>
          <w:sz w:val="22"/>
          <w:szCs w:val="22"/>
        </w:rPr>
      </w:pPr>
      <w:r w:rsidRPr="00E46FB0">
        <w:rPr>
          <w:noProof/>
        </w:rPr>
        <w:drawing>
          <wp:anchor distT="0" distB="0" distL="114300" distR="114300" simplePos="0" relativeHeight="251658240" behindDoc="0" locked="0" layoutInCell="1" allowOverlap="1" wp14:anchorId="784699B9" wp14:editId="6F264A28">
            <wp:simplePos x="0" y="0"/>
            <wp:positionH relativeFrom="column">
              <wp:align>left</wp:align>
            </wp:positionH>
            <wp:positionV relativeFrom="paragraph">
              <wp:posOffset>0</wp:posOffset>
            </wp:positionV>
            <wp:extent cx="638087" cy="389614"/>
            <wp:effectExtent l="0" t="0" r="0" b="0"/>
            <wp:wrapNone/>
            <wp:docPr id="3392783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3" cstate="print">
                      <a:extLst>
                        <a:ext uri="{BEBA8EAE-BF5A-486C-A8C5-ECC9F3942E4B}">
                          <a14:imgProps xmlns:a14="http://schemas.microsoft.com/office/drawing/2010/main">
                            <a14:imgLayer r:embed="rId24">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638087" cy="389614"/>
                    </a:xfrm>
                    <a:prstGeom prst="rect">
                      <a:avLst/>
                    </a:prstGeom>
                  </pic:spPr>
                </pic:pic>
              </a:graphicData>
            </a:graphic>
            <wp14:sizeRelH relativeFrom="page">
              <wp14:pctWidth>0</wp14:pctWidth>
            </wp14:sizeRelH>
            <wp14:sizeRelV relativeFrom="page">
              <wp14:pctHeight>0</wp14:pctHeight>
            </wp14:sizeRelV>
          </wp:anchor>
        </w:drawing>
      </w:r>
      <w:r w:rsidRPr="00E46FB0">
        <w:rPr>
          <w:rFonts w:ascii="Arial" w:hAnsi="Arial" w:cs="Arial"/>
          <w:i/>
          <w:iCs/>
          <w:sz w:val="22"/>
          <w:szCs w:val="22"/>
          <w:lang w:eastAsia="en-US"/>
        </w:rPr>
        <w:t>Visual</w:t>
      </w:r>
      <w:r w:rsidR="008B7FB9" w:rsidRPr="00E46FB0">
        <w:rPr>
          <w:rFonts w:ascii="Arial" w:hAnsi="Arial" w:cs="Arial"/>
          <w:i/>
          <w:iCs/>
          <w:sz w:val="22"/>
          <w:szCs w:val="22"/>
          <w:lang w:eastAsia="en-US"/>
        </w:rPr>
        <w:t xml:space="preserve">isation and </w:t>
      </w:r>
      <w:r w:rsidR="008B7FB9" w:rsidRPr="00ED2279">
        <w:rPr>
          <w:rFonts w:ascii="Arial" w:hAnsi="Arial" w:cs="Arial"/>
          <w:i/>
          <w:iCs/>
          <w:sz w:val="22"/>
          <w:szCs w:val="22"/>
          <w:lang w:eastAsia="en-US"/>
        </w:rPr>
        <w:t>communication</w:t>
      </w:r>
      <w:r w:rsidR="008B7FB9" w:rsidRPr="00ED2279">
        <w:rPr>
          <w:rFonts w:ascii="Arial" w:hAnsi="Arial" w:cs="Arial"/>
          <w:sz w:val="22"/>
          <w:szCs w:val="22"/>
          <w:lang w:eastAsia="en-US"/>
        </w:rPr>
        <w:t>:</w:t>
      </w:r>
      <w:r w:rsidR="00C44A5E" w:rsidRPr="00ED2279">
        <w:rPr>
          <w:rFonts w:ascii="Arial" w:hAnsi="Arial" w:cs="Arial"/>
          <w:sz w:val="22"/>
          <w:szCs w:val="22"/>
          <w:lang w:eastAsia="en-US"/>
        </w:rPr>
        <w:t xml:space="preserve"> Data visualisation is about the visual representation of data as a means of communication</w:t>
      </w:r>
      <w:r w:rsidR="00F942CF" w:rsidRPr="00ED2279">
        <w:rPr>
          <w:rFonts w:ascii="Arial" w:hAnsi="Arial" w:cs="Arial"/>
          <w:sz w:val="22"/>
          <w:szCs w:val="22"/>
          <w:lang w:eastAsia="en-US"/>
        </w:rPr>
        <w:t>.</w:t>
      </w:r>
      <w:r w:rsidR="000D7D01" w:rsidRPr="00ED2279">
        <w:rPr>
          <w:rFonts w:ascii="Arial" w:hAnsi="Arial" w:cs="Arial"/>
          <w:sz w:val="22"/>
          <w:szCs w:val="22"/>
        </w:rPr>
        <w:t xml:space="preserve"> Data needs to be delivered to the organisation in a meaningful way to support decision making. </w:t>
      </w:r>
      <w:r w:rsidR="00F942CF" w:rsidRPr="00ED2279">
        <w:rPr>
          <w:rFonts w:ascii="Arial" w:hAnsi="Arial" w:cs="Arial"/>
          <w:sz w:val="22"/>
          <w:szCs w:val="22"/>
          <w:lang w:eastAsia="en-US"/>
        </w:rPr>
        <w:t xml:space="preserve"> Examples include dashboards, push notifications, interactive public displays</w:t>
      </w:r>
      <w:r w:rsidR="00771ACF" w:rsidRPr="00ED2279">
        <w:rPr>
          <w:rFonts w:ascii="Arial" w:hAnsi="Arial" w:cs="Arial"/>
          <w:sz w:val="22"/>
          <w:szCs w:val="22"/>
          <w:lang w:eastAsia="en-US"/>
        </w:rPr>
        <w:t xml:space="preserve">, </w:t>
      </w:r>
      <w:r w:rsidR="00771ACF" w:rsidRPr="00ED2279">
        <w:rPr>
          <w:rFonts w:ascii="Arial" w:hAnsi="Arial" w:cs="Arial"/>
          <w:sz w:val="22"/>
          <w:szCs w:val="22"/>
        </w:rPr>
        <w:t>enhanced 3D spatial platforms and digital twins etc.</w:t>
      </w:r>
    </w:p>
    <w:p w14:paraId="4D0BAD52" w14:textId="77777777" w:rsidR="00E30D13" w:rsidRPr="00ED2279" w:rsidRDefault="00E30D13" w:rsidP="00A70BFF">
      <w:pPr>
        <w:ind w:left="1843"/>
        <w:rPr>
          <w:rFonts w:ascii="Arial" w:hAnsi="Arial" w:cs="Arial"/>
          <w:sz w:val="22"/>
          <w:szCs w:val="22"/>
          <w:lang w:eastAsia="en-US"/>
        </w:rPr>
      </w:pPr>
    </w:p>
    <w:p w14:paraId="41238A23" w14:textId="6CB80E26" w:rsidR="00A24959" w:rsidRPr="00ED2279" w:rsidRDefault="00A24959" w:rsidP="00F16F5E">
      <w:pPr>
        <w:pStyle w:val="DCSbodytext"/>
        <w:ind w:left="1843"/>
      </w:pPr>
      <w:r w:rsidRPr="00E46FB0">
        <w:rPr>
          <w:noProof/>
        </w:rPr>
        <w:drawing>
          <wp:anchor distT="0" distB="0" distL="114300" distR="114300" simplePos="0" relativeHeight="251658241" behindDoc="0" locked="0" layoutInCell="1" allowOverlap="1" wp14:anchorId="7EAB1E00" wp14:editId="7924D172">
            <wp:simplePos x="0" y="0"/>
            <wp:positionH relativeFrom="column">
              <wp:align>left</wp:align>
            </wp:positionH>
            <wp:positionV relativeFrom="paragraph">
              <wp:posOffset>0</wp:posOffset>
            </wp:positionV>
            <wp:extent cx="475688" cy="476147"/>
            <wp:effectExtent l="0" t="0" r="0" b="0"/>
            <wp:wrapNone/>
            <wp:docPr id="1571176546" name="Picture 53175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754499"/>
                    <pic:cNvPicPr/>
                  </pic:nvPicPr>
                  <pic:blipFill>
                    <a:blip r:embed="rId25">
                      <a:extLst>
                        <a:ext uri="{28A0092B-C50C-407E-A947-70E740481C1C}">
                          <a14:useLocalDpi xmlns:a14="http://schemas.microsoft.com/office/drawing/2010/main" val="0"/>
                        </a:ext>
                      </a:extLst>
                    </a:blip>
                    <a:stretch>
                      <a:fillRect/>
                    </a:stretch>
                  </pic:blipFill>
                  <pic:spPr>
                    <a:xfrm>
                      <a:off x="0" y="0"/>
                      <a:ext cx="475688" cy="476147"/>
                    </a:xfrm>
                    <a:prstGeom prst="rect">
                      <a:avLst/>
                    </a:prstGeom>
                  </pic:spPr>
                </pic:pic>
              </a:graphicData>
            </a:graphic>
            <wp14:sizeRelH relativeFrom="page">
              <wp14:pctWidth>0</wp14:pctWidth>
            </wp14:sizeRelH>
            <wp14:sizeRelV relativeFrom="page">
              <wp14:pctHeight>0</wp14:pctHeight>
            </wp14:sizeRelV>
          </wp:anchor>
        </w:drawing>
      </w:r>
      <w:r w:rsidRPr="00E46FB0">
        <w:rPr>
          <w:i/>
          <w:iCs/>
        </w:rPr>
        <w:t>Solution services</w:t>
      </w:r>
      <w:r w:rsidR="00EF4F4D" w:rsidRPr="00E46FB0">
        <w:rPr>
          <w:i/>
          <w:iCs/>
        </w:rPr>
        <w:t>:</w:t>
      </w:r>
      <w:r w:rsidRPr="00ED2279">
        <w:rPr>
          <w:i/>
          <w:iCs/>
        </w:rPr>
        <w:t xml:space="preserve"> </w:t>
      </w:r>
      <w:r w:rsidR="00EF4F4D" w:rsidRPr="00ED2279">
        <w:rPr>
          <w:i/>
          <w:iCs/>
        </w:rPr>
        <w:t>S</w:t>
      </w:r>
      <w:r w:rsidRPr="00ED2279">
        <w:t>ervices that integrate the components of the system into the business and physical environment, including the development of solutions, platforms, devices</w:t>
      </w:r>
      <w:r w:rsidR="00510D17" w:rsidRPr="00ED2279">
        <w:t>,</w:t>
      </w:r>
      <w:r w:rsidRPr="00ED2279">
        <w:t xml:space="preserve"> and vertical applications, and system integration, testing, managed services and support.</w:t>
      </w:r>
    </w:p>
    <w:p w14:paraId="75B56649" w14:textId="01B7EDE5" w:rsidR="00A24959" w:rsidRPr="00ED2279" w:rsidRDefault="00A24959" w:rsidP="00F16F5E">
      <w:pPr>
        <w:pStyle w:val="DCSbodytext"/>
        <w:ind w:left="1843"/>
      </w:pPr>
      <w:r w:rsidRPr="00E46FB0">
        <w:rPr>
          <w:noProof/>
        </w:rPr>
        <w:drawing>
          <wp:anchor distT="0" distB="0" distL="114300" distR="114300" simplePos="0" relativeHeight="251658242" behindDoc="0" locked="0" layoutInCell="1" allowOverlap="1" wp14:anchorId="46821FBA" wp14:editId="13017ED8">
            <wp:simplePos x="0" y="0"/>
            <wp:positionH relativeFrom="column">
              <wp:align>left</wp:align>
            </wp:positionH>
            <wp:positionV relativeFrom="paragraph">
              <wp:posOffset>0</wp:posOffset>
            </wp:positionV>
            <wp:extent cx="488373" cy="438070"/>
            <wp:effectExtent l="0" t="0" r="0" b="0"/>
            <wp:wrapNone/>
            <wp:docPr id="2134518164" name="Picture 53175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754497"/>
                    <pic:cNvPicPr/>
                  </pic:nvPicPr>
                  <pic:blipFill>
                    <a:blip r:embed="rId26">
                      <a:extLst>
                        <a:ext uri="{28A0092B-C50C-407E-A947-70E740481C1C}">
                          <a14:useLocalDpi xmlns:a14="http://schemas.microsoft.com/office/drawing/2010/main" val="0"/>
                        </a:ext>
                      </a:extLst>
                    </a:blip>
                    <a:stretch>
                      <a:fillRect/>
                    </a:stretch>
                  </pic:blipFill>
                  <pic:spPr>
                    <a:xfrm>
                      <a:off x="0" y="0"/>
                      <a:ext cx="488373" cy="438070"/>
                    </a:xfrm>
                    <a:prstGeom prst="rect">
                      <a:avLst/>
                    </a:prstGeom>
                  </pic:spPr>
                </pic:pic>
              </a:graphicData>
            </a:graphic>
            <wp14:sizeRelH relativeFrom="page">
              <wp14:pctWidth>0</wp14:pctWidth>
            </wp14:sizeRelH>
            <wp14:sizeRelV relativeFrom="page">
              <wp14:pctHeight>0</wp14:pctHeight>
            </wp14:sizeRelV>
          </wp:anchor>
        </w:drawing>
      </w:r>
      <w:r w:rsidRPr="00E46FB0">
        <w:rPr>
          <w:i/>
          <w:iCs/>
        </w:rPr>
        <w:t>IoT platforms</w:t>
      </w:r>
      <w:r w:rsidR="00EF4F4D" w:rsidRPr="00ED2279">
        <w:rPr>
          <w:i/>
          <w:iCs/>
        </w:rPr>
        <w:t xml:space="preserve">: </w:t>
      </w:r>
      <w:r w:rsidR="00EF4F4D" w:rsidRPr="00ED2279">
        <w:t>S</w:t>
      </w:r>
      <w:r w:rsidRPr="00ED2279">
        <w:t xml:space="preserve">oftware that turns the raw data into a common language and connects the other elements of the IoT ecosystem to each other. Interoperability is crucial when choosing your IoT platform. See </w:t>
      </w:r>
      <w:hyperlink w:anchor="_Technology_for_IoT_2" w:history="1">
        <w:r w:rsidR="006C0FA4" w:rsidRPr="00ED2279">
          <w:rPr>
            <w:rStyle w:val="Hyperlink"/>
          </w:rPr>
          <w:t>Chapter 3</w:t>
        </w:r>
        <w:r w:rsidRPr="00ED2279">
          <w:rPr>
            <w:rStyle w:val="Hyperlink"/>
          </w:rPr>
          <w:t>.</w:t>
        </w:r>
        <w:r w:rsidR="00E467FF" w:rsidRPr="00ED2279">
          <w:rPr>
            <w:rStyle w:val="Hyperlink"/>
          </w:rPr>
          <w:t>8</w:t>
        </w:r>
        <w:r w:rsidRPr="00ED2279">
          <w:rPr>
            <w:rStyle w:val="Hyperlink"/>
          </w:rPr>
          <w:t xml:space="preserve"> Technology for IoT</w:t>
        </w:r>
      </w:hyperlink>
      <w:r w:rsidRPr="00E46FB0">
        <w:t xml:space="preserve"> for information on interoperability</w:t>
      </w:r>
      <w:r w:rsidR="00FD7F01" w:rsidRPr="00ED2279">
        <w:t>.</w:t>
      </w:r>
    </w:p>
    <w:p w14:paraId="6EFCD5FE" w14:textId="37EC2D02" w:rsidR="00A24959" w:rsidRPr="00ED2279" w:rsidRDefault="00A24959" w:rsidP="00F16F5E">
      <w:pPr>
        <w:pStyle w:val="DCSbodytext"/>
        <w:ind w:left="1843"/>
      </w:pPr>
      <w:r w:rsidRPr="00E46FB0">
        <w:rPr>
          <w:noProof/>
        </w:rPr>
        <w:drawing>
          <wp:anchor distT="0" distB="0" distL="114300" distR="114300" simplePos="0" relativeHeight="251658243" behindDoc="0" locked="0" layoutInCell="1" allowOverlap="1" wp14:anchorId="7A5DD741" wp14:editId="79B151A5">
            <wp:simplePos x="0" y="0"/>
            <wp:positionH relativeFrom="column">
              <wp:align>left</wp:align>
            </wp:positionH>
            <wp:positionV relativeFrom="paragraph">
              <wp:posOffset>0</wp:posOffset>
            </wp:positionV>
            <wp:extent cx="287949" cy="363179"/>
            <wp:effectExtent l="0" t="0" r="0" b="0"/>
            <wp:wrapNone/>
            <wp:docPr id="1577551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7">
                      <a:extLst>
                        <a:ext uri="{28A0092B-C50C-407E-A947-70E740481C1C}">
                          <a14:useLocalDpi xmlns:a14="http://schemas.microsoft.com/office/drawing/2010/main" val="0"/>
                        </a:ext>
                      </a:extLst>
                    </a:blip>
                    <a:stretch>
                      <a:fillRect/>
                    </a:stretch>
                  </pic:blipFill>
                  <pic:spPr>
                    <a:xfrm>
                      <a:off x="0" y="0"/>
                      <a:ext cx="287949" cy="363179"/>
                    </a:xfrm>
                    <a:prstGeom prst="rect">
                      <a:avLst/>
                    </a:prstGeom>
                  </pic:spPr>
                </pic:pic>
              </a:graphicData>
            </a:graphic>
            <wp14:sizeRelH relativeFrom="page">
              <wp14:pctWidth>0</wp14:pctWidth>
            </wp14:sizeRelH>
            <wp14:sizeRelV relativeFrom="page">
              <wp14:pctHeight>0</wp14:pctHeight>
            </wp14:sizeRelV>
          </wp:anchor>
        </w:drawing>
      </w:r>
      <w:r w:rsidRPr="00E46FB0">
        <w:rPr>
          <w:i/>
          <w:iCs/>
        </w:rPr>
        <w:t>Identity and security (platforms)</w:t>
      </w:r>
      <w:r w:rsidR="00EF4F4D" w:rsidRPr="00E46FB0">
        <w:rPr>
          <w:i/>
          <w:iCs/>
        </w:rPr>
        <w:t>:</w:t>
      </w:r>
      <w:r w:rsidR="00EF4F4D" w:rsidRPr="00ED2279">
        <w:t xml:space="preserve"> S</w:t>
      </w:r>
      <w:r w:rsidRPr="00ED2279">
        <w:t>oftware and hardware that enable identity authentication and management, cyber security and end-point protection</w:t>
      </w:r>
      <w:r w:rsidR="00FD7F01" w:rsidRPr="00ED2279">
        <w:t>.</w:t>
      </w:r>
    </w:p>
    <w:p w14:paraId="48C4D32B" w14:textId="3392D39F" w:rsidR="00A24959" w:rsidRPr="00ED2279" w:rsidRDefault="00A24959" w:rsidP="00CC3EAD">
      <w:pPr>
        <w:pStyle w:val="DCSbodytext"/>
        <w:spacing w:after="120"/>
        <w:ind w:left="1843"/>
      </w:pPr>
      <w:r w:rsidRPr="00E46FB0">
        <w:rPr>
          <w:noProof/>
        </w:rPr>
        <w:drawing>
          <wp:anchor distT="0" distB="0" distL="114300" distR="114300" simplePos="0" relativeHeight="251658244" behindDoc="0" locked="0" layoutInCell="1" allowOverlap="1" wp14:anchorId="0C970CC8" wp14:editId="630F191B">
            <wp:simplePos x="0" y="0"/>
            <wp:positionH relativeFrom="column">
              <wp:align>left</wp:align>
            </wp:positionH>
            <wp:positionV relativeFrom="paragraph">
              <wp:posOffset>0</wp:posOffset>
            </wp:positionV>
            <wp:extent cx="567020" cy="390481"/>
            <wp:effectExtent l="0" t="0" r="0" b="0"/>
            <wp:wrapNone/>
            <wp:docPr id="14105688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8">
                      <a:extLst>
                        <a:ext uri="{28A0092B-C50C-407E-A947-70E740481C1C}">
                          <a14:useLocalDpi xmlns:a14="http://schemas.microsoft.com/office/drawing/2010/main" val="0"/>
                        </a:ext>
                      </a:extLst>
                    </a:blip>
                    <a:stretch>
                      <a:fillRect/>
                    </a:stretch>
                  </pic:blipFill>
                  <pic:spPr>
                    <a:xfrm>
                      <a:off x="0" y="0"/>
                      <a:ext cx="567020" cy="390481"/>
                    </a:xfrm>
                    <a:prstGeom prst="rect">
                      <a:avLst/>
                    </a:prstGeom>
                  </pic:spPr>
                </pic:pic>
              </a:graphicData>
            </a:graphic>
            <wp14:sizeRelH relativeFrom="page">
              <wp14:pctWidth>0</wp14:pctWidth>
            </wp14:sizeRelH>
            <wp14:sizeRelV relativeFrom="page">
              <wp14:pctHeight>0</wp14:pctHeight>
            </wp14:sizeRelV>
          </wp:anchor>
        </w:drawing>
      </w:r>
      <w:r w:rsidRPr="00E46FB0">
        <w:rPr>
          <w:i/>
          <w:iCs/>
        </w:rPr>
        <w:t xml:space="preserve">Data </w:t>
      </w:r>
      <w:r w:rsidR="00364E7A" w:rsidRPr="00E46FB0">
        <w:rPr>
          <w:i/>
          <w:iCs/>
        </w:rPr>
        <w:t xml:space="preserve">transfer </w:t>
      </w:r>
      <w:r w:rsidRPr="00ED2279">
        <w:rPr>
          <w:i/>
          <w:iCs/>
        </w:rPr>
        <w:t>management and processing applications</w:t>
      </w:r>
      <w:r w:rsidR="00014908" w:rsidRPr="00ED2279">
        <w:t>:</w:t>
      </w:r>
      <w:r w:rsidRPr="00ED2279">
        <w:t xml:space="preserve"> </w:t>
      </w:r>
      <w:r w:rsidR="003B3BC9" w:rsidRPr="00ED2279">
        <w:t>S</w:t>
      </w:r>
      <w:r w:rsidRPr="00ED2279">
        <w:t>oftware that</w:t>
      </w:r>
      <w:r w:rsidR="00FB1B82" w:rsidRPr="00ED2279">
        <w:t xml:space="preserve"> facilitate</w:t>
      </w:r>
      <w:r w:rsidR="00510D17" w:rsidRPr="00ED2279">
        <w:t>s</w:t>
      </w:r>
      <w:r w:rsidR="00FB1B82" w:rsidRPr="00ED2279">
        <w:t xml:space="preserve"> transfer,</w:t>
      </w:r>
      <w:r w:rsidRPr="00ED2279">
        <w:t xml:space="preserve"> manage and process data, comprising of </w:t>
      </w:r>
      <w:r w:rsidR="00FB1B82" w:rsidRPr="00ED2279">
        <w:t>middleware (e.g.</w:t>
      </w:r>
      <w:r w:rsidR="00581289" w:rsidRPr="00ED2279">
        <w:t xml:space="preserve"> </w:t>
      </w:r>
      <w:r w:rsidR="00FB1B82" w:rsidRPr="00ED2279">
        <w:t xml:space="preserve">Service Bus), </w:t>
      </w:r>
      <w:r w:rsidRPr="00ED2279">
        <w:t xml:space="preserve">backend data processing </w:t>
      </w:r>
      <w:r w:rsidR="003F4900" w:rsidRPr="00ED2279">
        <w:t>(</w:t>
      </w:r>
      <w:r w:rsidRPr="00ED2279">
        <w:t>e</w:t>
      </w:r>
      <w:r w:rsidR="003F4900" w:rsidRPr="00ED2279">
        <w:t>.</w:t>
      </w:r>
      <w:r w:rsidRPr="00ED2279">
        <w:t>g</w:t>
      </w:r>
      <w:r w:rsidR="003F4900" w:rsidRPr="00ED2279">
        <w:t>.</w:t>
      </w:r>
      <w:r w:rsidRPr="00ED2279">
        <w:t xml:space="preserve"> database and decision units</w:t>
      </w:r>
      <w:r w:rsidR="003F4900" w:rsidRPr="00ED2279">
        <w:t>)</w:t>
      </w:r>
      <w:r w:rsidRPr="00ED2279">
        <w:t>, and frontend user and Business-to-Business (B2B) interfaces. These applications provide intelligence and insights generated from data such as:</w:t>
      </w:r>
    </w:p>
    <w:p w14:paraId="41E5FFA6" w14:textId="1E60DA6B" w:rsidR="00A24959" w:rsidRPr="00ED2279" w:rsidRDefault="00A24959" w:rsidP="00003096">
      <w:pPr>
        <w:pStyle w:val="DCSbodytext"/>
        <w:numPr>
          <w:ilvl w:val="0"/>
          <w:numId w:val="116"/>
        </w:numPr>
        <w:spacing w:after="120"/>
        <w:ind w:left="2154" w:hanging="357"/>
      </w:pPr>
      <w:r w:rsidRPr="00ED2279">
        <w:t>Analytics</w:t>
      </w:r>
      <w:r w:rsidR="00CC3EAD" w:rsidRPr="00ED2279">
        <w:t>: A</w:t>
      </w:r>
      <w:r w:rsidRPr="00ED2279">
        <w:t>ggregate, analyse and package data to extract insights. This includes big data analytics</w:t>
      </w:r>
      <w:r w:rsidR="00845CFF" w:rsidRPr="00ED2279">
        <w:t xml:space="preserve"> that</w:t>
      </w:r>
      <w:r w:rsidRPr="00ED2279">
        <w:t xml:space="preserve"> enables applications to aggregate and act</w:t>
      </w:r>
      <w:r w:rsidR="00510D17" w:rsidRPr="00ED2279">
        <w:t>s</w:t>
      </w:r>
      <w:r w:rsidRPr="00ED2279">
        <w:t xml:space="preserve"> on large amounts of data generated by devices. Aggregated data can drive innovation, research</w:t>
      </w:r>
      <w:r w:rsidR="00510D17" w:rsidRPr="00ED2279">
        <w:t>,</w:t>
      </w:r>
      <w:r w:rsidRPr="00ED2279">
        <w:t xml:space="preserve"> and marketing, as well as optimise the services that generated it. </w:t>
      </w:r>
    </w:p>
    <w:p w14:paraId="2F8D53C7" w14:textId="6E74391E" w:rsidR="00A24959" w:rsidRPr="00E46FB0" w:rsidRDefault="00A24959" w:rsidP="00003096">
      <w:pPr>
        <w:pStyle w:val="DCSbodytext"/>
        <w:numPr>
          <w:ilvl w:val="0"/>
          <w:numId w:val="116"/>
        </w:numPr>
      </w:pPr>
      <w:r w:rsidRPr="00ED2279">
        <w:t>Enterprise and consumer apps</w:t>
      </w:r>
      <w:r w:rsidR="00CC3EAD" w:rsidRPr="00ED2279">
        <w:t>: A</w:t>
      </w:r>
      <w:r w:rsidRPr="00ED2279">
        <w:t xml:space="preserve">pplications that leverage IoT data and algorithms to solve problems and address needs. An example is the </w:t>
      </w:r>
      <w:hyperlink w:anchor="_What_is_IoT?" w:history="1">
        <w:r w:rsidRPr="00ED2279">
          <w:rPr>
            <w:rStyle w:val="Hyperlink"/>
          </w:rPr>
          <w:t xml:space="preserve">train tracking application </w:t>
        </w:r>
        <w:r w:rsidR="00503B59" w:rsidRPr="00ED2279">
          <w:rPr>
            <w:rStyle w:val="Hyperlink"/>
          </w:rPr>
          <w:t xml:space="preserve">in </w:t>
        </w:r>
        <w:r w:rsidR="001E456F" w:rsidRPr="00ED2279">
          <w:rPr>
            <w:rStyle w:val="Hyperlink"/>
          </w:rPr>
          <w:t>S</w:t>
        </w:r>
        <w:r w:rsidR="001E28B8" w:rsidRPr="00ED2279">
          <w:rPr>
            <w:rStyle w:val="Hyperlink"/>
          </w:rPr>
          <w:t xml:space="preserve">ection </w:t>
        </w:r>
        <w:r w:rsidR="00503B59" w:rsidRPr="00ED2279">
          <w:rPr>
            <w:rStyle w:val="Hyperlink"/>
          </w:rPr>
          <w:t>1.1.1</w:t>
        </w:r>
        <w:r w:rsidR="001E28B8" w:rsidRPr="00ED2279">
          <w:rPr>
            <w:rStyle w:val="Hyperlink"/>
          </w:rPr>
          <w:t xml:space="preserve"> What is IoT?</w:t>
        </w:r>
        <w:r w:rsidR="00503B59" w:rsidRPr="00ED2279">
          <w:rPr>
            <w:rStyle w:val="Hyperlink"/>
          </w:rPr>
          <w:t>.</w:t>
        </w:r>
      </w:hyperlink>
    </w:p>
    <w:p w14:paraId="5BD3D647" w14:textId="2B60F353" w:rsidR="00A24959" w:rsidRPr="00ED2279" w:rsidRDefault="00A24959" w:rsidP="00CC3EAD">
      <w:pPr>
        <w:pStyle w:val="DCSbodytext"/>
      </w:pPr>
      <w:r w:rsidRPr="00ED2279">
        <w:t xml:space="preserve">For further information on the IoT ecosystem, see the </w:t>
      </w:r>
      <w:hyperlink r:id="rId29" w:history="1">
        <w:r w:rsidRPr="00ED2279">
          <w:rPr>
            <w:rStyle w:val="Hyperlink"/>
            <w:rFonts w:cstheme="minorHAnsi"/>
          </w:rPr>
          <w:t xml:space="preserve">Australian Computer Society (ACS) </w:t>
        </w:r>
        <w:r w:rsidR="00F6251C" w:rsidRPr="00ED2279">
          <w:rPr>
            <w:rStyle w:val="Hyperlink"/>
            <w:rFonts w:cstheme="minorHAnsi"/>
          </w:rPr>
          <w:t>R</w:t>
        </w:r>
        <w:r w:rsidRPr="00ED2279">
          <w:rPr>
            <w:rStyle w:val="Hyperlink"/>
            <w:rFonts w:cstheme="minorHAnsi"/>
          </w:rPr>
          <w:t xml:space="preserve">eport </w:t>
        </w:r>
        <w:r w:rsidR="006306FE" w:rsidRPr="00ED2279">
          <w:rPr>
            <w:rStyle w:val="Hyperlink"/>
            <w:rFonts w:cstheme="minorHAnsi"/>
          </w:rPr>
          <w:t xml:space="preserve">prepared by </w:t>
        </w:r>
        <w:r w:rsidR="005C3E5E" w:rsidRPr="00ED2279">
          <w:rPr>
            <w:rStyle w:val="Hyperlink"/>
            <w:rFonts w:cstheme="minorHAnsi"/>
          </w:rPr>
          <w:t>PwC</w:t>
        </w:r>
        <w:r w:rsidR="00F960E3" w:rsidRPr="00ED2279">
          <w:rPr>
            <w:rStyle w:val="Hyperlink"/>
            <w:rFonts w:cstheme="minorHAnsi"/>
          </w:rPr>
          <w:t xml:space="preserve">, </w:t>
        </w:r>
        <w:r w:rsidRPr="00ED2279">
          <w:rPr>
            <w:rStyle w:val="Hyperlink"/>
            <w:rFonts w:cstheme="minorHAnsi"/>
          </w:rPr>
          <w:t>Australia’s IoT Opportunity: Driving Future Growth</w:t>
        </w:r>
        <w:r w:rsidR="00F6251C" w:rsidRPr="00ED2279">
          <w:rPr>
            <w:rStyle w:val="Hyperlink"/>
            <w:rFonts w:cstheme="minorHAnsi"/>
          </w:rPr>
          <w:t xml:space="preserve"> (2018)</w:t>
        </w:r>
        <w:r w:rsidRPr="00ED2279">
          <w:rPr>
            <w:rStyle w:val="Hyperlink"/>
            <w:rFonts w:cstheme="minorHAnsi"/>
          </w:rPr>
          <w:t>.</w:t>
        </w:r>
      </w:hyperlink>
      <w:r w:rsidRPr="00E46FB0">
        <w:t xml:space="preserve"> </w:t>
      </w:r>
    </w:p>
    <w:p w14:paraId="4163720C" w14:textId="38F9C0BB" w:rsidR="009D37B6" w:rsidRPr="00ED2279" w:rsidRDefault="001779CD" w:rsidP="00CC3EAD">
      <w:pPr>
        <w:pStyle w:val="DCSbodytext"/>
      </w:pPr>
      <w:r w:rsidRPr="00ED2279">
        <w:t xml:space="preserve">Refer to </w:t>
      </w:r>
      <w:hyperlink r:id="rId30" w:history="1">
        <w:r w:rsidRPr="00ED2279">
          <w:rPr>
            <w:rStyle w:val="Hyperlink"/>
          </w:rPr>
          <w:t>the IoTAA: IOT Reference Framework</w:t>
        </w:r>
      </w:hyperlink>
      <w:r w:rsidRPr="00E46FB0">
        <w:t xml:space="preserve"> for identifying and positioning elements of the IoT ecosystem</w:t>
      </w:r>
      <w:r w:rsidR="00045D40" w:rsidRPr="00ED2279">
        <w:t xml:space="preserve">. See also the </w:t>
      </w:r>
      <w:hyperlink r:id="rId31" w:history="1">
        <w:r w:rsidR="00CE4F5F" w:rsidRPr="00ED2279">
          <w:rPr>
            <w:rStyle w:val="Hyperlink"/>
          </w:rPr>
          <w:t>National Code of Practice</w:t>
        </w:r>
      </w:hyperlink>
      <w:r w:rsidR="00AC2B70" w:rsidRPr="00E46FB0">
        <w:t xml:space="preserve"> </w:t>
      </w:r>
      <w:r w:rsidR="00045D40" w:rsidRPr="00ED2279">
        <w:t xml:space="preserve">which is a voluntary set of measures the Australian Government recommends for industry as the minimum standard for IoT devices. </w:t>
      </w:r>
    </w:p>
    <w:p w14:paraId="4EF81691" w14:textId="5BBED987" w:rsidR="0073138D" w:rsidRPr="00ED2279" w:rsidRDefault="0073138D">
      <w:pPr>
        <w:pStyle w:val="Heading3"/>
        <w:rPr>
          <w:rFonts w:ascii="Arial" w:hAnsi="Arial"/>
        </w:rPr>
      </w:pPr>
      <w:bookmarkStart w:id="127" w:name="_Toc65760465"/>
      <w:r w:rsidRPr="00ED2279">
        <w:rPr>
          <w:rFonts w:ascii="Arial" w:hAnsi="Arial"/>
        </w:rPr>
        <w:t>IoT and data</w:t>
      </w:r>
      <w:bookmarkEnd w:id="127"/>
    </w:p>
    <w:p w14:paraId="781248C4" w14:textId="39A02E40" w:rsidR="009E3712" w:rsidRPr="00ED2279" w:rsidRDefault="0073138D" w:rsidP="009E3712">
      <w:pPr>
        <w:pStyle w:val="DCSbodytext"/>
      </w:pPr>
      <w:r w:rsidRPr="00ED2279">
        <w:rPr>
          <w:shd w:val="clear" w:color="auto" w:fill="FFFFFF"/>
        </w:rPr>
        <w:t>Data is a critical eleme</w:t>
      </w:r>
      <w:r w:rsidR="00D155C3" w:rsidRPr="00ED2279">
        <w:rPr>
          <w:shd w:val="clear" w:color="auto" w:fill="FFFFFF"/>
        </w:rPr>
        <w:t>nt</w:t>
      </w:r>
      <w:r w:rsidRPr="00ED2279">
        <w:rPr>
          <w:shd w:val="clear" w:color="auto" w:fill="FFFFFF"/>
        </w:rPr>
        <w:t xml:space="preserve"> of IoT and a core output of any IoT-enabled project. </w:t>
      </w:r>
      <w:r w:rsidR="00F62F4D" w:rsidRPr="00ED2279">
        <w:rPr>
          <w:shd w:val="clear" w:color="auto" w:fill="FFFFFF"/>
        </w:rPr>
        <w:t>In the IoT ecosystem, o</w:t>
      </w:r>
      <w:r w:rsidR="00F62F4D" w:rsidRPr="00ED2279">
        <w:t xml:space="preserve">bservations made by connected devices or sensors are transmitted, stored, processed and analysed as data. </w:t>
      </w:r>
      <w:r w:rsidR="009E3712" w:rsidRPr="00ED2279">
        <w:t>Data needs to be considered at all stages of the</w:t>
      </w:r>
      <w:r w:rsidR="00792D35" w:rsidRPr="00ED2279">
        <w:t xml:space="preserve"> project </w:t>
      </w:r>
      <w:r w:rsidR="00792D35" w:rsidRPr="00ED2279">
        <w:lastRenderedPageBreak/>
        <w:t>cycle</w:t>
      </w:r>
      <w:r w:rsidR="009E3712" w:rsidRPr="00ED2279">
        <w:t xml:space="preserve"> if the benefits promised by IoT are to be achieved. Individual sensors </w:t>
      </w:r>
      <w:r w:rsidR="00017200" w:rsidRPr="00ED2279">
        <w:t>may be</w:t>
      </w:r>
      <w:r w:rsidR="009E3712" w:rsidRPr="00ED2279">
        <w:t xml:space="preserve"> cheap, but data is not. </w:t>
      </w:r>
    </w:p>
    <w:p w14:paraId="774709F4" w14:textId="3E94595C" w:rsidR="00564CBE" w:rsidRPr="00ED2279" w:rsidRDefault="0073138D" w:rsidP="007D0ADE">
      <w:pPr>
        <w:pStyle w:val="DCSbodytext"/>
      </w:pPr>
      <w:r w:rsidRPr="00ED2279">
        <w:t>Data in IoT initiatives can mean a range of things. Data can be text, binary, structured, freeform, data processed into rules and policies or trained machine learning models. Data can also flow in a range of ways. For example</w:t>
      </w:r>
      <w:r w:rsidR="007F5570" w:rsidRPr="00ED2279">
        <w:t xml:space="preserve">, </w:t>
      </w:r>
      <w:r w:rsidR="00564CBE" w:rsidRPr="00ED2279">
        <w:t>sensors can send their data to a central cloud server for analysis and storage</w:t>
      </w:r>
      <w:r w:rsidR="007D0ADE" w:rsidRPr="00ED2279">
        <w:t>, o</w:t>
      </w:r>
      <w:r w:rsidR="007F5570" w:rsidRPr="00ED2279">
        <w:t>r</w:t>
      </w:r>
      <w:r w:rsidR="007D0ADE" w:rsidRPr="00ED2279">
        <w:t xml:space="preserve"> </w:t>
      </w:r>
      <w:r w:rsidR="00564CBE" w:rsidRPr="00ED2279">
        <w:t xml:space="preserve">data can flow from peer to peer like a sensor supplying data to an actuator. </w:t>
      </w:r>
    </w:p>
    <w:p w14:paraId="3BC5B528" w14:textId="77777777" w:rsidR="00D247B7" w:rsidRPr="00ED2279" w:rsidRDefault="008801FD" w:rsidP="00D247B7">
      <w:pPr>
        <w:pStyle w:val="Heading3"/>
        <w:rPr>
          <w:rFonts w:ascii="Arial" w:hAnsi="Arial"/>
        </w:rPr>
      </w:pPr>
      <w:bookmarkStart w:id="128" w:name="_Toc18073196"/>
      <w:bookmarkStart w:id="129" w:name="_Toc18073367"/>
      <w:bookmarkStart w:id="130" w:name="_Toc18073538"/>
      <w:bookmarkStart w:id="131" w:name="_Toc18073703"/>
      <w:bookmarkStart w:id="132" w:name="_Toc18073870"/>
      <w:bookmarkStart w:id="133" w:name="_Toc18077492"/>
      <w:bookmarkStart w:id="134" w:name="_Toc18077661"/>
      <w:bookmarkStart w:id="135" w:name="_Toc18082895"/>
      <w:bookmarkStart w:id="136" w:name="_Toc18083067"/>
      <w:bookmarkStart w:id="137" w:name="_Toc18083240"/>
      <w:bookmarkStart w:id="138" w:name="_Toc18311187"/>
      <w:bookmarkStart w:id="139" w:name="_Toc18312743"/>
      <w:bookmarkStart w:id="140" w:name="_Toc18322033"/>
      <w:bookmarkStart w:id="141" w:name="_Toc18322212"/>
      <w:bookmarkStart w:id="142" w:name="_Toc18336793"/>
      <w:bookmarkStart w:id="143" w:name="_Toc18338073"/>
      <w:bookmarkStart w:id="144" w:name="_Toc18073197"/>
      <w:bookmarkStart w:id="145" w:name="_Toc18073368"/>
      <w:bookmarkStart w:id="146" w:name="_Toc18073539"/>
      <w:bookmarkStart w:id="147" w:name="_Toc18073704"/>
      <w:bookmarkStart w:id="148" w:name="_Toc18073871"/>
      <w:bookmarkStart w:id="149" w:name="_Toc18077493"/>
      <w:bookmarkStart w:id="150" w:name="_Toc18077662"/>
      <w:bookmarkStart w:id="151" w:name="_Toc18082896"/>
      <w:bookmarkStart w:id="152" w:name="_Toc18083068"/>
      <w:bookmarkStart w:id="153" w:name="_Toc18083241"/>
      <w:bookmarkStart w:id="154" w:name="_Toc18311188"/>
      <w:bookmarkStart w:id="155" w:name="_Toc18312744"/>
      <w:bookmarkStart w:id="156" w:name="_Toc18322034"/>
      <w:bookmarkStart w:id="157" w:name="_Toc18322213"/>
      <w:bookmarkStart w:id="158" w:name="_Toc18336794"/>
      <w:bookmarkStart w:id="159" w:name="_Toc18338074"/>
      <w:bookmarkStart w:id="160" w:name="_Toc17989298"/>
      <w:bookmarkStart w:id="161" w:name="_Toc17990370"/>
      <w:bookmarkStart w:id="162" w:name="_Toc17989299"/>
      <w:bookmarkStart w:id="163" w:name="_Toc17990371"/>
      <w:bookmarkStart w:id="164" w:name="_Toc17989300"/>
      <w:bookmarkStart w:id="165" w:name="_Toc17990372"/>
      <w:bookmarkStart w:id="166" w:name="_Toc17989301"/>
      <w:bookmarkStart w:id="167" w:name="_Toc17990373"/>
      <w:bookmarkStart w:id="168" w:name="_Toc17989302"/>
      <w:bookmarkStart w:id="169" w:name="_Toc17990374"/>
      <w:bookmarkStart w:id="170" w:name="_Toc65760466"/>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ED2279">
        <w:rPr>
          <w:rFonts w:ascii="Arial" w:hAnsi="Arial"/>
        </w:rPr>
        <w:t>Trends in IoT</w:t>
      </w:r>
      <w:bookmarkEnd w:id="170"/>
    </w:p>
    <w:p w14:paraId="0BCCDEF5" w14:textId="518AD1D8" w:rsidR="00A20E95" w:rsidRPr="00ED2279" w:rsidRDefault="00A20E95" w:rsidP="0022369F">
      <w:pPr>
        <w:pStyle w:val="DCSbodytext"/>
        <w:rPr>
          <w:shd w:val="clear" w:color="auto" w:fill="FFFFFF"/>
        </w:rPr>
      </w:pPr>
      <w:r w:rsidRPr="00ED2279">
        <w:rPr>
          <w:shd w:val="clear" w:color="auto" w:fill="FFFFFF"/>
        </w:rPr>
        <w:t>The number of deployed IoT devices in the world is expected to grow exponentially</w:t>
      </w:r>
      <w:r w:rsidR="00AC078A" w:rsidRPr="00ED2279">
        <w:rPr>
          <w:shd w:val="clear" w:color="auto" w:fill="FFFFFF"/>
        </w:rPr>
        <w:t xml:space="preserve">. The </w:t>
      </w:r>
      <w:r w:rsidRPr="00ED2279">
        <w:rPr>
          <w:shd w:val="clear" w:color="auto" w:fill="FFFFFF"/>
        </w:rPr>
        <w:t xml:space="preserve"> </w:t>
      </w:r>
      <w:hyperlink r:id="rId32" w:history="1">
        <w:r w:rsidRPr="00ED2279">
          <w:rPr>
            <w:rStyle w:val="Hyperlink"/>
            <w:shd w:val="clear" w:color="auto" w:fill="FFFFFF"/>
          </w:rPr>
          <w:t>International Data Corporation (IDC)</w:t>
        </w:r>
      </w:hyperlink>
      <w:r w:rsidR="003459A2" w:rsidRPr="00E46FB0">
        <w:rPr>
          <w:shd w:val="clear" w:color="auto" w:fill="FFFFFF"/>
        </w:rPr>
        <w:t xml:space="preserve"> estimat</w:t>
      </w:r>
      <w:r w:rsidR="00AC078A" w:rsidRPr="00ED2279">
        <w:rPr>
          <w:shd w:val="clear" w:color="auto" w:fill="FFFFFF"/>
        </w:rPr>
        <w:t>es</w:t>
      </w:r>
      <w:r w:rsidRPr="00ED2279">
        <w:rPr>
          <w:shd w:val="clear" w:color="auto" w:fill="FFFFFF"/>
        </w:rPr>
        <w:t xml:space="preserve"> there will be 41.6</w:t>
      </w:r>
      <w:r w:rsidR="00321AE7" w:rsidRPr="00ED2279">
        <w:rPr>
          <w:shd w:val="clear" w:color="auto" w:fill="FFFFFF"/>
        </w:rPr>
        <w:t xml:space="preserve"> </w:t>
      </w:r>
      <w:r w:rsidRPr="00ED2279">
        <w:rPr>
          <w:shd w:val="clear" w:color="auto" w:fill="FFFFFF"/>
        </w:rPr>
        <w:t>b</w:t>
      </w:r>
      <w:r w:rsidR="00321AE7" w:rsidRPr="00ED2279">
        <w:rPr>
          <w:shd w:val="clear" w:color="auto" w:fill="FFFFFF"/>
        </w:rPr>
        <w:t>illio</w:t>
      </w:r>
      <w:r w:rsidRPr="00ED2279">
        <w:rPr>
          <w:shd w:val="clear" w:color="auto" w:fill="FFFFFF"/>
        </w:rPr>
        <w:t xml:space="preserve">n </w:t>
      </w:r>
      <w:r w:rsidR="00E149FE" w:rsidRPr="00ED2279">
        <w:rPr>
          <w:shd w:val="clear" w:color="auto" w:fill="FFFFFF"/>
        </w:rPr>
        <w:t>c</w:t>
      </w:r>
      <w:r w:rsidRPr="00ED2279">
        <w:rPr>
          <w:shd w:val="clear" w:color="auto" w:fill="FFFFFF"/>
        </w:rPr>
        <w:t>onnected IoT devices by 2025</w:t>
      </w:r>
      <w:r w:rsidR="00F65943" w:rsidRPr="00ED2279">
        <w:rPr>
          <w:shd w:val="clear" w:color="auto" w:fill="FFFFFF"/>
        </w:rPr>
        <w:t xml:space="preserve"> worldwide</w:t>
      </w:r>
      <w:r w:rsidR="001A6BDC" w:rsidRPr="00ED2279">
        <w:rPr>
          <w:shd w:val="clear" w:color="auto" w:fill="FFFFFF"/>
        </w:rPr>
        <w:t xml:space="preserve"> </w:t>
      </w:r>
      <w:r w:rsidRPr="00ED2279">
        <w:rPr>
          <w:shd w:val="clear" w:color="auto" w:fill="FFFFFF"/>
        </w:rPr>
        <w:t>compared to an estimated 14.2</w:t>
      </w:r>
      <w:r w:rsidR="00321AE7" w:rsidRPr="00ED2279">
        <w:rPr>
          <w:shd w:val="clear" w:color="auto" w:fill="FFFFFF"/>
        </w:rPr>
        <w:t xml:space="preserve"> </w:t>
      </w:r>
      <w:r w:rsidRPr="00ED2279">
        <w:rPr>
          <w:shd w:val="clear" w:color="auto" w:fill="FFFFFF"/>
        </w:rPr>
        <w:t>b</w:t>
      </w:r>
      <w:r w:rsidR="00321AE7" w:rsidRPr="00ED2279">
        <w:rPr>
          <w:shd w:val="clear" w:color="auto" w:fill="FFFFFF"/>
        </w:rPr>
        <w:t>illio</w:t>
      </w:r>
      <w:r w:rsidRPr="00ED2279">
        <w:rPr>
          <w:shd w:val="clear" w:color="auto" w:fill="FFFFFF"/>
        </w:rPr>
        <w:t>n connected things in 2019</w:t>
      </w:r>
      <w:r w:rsidR="001A6BDC" w:rsidRPr="00ED2279">
        <w:rPr>
          <w:shd w:val="clear" w:color="auto" w:fill="FFFFFF"/>
        </w:rPr>
        <w:t xml:space="preserve">. </w:t>
      </w:r>
      <w:r w:rsidRPr="00ED2279">
        <w:rPr>
          <w:shd w:val="clear" w:color="auto" w:fill="FFFFFF"/>
        </w:rPr>
        <w:t>The IDC also estimates that worldwide technology spending on IoT will reach US$1.2 trillion in 2022</w:t>
      </w:r>
      <w:r w:rsidR="00B31066" w:rsidRPr="00ED2279">
        <w:rPr>
          <w:shd w:val="clear" w:color="auto" w:fill="FFFFFF"/>
        </w:rPr>
        <w:t xml:space="preserve"> </w:t>
      </w:r>
      <w:r w:rsidRPr="00ED2279">
        <w:rPr>
          <w:shd w:val="clear" w:color="auto" w:fill="FFFFFF"/>
        </w:rPr>
        <w:t>compared to US$745</w:t>
      </w:r>
      <w:r w:rsidR="00AC078A" w:rsidRPr="00ED2279">
        <w:rPr>
          <w:shd w:val="clear" w:color="auto" w:fill="FFFFFF"/>
        </w:rPr>
        <w:t xml:space="preserve"> </w:t>
      </w:r>
      <w:r w:rsidRPr="00ED2279">
        <w:rPr>
          <w:shd w:val="clear" w:color="auto" w:fill="FFFFFF"/>
        </w:rPr>
        <w:t>b</w:t>
      </w:r>
      <w:r w:rsidR="00AC078A" w:rsidRPr="00ED2279">
        <w:rPr>
          <w:shd w:val="clear" w:color="auto" w:fill="FFFFFF"/>
        </w:rPr>
        <w:t>illio</w:t>
      </w:r>
      <w:r w:rsidRPr="00ED2279">
        <w:rPr>
          <w:shd w:val="clear" w:color="auto" w:fill="FFFFFF"/>
        </w:rPr>
        <w:t>n in 2019</w:t>
      </w:r>
      <w:r w:rsidR="00B31066" w:rsidRPr="00ED2279">
        <w:rPr>
          <w:shd w:val="clear" w:color="auto" w:fill="FFFFFF"/>
        </w:rPr>
        <w:t>.</w:t>
      </w:r>
      <w:r w:rsidRPr="00ED2279">
        <w:rPr>
          <w:shd w:val="clear" w:color="auto" w:fill="FFFFFF"/>
        </w:rPr>
        <w:t xml:space="preserve"> For 2019 it is predicted that the largest IoT market will be discrete manufacturing (US$119</w:t>
      </w:r>
      <w:r w:rsidR="00B82638" w:rsidRPr="00ED2279">
        <w:rPr>
          <w:shd w:val="clear" w:color="auto" w:fill="FFFFFF"/>
        </w:rPr>
        <w:t xml:space="preserve"> </w:t>
      </w:r>
      <w:r w:rsidRPr="00ED2279">
        <w:rPr>
          <w:shd w:val="clear" w:color="auto" w:fill="FFFFFF"/>
        </w:rPr>
        <w:t>b</w:t>
      </w:r>
      <w:r w:rsidR="00B82638" w:rsidRPr="00ED2279">
        <w:rPr>
          <w:shd w:val="clear" w:color="auto" w:fill="FFFFFF"/>
        </w:rPr>
        <w:t>illio</w:t>
      </w:r>
      <w:r w:rsidRPr="00ED2279">
        <w:rPr>
          <w:shd w:val="clear" w:color="auto" w:fill="FFFFFF"/>
        </w:rPr>
        <w:t>n), followed by consumer retail (US$108</w:t>
      </w:r>
      <w:r w:rsidR="00B82638" w:rsidRPr="00ED2279">
        <w:rPr>
          <w:shd w:val="clear" w:color="auto" w:fill="FFFFFF"/>
        </w:rPr>
        <w:t xml:space="preserve"> </w:t>
      </w:r>
      <w:r w:rsidRPr="00ED2279">
        <w:rPr>
          <w:shd w:val="clear" w:color="auto" w:fill="FFFFFF"/>
        </w:rPr>
        <w:t>b</w:t>
      </w:r>
      <w:r w:rsidR="00B82638" w:rsidRPr="00ED2279">
        <w:rPr>
          <w:shd w:val="clear" w:color="auto" w:fill="FFFFFF"/>
        </w:rPr>
        <w:t>illio</w:t>
      </w:r>
      <w:r w:rsidRPr="00ED2279">
        <w:rPr>
          <w:shd w:val="clear" w:color="auto" w:fill="FFFFFF"/>
        </w:rPr>
        <w:t>n), process manufacturing (US$78</w:t>
      </w:r>
      <w:r w:rsidR="00B82638" w:rsidRPr="00ED2279">
        <w:rPr>
          <w:shd w:val="clear" w:color="auto" w:fill="FFFFFF"/>
        </w:rPr>
        <w:t xml:space="preserve"> </w:t>
      </w:r>
      <w:r w:rsidRPr="00ED2279">
        <w:rPr>
          <w:shd w:val="clear" w:color="auto" w:fill="FFFFFF"/>
        </w:rPr>
        <w:t>b</w:t>
      </w:r>
      <w:r w:rsidR="00B82638" w:rsidRPr="00ED2279">
        <w:rPr>
          <w:shd w:val="clear" w:color="auto" w:fill="FFFFFF"/>
        </w:rPr>
        <w:t>illio</w:t>
      </w:r>
      <w:r w:rsidRPr="00ED2279">
        <w:rPr>
          <w:shd w:val="clear" w:color="auto" w:fill="FFFFFF"/>
        </w:rPr>
        <w:t>n), transport (US$71</w:t>
      </w:r>
      <w:r w:rsidR="00B82638" w:rsidRPr="00ED2279">
        <w:rPr>
          <w:shd w:val="clear" w:color="auto" w:fill="FFFFFF"/>
        </w:rPr>
        <w:t xml:space="preserve"> </w:t>
      </w:r>
      <w:r w:rsidRPr="00ED2279">
        <w:rPr>
          <w:shd w:val="clear" w:color="auto" w:fill="FFFFFF"/>
        </w:rPr>
        <w:t>b</w:t>
      </w:r>
      <w:r w:rsidR="00B82638" w:rsidRPr="00ED2279">
        <w:rPr>
          <w:shd w:val="clear" w:color="auto" w:fill="FFFFFF"/>
        </w:rPr>
        <w:t>illio</w:t>
      </w:r>
      <w:r w:rsidRPr="00ED2279">
        <w:rPr>
          <w:shd w:val="clear" w:color="auto" w:fill="FFFFFF"/>
        </w:rPr>
        <w:t>n) and utilities (US$61</w:t>
      </w:r>
      <w:r w:rsidR="00C14170" w:rsidRPr="00ED2279">
        <w:rPr>
          <w:shd w:val="clear" w:color="auto" w:fill="FFFFFF"/>
        </w:rPr>
        <w:t xml:space="preserve"> </w:t>
      </w:r>
      <w:r w:rsidRPr="00ED2279">
        <w:rPr>
          <w:shd w:val="clear" w:color="auto" w:fill="FFFFFF"/>
        </w:rPr>
        <w:t>b</w:t>
      </w:r>
      <w:r w:rsidR="00C14170" w:rsidRPr="00ED2279">
        <w:rPr>
          <w:shd w:val="clear" w:color="auto" w:fill="FFFFFF"/>
        </w:rPr>
        <w:t>illio</w:t>
      </w:r>
      <w:r w:rsidRPr="00ED2279">
        <w:rPr>
          <w:shd w:val="clear" w:color="auto" w:fill="FFFFFF"/>
        </w:rPr>
        <w:t>n).</w:t>
      </w:r>
    </w:p>
    <w:p w14:paraId="4D92113A" w14:textId="04A80F18" w:rsidR="00A20E95" w:rsidRPr="00ED2279" w:rsidRDefault="00A20E95" w:rsidP="0022369F">
      <w:pPr>
        <w:pStyle w:val="DCSbodytext"/>
        <w:rPr>
          <w:shd w:val="clear" w:color="auto" w:fill="FFFFFF"/>
        </w:rPr>
      </w:pPr>
      <w:r w:rsidRPr="00ED2279">
        <w:rPr>
          <w:shd w:val="clear" w:color="auto" w:fill="FFFFFF"/>
        </w:rPr>
        <w:t xml:space="preserve">Domestically, the </w:t>
      </w:r>
      <w:hyperlink r:id="rId33" w:history="1">
        <w:r w:rsidR="00F6251C" w:rsidRPr="00ED2279">
          <w:rPr>
            <w:rStyle w:val="Hyperlink"/>
            <w:rFonts w:cstheme="minorHAnsi"/>
          </w:rPr>
          <w:t>Australian Computer Society (ACS) Report prepared by PwC, Australia’s IoT Opportunity: Driving Future Growth (2018)</w:t>
        </w:r>
      </w:hyperlink>
      <w:r w:rsidRPr="00E46FB0">
        <w:rPr>
          <w:shd w:val="clear" w:color="auto" w:fill="FFFFFF"/>
        </w:rPr>
        <w:t xml:space="preserve"> found that IoT </w:t>
      </w:r>
      <w:r w:rsidR="00775A87" w:rsidRPr="00ED2279">
        <w:rPr>
          <w:shd w:val="clear" w:color="auto" w:fill="FFFFFF"/>
        </w:rPr>
        <w:t>has</w:t>
      </w:r>
      <w:r w:rsidRPr="00ED2279">
        <w:rPr>
          <w:shd w:val="clear" w:color="auto" w:fill="FFFFFF"/>
        </w:rPr>
        <w:t xml:space="preserve"> potential annual benefits </w:t>
      </w:r>
      <w:r w:rsidR="00775A87" w:rsidRPr="00ED2279">
        <w:rPr>
          <w:shd w:val="clear" w:color="auto" w:fill="FFFFFF"/>
        </w:rPr>
        <w:t xml:space="preserve">for </w:t>
      </w:r>
      <w:r w:rsidRPr="00ED2279">
        <w:rPr>
          <w:shd w:val="clear" w:color="auto" w:fill="FFFFFF"/>
        </w:rPr>
        <w:t>Australia of $194-308</w:t>
      </w:r>
      <w:r w:rsidR="00F835BB" w:rsidRPr="00ED2279">
        <w:rPr>
          <w:shd w:val="clear" w:color="auto" w:fill="FFFFFF"/>
        </w:rPr>
        <w:t xml:space="preserve"> </w:t>
      </w:r>
      <w:r w:rsidRPr="00ED2279">
        <w:rPr>
          <w:shd w:val="clear" w:color="auto" w:fill="FFFFFF"/>
        </w:rPr>
        <w:t>b</w:t>
      </w:r>
      <w:r w:rsidR="00F835BB" w:rsidRPr="00ED2279">
        <w:rPr>
          <w:shd w:val="clear" w:color="auto" w:fill="FFFFFF"/>
        </w:rPr>
        <w:t>illio</w:t>
      </w:r>
      <w:r w:rsidRPr="00ED2279">
        <w:rPr>
          <w:shd w:val="clear" w:color="auto" w:fill="FFFFFF"/>
        </w:rPr>
        <w:t>n over 8</w:t>
      </w:r>
      <w:r w:rsidR="00F835BB" w:rsidRPr="00ED2279">
        <w:rPr>
          <w:shd w:val="clear" w:color="auto" w:fill="FFFFFF"/>
        </w:rPr>
        <w:t xml:space="preserve"> to </w:t>
      </w:r>
      <w:r w:rsidRPr="00ED2279">
        <w:rPr>
          <w:shd w:val="clear" w:color="auto" w:fill="FFFFFF"/>
        </w:rPr>
        <w:t>18 years</w:t>
      </w:r>
      <w:r w:rsidR="00DF4856" w:rsidRPr="00ED2279">
        <w:rPr>
          <w:shd w:val="clear" w:color="auto" w:fill="FFFFFF"/>
        </w:rPr>
        <w:t xml:space="preserve">. This </w:t>
      </w:r>
      <w:r w:rsidRPr="00ED2279">
        <w:rPr>
          <w:shd w:val="clear" w:color="auto" w:fill="FFFFFF"/>
        </w:rPr>
        <w:t xml:space="preserve">translates to approximately </w:t>
      </w:r>
      <w:r w:rsidR="00900410" w:rsidRPr="00ED2279">
        <w:rPr>
          <w:shd w:val="clear" w:color="auto" w:fill="FFFFFF"/>
        </w:rPr>
        <w:t xml:space="preserve">two percent </w:t>
      </w:r>
      <w:r w:rsidRPr="00ED2279">
        <w:rPr>
          <w:shd w:val="clear" w:color="auto" w:fill="FFFFFF"/>
        </w:rPr>
        <w:t>per annum in productivity improvements in the construction, manufacturing, health, food/agriculture</w:t>
      </w:r>
      <w:r w:rsidR="00510D17" w:rsidRPr="00ED2279">
        <w:rPr>
          <w:shd w:val="clear" w:color="auto" w:fill="FFFFFF"/>
        </w:rPr>
        <w:t>,</w:t>
      </w:r>
      <w:r w:rsidRPr="00ED2279">
        <w:rPr>
          <w:shd w:val="clear" w:color="auto" w:fill="FFFFFF"/>
        </w:rPr>
        <w:t xml:space="preserve"> and mining sectors. </w:t>
      </w:r>
    </w:p>
    <w:p w14:paraId="77ABCF0F" w14:textId="5E31961F" w:rsidR="00A20E95" w:rsidRPr="00ED2279" w:rsidRDefault="00A20E95" w:rsidP="0022369F">
      <w:pPr>
        <w:pStyle w:val="DCSbodytext"/>
        <w:rPr>
          <w:shd w:val="clear" w:color="auto" w:fill="FFFFFF"/>
        </w:rPr>
      </w:pPr>
      <w:r w:rsidRPr="00ED2279">
        <w:rPr>
          <w:shd w:val="clear" w:color="auto" w:fill="FFFFFF"/>
        </w:rPr>
        <w:t xml:space="preserve">According to </w:t>
      </w:r>
      <w:hyperlink r:id="rId34" w:history="1">
        <w:r w:rsidRPr="00ED2279">
          <w:rPr>
            <w:rStyle w:val="Hyperlink"/>
            <w:shd w:val="clear" w:color="auto" w:fill="FFFFFF"/>
          </w:rPr>
          <w:t>Gartner</w:t>
        </w:r>
      </w:hyperlink>
      <w:r w:rsidRPr="00E46FB0">
        <w:rPr>
          <w:shd w:val="clear" w:color="auto" w:fill="FFFFFF"/>
        </w:rPr>
        <w:t xml:space="preserve">, the top technology trend for IoT is an increase in </w:t>
      </w:r>
      <w:r w:rsidR="00FF31F5" w:rsidRPr="00ED2279">
        <w:rPr>
          <w:shd w:val="clear" w:color="auto" w:fill="FFFFFF"/>
        </w:rPr>
        <w:t>artificial intelligence (</w:t>
      </w:r>
      <w:r w:rsidRPr="00ED2279">
        <w:rPr>
          <w:shd w:val="clear" w:color="auto" w:fill="FFFFFF"/>
        </w:rPr>
        <w:t>AI</w:t>
      </w:r>
      <w:r w:rsidR="00FF31F5" w:rsidRPr="00ED2279">
        <w:rPr>
          <w:shd w:val="clear" w:color="auto" w:fill="FFFFFF"/>
        </w:rPr>
        <w:t>)</w:t>
      </w:r>
      <w:r w:rsidRPr="00ED2279">
        <w:rPr>
          <w:shd w:val="clear" w:color="auto" w:fill="FFFFFF"/>
        </w:rPr>
        <w:t xml:space="preserve"> being applied to data and information that i</w:t>
      </w:r>
      <w:r w:rsidR="005B4DB8" w:rsidRPr="00ED2279">
        <w:rPr>
          <w:shd w:val="clear" w:color="auto" w:fill="FFFFFF"/>
        </w:rPr>
        <w:t>s</w:t>
      </w:r>
      <w:r w:rsidRPr="00ED2279">
        <w:rPr>
          <w:shd w:val="clear" w:color="auto" w:fill="FFFFFF"/>
        </w:rPr>
        <w:t xml:space="preserve"> collected through IoT devices</w:t>
      </w:r>
      <w:r w:rsidR="005B4DB8" w:rsidRPr="00ED2279">
        <w:rPr>
          <w:shd w:val="clear" w:color="auto" w:fill="FFFFFF"/>
        </w:rPr>
        <w:t xml:space="preserve">. </w:t>
      </w:r>
      <w:r w:rsidRPr="00ED2279">
        <w:rPr>
          <w:shd w:val="clear" w:color="auto" w:fill="FFFFFF"/>
        </w:rPr>
        <w:t>I</w:t>
      </w:r>
      <w:r w:rsidR="00374CED" w:rsidRPr="00ED2279">
        <w:rPr>
          <w:shd w:val="clear" w:color="auto" w:fill="FFFFFF"/>
        </w:rPr>
        <w:t>o</w:t>
      </w:r>
      <w:r w:rsidRPr="00ED2279">
        <w:rPr>
          <w:shd w:val="clear" w:color="auto" w:fill="FFFFFF"/>
        </w:rPr>
        <w:t xml:space="preserve">T </w:t>
      </w:r>
      <w:r w:rsidR="00374CED" w:rsidRPr="00ED2279">
        <w:t xml:space="preserve">service providers </w:t>
      </w:r>
      <w:r w:rsidR="005B4DB8" w:rsidRPr="00ED2279">
        <w:rPr>
          <w:shd w:val="clear" w:color="auto" w:fill="FFFFFF"/>
        </w:rPr>
        <w:t xml:space="preserve">are </w:t>
      </w:r>
      <w:r w:rsidRPr="00ED2279">
        <w:rPr>
          <w:shd w:val="clear" w:color="auto" w:fill="FFFFFF"/>
        </w:rPr>
        <w:t xml:space="preserve">expected to invest heavily in AI in the coming years. It is widely agreed that AI will increasingly drive IoT development and deployment, as the </w:t>
      </w:r>
      <w:r w:rsidR="00407F59" w:rsidRPr="00ED2279">
        <w:rPr>
          <w:shd w:val="clear" w:color="auto" w:fill="FFFFFF"/>
        </w:rPr>
        <w:t xml:space="preserve">number </w:t>
      </w:r>
      <w:r w:rsidRPr="00ED2279">
        <w:rPr>
          <w:shd w:val="clear" w:color="auto" w:fill="FFFFFF"/>
        </w:rPr>
        <w:t>and complexity of IoT systems</w:t>
      </w:r>
      <w:r w:rsidR="00243078" w:rsidRPr="00ED2279">
        <w:rPr>
          <w:shd w:val="clear" w:color="auto" w:fill="FFFFFF"/>
        </w:rPr>
        <w:t>,</w:t>
      </w:r>
      <w:r w:rsidRPr="00ED2279">
        <w:rPr>
          <w:shd w:val="clear" w:color="auto" w:fill="FFFFFF"/>
        </w:rPr>
        <w:t xml:space="preserve"> and the data collected and analys</w:t>
      </w:r>
      <w:r w:rsidR="007C13CF" w:rsidRPr="00ED2279">
        <w:rPr>
          <w:shd w:val="clear" w:color="auto" w:fill="FFFFFF"/>
        </w:rPr>
        <w:t>ed</w:t>
      </w:r>
      <w:r w:rsidR="00243078" w:rsidRPr="00ED2279">
        <w:rPr>
          <w:shd w:val="clear" w:color="auto" w:fill="FFFFFF"/>
        </w:rPr>
        <w:t>,</w:t>
      </w:r>
      <w:r w:rsidRPr="00ED2279">
        <w:rPr>
          <w:shd w:val="clear" w:color="auto" w:fill="FFFFFF"/>
        </w:rPr>
        <w:t xml:space="preserve"> </w:t>
      </w:r>
      <w:r w:rsidR="00672BC2" w:rsidRPr="00ED2279">
        <w:rPr>
          <w:shd w:val="clear" w:color="auto" w:fill="FFFFFF"/>
        </w:rPr>
        <w:t xml:space="preserve">exceed </w:t>
      </w:r>
      <w:r w:rsidR="001401D8" w:rsidRPr="00ED2279">
        <w:rPr>
          <w:shd w:val="clear" w:color="auto" w:fill="FFFFFF"/>
        </w:rPr>
        <w:t xml:space="preserve">human </w:t>
      </w:r>
      <w:r w:rsidR="009A3F06" w:rsidRPr="00ED2279">
        <w:rPr>
          <w:shd w:val="clear" w:color="auto" w:fill="FFFFFF"/>
        </w:rPr>
        <w:t>cap</w:t>
      </w:r>
      <w:r w:rsidR="001401D8" w:rsidRPr="00ED2279">
        <w:rPr>
          <w:shd w:val="clear" w:color="auto" w:fill="FFFFFF"/>
        </w:rPr>
        <w:t>ability.</w:t>
      </w:r>
      <w:r w:rsidRPr="00ED2279">
        <w:rPr>
          <w:shd w:val="clear" w:color="auto" w:fill="FFFFFF"/>
        </w:rPr>
        <w:t xml:space="preserve"> </w:t>
      </w:r>
    </w:p>
    <w:p w14:paraId="15336F5C" w14:textId="0CD567F3" w:rsidR="00A20E95" w:rsidRPr="00ED2279" w:rsidRDefault="00A20E95" w:rsidP="0022369F">
      <w:pPr>
        <w:pStyle w:val="DCSbodytext"/>
        <w:rPr>
          <w:shd w:val="clear" w:color="auto" w:fill="FFFFFF"/>
        </w:rPr>
      </w:pPr>
      <w:r w:rsidRPr="00ED2279">
        <w:rPr>
          <w:shd w:val="clear" w:color="auto" w:fill="FFFFFF"/>
        </w:rPr>
        <w:t xml:space="preserve">Gartner </w:t>
      </w:r>
      <w:r w:rsidR="009B1F44" w:rsidRPr="00ED2279">
        <w:rPr>
          <w:shd w:val="clear" w:color="auto" w:fill="FFFFFF"/>
        </w:rPr>
        <w:t>predicts</w:t>
      </w:r>
      <w:r w:rsidRPr="00ED2279">
        <w:rPr>
          <w:shd w:val="clear" w:color="auto" w:fill="FFFFFF"/>
        </w:rPr>
        <w:t xml:space="preserve"> the moneti</w:t>
      </w:r>
      <w:r w:rsidR="00096CA9" w:rsidRPr="00ED2279">
        <w:rPr>
          <w:shd w:val="clear" w:color="auto" w:fill="FFFFFF"/>
        </w:rPr>
        <w:t>s</w:t>
      </w:r>
      <w:r w:rsidRPr="00ED2279">
        <w:rPr>
          <w:shd w:val="clear" w:color="auto" w:fill="FFFFFF"/>
        </w:rPr>
        <w:t xml:space="preserve">ation of data becoming a strategic business asset and </w:t>
      </w:r>
      <w:r w:rsidR="00DB0AB9" w:rsidRPr="00ED2279">
        <w:rPr>
          <w:shd w:val="clear" w:color="auto" w:fill="FFFFFF"/>
        </w:rPr>
        <w:t>that it</w:t>
      </w:r>
      <w:r w:rsidRPr="00ED2279">
        <w:rPr>
          <w:shd w:val="clear" w:color="auto" w:fill="FFFFFF"/>
        </w:rPr>
        <w:t xml:space="preserve"> will become an essential part of many IoT ecosystems</w:t>
      </w:r>
      <w:r w:rsidR="00DB0AB9" w:rsidRPr="00ED2279">
        <w:rPr>
          <w:shd w:val="clear" w:color="auto" w:fill="FFFFFF"/>
        </w:rPr>
        <w:t xml:space="preserve"> by 2030</w:t>
      </w:r>
      <w:r w:rsidRPr="00ED2279">
        <w:rPr>
          <w:shd w:val="clear" w:color="auto" w:fill="FFFFFF"/>
        </w:rPr>
        <w:t>.</w:t>
      </w:r>
      <w:r w:rsidR="00112460" w:rsidRPr="00ED2279">
        <w:rPr>
          <w:shd w:val="clear" w:color="auto" w:fill="FFFFFF"/>
        </w:rPr>
        <w:t xml:space="preserve"> A</w:t>
      </w:r>
      <w:r w:rsidRPr="00ED2279">
        <w:rPr>
          <w:shd w:val="clear" w:color="auto" w:fill="FFFFFF"/>
        </w:rPr>
        <w:t>s IoT matures and becomes more widely deployed, social, ethical and legal issues will become more important</w:t>
      </w:r>
      <w:r w:rsidR="00AE5DE3" w:rsidRPr="00ED2279">
        <w:rPr>
          <w:shd w:val="clear" w:color="auto" w:fill="FFFFFF"/>
        </w:rPr>
        <w:t>. An</w:t>
      </w:r>
      <w:r w:rsidRPr="00ED2279">
        <w:rPr>
          <w:shd w:val="clear" w:color="auto" w:fill="FFFFFF"/>
        </w:rPr>
        <w:t xml:space="preserve"> IoT governance framework that ensures appropriate behaviour in the creation, storage, use and deletion of information related to IoT</w:t>
      </w:r>
      <w:r w:rsidR="00AE5DE3" w:rsidRPr="00ED2279">
        <w:rPr>
          <w:shd w:val="clear" w:color="auto" w:fill="FFFFFF"/>
        </w:rPr>
        <w:t>-enabled</w:t>
      </w:r>
      <w:r w:rsidRPr="00ED2279">
        <w:rPr>
          <w:shd w:val="clear" w:color="auto" w:fill="FFFFFF"/>
        </w:rPr>
        <w:t xml:space="preserve"> projects </w:t>
      </w:r>
      <w:r w:rsidR="005E714C" w:rsidRPr="00ED2279">
        <w:rPr>
          <w:shd w:val="clear" w:color="auto" w:fill="FFFFFF"/>
        </w:rPr>
        <w:t xml:space="preserve">in </w:t>
      </w:r>
      <w:r w:rsidRPr="00ED2279">
        <w:rPr>
          <w:shd w:val="clear" w:color="auto" w:fill="FFFFFF"/>
        </w:rPr>
        <w:t>the private sector</w:t>
      </w:r>
      <w:r w:rsidR="005E714C" w:rsidRPr="00ED2279">
        <w:rPr>
          <w:shd w:val="clear" w:color="auto" w:fill="FFFFFF"/>
        </w:rPr>
        <w:t xml:space="preserve"> will also become more </w:t>
      </w:r>
      <w:r w:rsidR="00ED7953" w:rsidRPr="00ED2279">
        <w:rPr>
          <w:shd w:val="clear" w:color="auto" w:fill="FFFFFF"/>
        </w:rPr>
        <w:t>vital</w:t>
      </w:r>
      <w:r w:rsidR="005E714C" w:rsidRPr="00ED2279">
        <w:rPr>
          <w:shd w:val="clear" w:color="auto" w:fill="FFFFFF"/>
        </w:rPr>
        <w:t>.</w:t>
      </w:r>
    </w:p>
    <w:p w14:paraId="7143C81A" w14:textId="5B1025B5" w:rsidR="00A20E95" w:rsidRPr="00ED2279" w:rsidRDefault="00A20E95" w:rsidP="0022369F">
      <w:pPr>
        <w:pStyle w:val="DCSbodytext"/>
        <w:rPr>
          <w:shd w:val="clear" w:color="auto" w:fill="FFFFFF"/>
        </w:rPr>
      </w:pPr>
      <w:r w:rsidRPr="00ED2279">
        <w:rPr>
          <w:shd w:val="clear" w:color="auto" w:fill="FFFFFF"/>
        </w:rPr>
        <w:t>Sensors and technology will continue to evolve and innovate</w:t>
      </w:r>
      <w:r w:rsidR="00D543DF" w:rsidRPr="00ED2279">
        <w:rPr>
          <w:shd w:val="clear" w:color="auto" w:fill="FFFFFF"/>
        </w:rPr>
        <w:t xml:space="preserve">. By </w:t>
      </w:r>
      <w:r w:rsidRPr="00ED2279">
        <w:rPr>
          <w:shd w:val="clear" w:color="auto" w:fill="FFFFFF"/>
        </w:rPr>
        <w:t>2023 it is expected that new special-purpose chips will be developed to operate on high-performance networks with lower power consumption</w:t>
      </w:r>
      <w:r w:rsidR="00D0038F" w:rsidRPr="00ED2279">
        <w:rPr>
          <w:shd w:val="clear" w:color="auto" w:fill="FFFFFF"/>
        </w:rPr>
        <w:t>.</w:t>
      </w:r>
      <w:r w:rsidR="00C70AA5" w:rsidRPr="00ED2279">
        <w:rPr>
          <w:shd w:val="clear" w:color="auto" w:fill="FFFFFF"/>
        </w:rPr>
        <w:t xml:space="preserve"> These will</w:t>
      </w:r>
      <w:r w:rsidRPr="00ED2279">
        <w:rPr>
          <w:shd w:val="clear" w:color="auto" w:fill="FFFFFF"/>
        </w:rPr>
        <w:t xml:space="preserve"> support new functions such as data analytics integrated with sensors. </w:t>
      </w:r>
    </w:p>
    <w:p w14:paraId="71E2AE9F" w14:textId="3101543B" w:rsidR="00EF52F0" w:rsidRPr="00ED2279" w:rsidRDefault="00A20E95" w:rsidP="0022369F">
      <w:pPr>
        <w:pStyle w:val="DCSbodytext"/>
        <w:rPr>
          <w:shd w:val="clear" w:color="auto" w:fill="FFFFFF"/>
        </w:rPr>
      </w:pPr>
      <w:r w:rsidRPr="00ED2279">
        <w:rPr>
          <w:shd w:val="clear" w:color="auto" w:fill="FFFFFF"/>
        </w:rPr>
        <w:t>IoT architecture trends will continue to shift from centralised and cloud architecture to edge architecture, and then towards unstructured and connected dynamic mesh architecture</w:t>
      </w:r>
      <w:r w:rsidR="00520741" w:rsidRPr="00ED2279">
        <w:rPr>
          <w:shd w:val="clear" w:color="auto" w:fill="FFFFFF"/>
        </w:rPr>
        <w:t xml:space="preserve"> </w:t>
      </w:r>
      <w:r w:rsidR="000D7A33" w:rsidRPr="00ED2279">
        <w:rPr>
          <w:shd w:val="clear" w:color="auto" w:fill="FFFFFF"/>
        </w:rPr>
        <w:t xml:space="preserve">enabling </w:t>
      </w:r>
      <w:r w:rsidRPr="00ED2279">
        <w:rPr>
          <w:shd w:val="clear" w:color="auto" w:fill="FFFFFF"/>
        </w:rPr>
        <w:t>more flexible, intelligen</w:t>
      </w:r>
      <w:r w:rsidR="00520741" w:rsidRPr="00ED2279">
        <w:rPr>
          <w:shd w:val="clear" w:color="auto" w:fill="FFFFFF"/>
        </w:rPr>
        <w:t>t</w:t>
      </w:r>
      <w:r w:rsidRPr="00ED2279">
        <w:rPr>
          <w:shd w:val="clear" w:color="auto" w:fill="FFFFFF"/>
        </w:rPr>
        <w:t xml:space="preserve"> and responsive IoT systems.</w:t>
      </w:r>
      <w:r w:rsidR="00520741" w:rsidRPr="00ED2279">
        <w:rPr>
          <w:shd w:val="clear" w:color="auto" w:fill="FFFFFF"/>
        </w:rPr>
        <w:t xml:space="preserve"> </w:t>
      </w:r>
    </w:p>
    <w:p w14:paraId="7362CBC4" w14:textId="77777777" w:rsidR="00A9072A" w:rsidRPr="00ED2279" w:rsidRDefault="00A32F17" w:rsidP="00A9072A">
      <w:pPr>
        <w:pStyle w:val="DCSbodytext"/>
        <w:rPr>
          <w:shd w:val="clear" w:color="auto" w:fill="FFFFFF"/>
        </w:rPr>
      </w:pPr>
      <w:r w:rsidRPr="00ED2279">
        <w:rPr>
          <w:shd w:val="clear" w:color="auto" w:fill="FFFFFF"/>
        </w:rPr>
        <w:t xml:space="preserve">The below diagram </w:t>
      </w:r>
      <w:r w:rsidR="00853ABB" w:rsidRPr="00ED2279">
        <w:rPr>
          <w:shd w:val="clear" w:color="auto" w:fill="FFFFFF"/>
        </w:rPr>
        <w:t>illustrates</w:t>
      </w:r>
      <w:r w:rsidRPr="00ED2279">
        <w:rPr>
          <w:shd w:val="clear" w:color="auto" w:fill="FFFFFF"/>
        </w:rPr>
        <w:t xml:space="preserve"> the trends outlined in this section.</w:t>
      </w:r>
      <w:r w:rsidR="00A9072A" w:rsidRPr="00ED2279">
        <w:rPr>
          <w:shd w:val="clear" w:color="auto" w:fill="FFFFFF"/>
        </w:rPr>
        <w:t xml:space="preserve"> </w:t>
      </w:r>
    </w:p>
    <w:p w14:paraId="450FEE72" w14:textId="2805462C" w:rsidR="00A9072A" w:rsidRPr="00E46FB0" w:rsidRDefault="00A9072A" w:rsidP="00A9072A">
      <w:pPr>
        <w:pStyle w:val="BodyText"/>
        <w:jc w:val="center"/>
      </w:pPr>
      <w:r w:rsidRPr="00ED2279">
        <w:rPr>
          <w:b/>
          <w:lang w:eastAsia="en-AU"/>
        </w:rPr>
        <w:lastRenderedPageBreak/>
        <w:t>Predicted trends in IoT</w:t>
      </w:r>
      <w:r w:rsidR="007D6163" w:rsidRPr="00E46FB0">
        <w:rPr>
          <w:noProof/>
        </w:rPr>
        <w:drawing>
          <wp:inline distT="0" distB="0" distL="0" distR="0" wp14:anchorId="6D61C140" wp14:editId="5A3FA816">
            <wp:extent cx="4330599" cy="4675231"/>
            <wp:effectExtent l="0" t="0" r="0" b="0"/>
            <wp:docPr id="11" name="Picture 11" descr="trends include 41.6 billion connected devices, $1.2 trillion on spending, over $200 billion in annual benefits over 8-18 year period, 2% growth annually&#10;Top technology trends include AI, monetisation of data, specialised chips, shift from cloud to edge and mesh architecture and social, ethical and legal frameworks to monitor IoT in private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754625"/>
                    <pic:cNvPicPr/>
                  </pic:nvPicPr>
                  <pic:blipFill>
                    <a:blip r:embed="rId35">
                      <a:extLst>
                        <a:ext uri="{28A0092B-C50C-407E-A947-70E740481C1C}">
                          <a14:useLocalDpi xmlns:a14="http://schemas.microsoft.com/office/drawing/2010/main" val="0"/>
                        </a:ext>
                      </a:extLst>
                    </a:blip>
                    <a:stretch>
                      <a:fillRect/>
                    </a:stretch>
                  </pic:blipFill>
                  <pic:spPr>
                    <a:xfrm>
                      <a:off x="0" y="0"/>
                      <a:ext cx="4330599" cy="4675231"/>
                    </a:xfrm>
                    <a:prstGeom prst="rect">
                      <a:avLst/>
                    </a:prstGeom>
                  </pic:spPr>
                </pic:pic>
              </a:graphicData>
            </a:graphic>
          </wp:inline>
        </w:drawing>
      </w:r>
    </w:p>
    <w:p w14:paraId="381B4D0E" w14:textId="61DE4852" w:rsidR="00D1149B" w:rsidRPr="00ED2279" w:rsidRDefault="00D1149B" w:rsidP="00A9072A">
      <w:pPr>
        <w:pStyle w:val="DCSbodytext"/>
        <w:spacing w:line="480" w:lineRule="auto"/>
        <w:jc w:val="center"/>
        <w:rPr>
          <w:shd w:val="clear" w:color="auto" w:fill="FFFFFF"/>
        </w:rPr>
      </w:pPr>
    </w:p>
    <w:p w14:paraId="6015C774" w14:textId="4FAD5DA7" w:rsidR="00DF4B57" w:rsidRPr="00ED2279" w:rsidRDefault="00DF4B57" w:rsidP="00DF4B57">
      <w:pPr>
        <w:pStyle w:val="Heading2"/>
        <w:rPr>
          <w:rFonts w:ascii="Arial" w:hAnsi="Arial"/>
        </w:rPr>
        <w:sectPr w:rsidR="00DF4B57" w:rsidRPr="00ED2279" w:rsidSect="002771AA">
          <w:pgSz w:w="11906" w:h="16838"/>
          <w:pgMar w:top="1418" w:right="1134" w:bottom="1134" w:left="1134" w:header="851" w:footer="425" w:gutter="0"/>
          <w:pgNumType w:start="1"/>
          <w:cols w:space="708"/>
          <w:titlePg/>
          <w:docGrid w:linePitch="360"/>
        </w:sectPr>
      </w:pPr>
      <w:bookmarkStart w:id="171" w:name="_Toc17982583"/>
      <w:bookmarkStart w:id="172" w:name="_Toc17989306"/>
      <w:bookmarkStart w:id="173" w:name="_Toc17987895"/>
      <w:bookmarkStart w:id="174" w:name="_Toc17989307"/>
      <w:bookmarkStart w:id="175" w:name="_Toc17987896"/>
      <w:bookmarkStart w:id="176" w:name="_Toc17989308"/>
      <w:bookmarkStart w:id="177" w:name="_Toc17987897"/>
      <w:bookmarkStart w:id="178" w:name="_Toc17989309"/>
      <w:bookmarkStart w:id="179" w:name="_Toc17987898"/>
      <w:bookmarkStart w:id="180" w:name="_Toc17989310"/>
      <w:bookmarkStart w:id="181" w:name="_Toc17987899"/>
      <w:bookmarkStart w:id="182" w:name="_Toc17989311"/>
      <w:bookmarkStart w:id="183" w:name="_Toc17987900"/>
      <w:bookmarkStart w:id="184" w:name="_Toc17989312"/>
      <w:bookmarkStart w:id="185" w:name="_Toc17987901"/>
      <w:bookmarkStart w:id="186" w:name="_Toc17989313"/>
      <w:bookmarkStart w:id="187" w:name="_Toc17987902"/>
      <w:bookmarkStart w:id="188" w:name="_Toc17989314"/>
      <w:bookmarkStart w:id="189" w:name="_Toc17987903"/>
      <w:bookmarkStart w:id="190" w:name="_Toc17989315"/>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3B2DC636" w14:textId="2F017B32" w:rsidR="00DF4B57" w:rsidRPr="00E46FB0" w:rsidRDefault="00DF4B57" w:rsidP="00536BEB">
      <w:pPr>
        <w:pStyle w:val="Heading2"/>
        <w:ind w:left="851"/>
        <w:rPr>
          <w:rFonts w:ascii="Arial" w:hAnsi="Arial"/>
        </w:rPr>
      </w:pPr>
      <w:bookmarkStart w:id="191" w:name="_Toc65760467"/>
      <w:r w:rsidRPr="00E46FB0">
        <w:rPr>
          <w:rFonts w:ascii="Arial" w:hAnsi="Arial"/>
        </w:rPr>
        <w:lastRenderedPageBreak/>
        <w:t>IoT in NSW Government</w:t>
      </w:r>
      <w:r w:rsidR="00D1149B" w:rsidRPr="00E46FB0">
        <w:rPr>
          <w:rFonts w:ascii="Arial" w:hAnsi="Arial"/>
          <w:noProof/>
        </w:rPr>
        <mc:AlternateContent>
          <mc:Choice Requires="wps">
            <w:drawing>
              <wp:inline distT="0" distB="0" distL="0" distR="0" wp14:anchorId="2A483208" wp14:editId="2431A165">
                <wp:extent cx="5671185" cy="676275"/>
                <wp:effectExtent l="0" t="0" r="24765" b="28575"/>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185" cy="676275"/>
                        </a:xfrm>
                        <a:prstGeom prst="rect">
                          <a:avLst/>
                        </a:prstGeom>
                        <a:solidFill>
                          <a:schemeClr val="accent1">
                            <a:lumMod val="20000"/>
                            <a:lumOff val="80000"/>
                          </a:schemeClr>
                        </a:solidFill>
                        <a:ln w="9525">
                          <a:solidFill>
                            <a:srgbClr val="000000"/>
                          </a:solidFill>
                          <a:miter lim="800000"/>
                          <a:headEnd/>
                          <a:tailEnd/>
                        </a:ln>
                      </wps:spPr>
                      <wps:txbx>
                        <w:txbxContent>
                          <w:p w14:paraId="797F648C" w14:textId="630F9FC3" w:rsidR="004A5EF4" w:rsidRDefault="004A5EF4" w:rsidP="00D1149B">
                            <w:pPr>
                              <w:pStyle w:val="DCSbodytext"/>
                              <w:ind w:left="0"/>
                              <w:jc w:val="both"/>
                            </w:pPr>
                            <w:r>
                              <w:t>New South Wales will embrace IoT to be the most innovative, integrated, intuitive Smart State in Australia. We will lead the way in employing IoT to deliver better, more accurate and evidence-based services which improve the lives of citizens.</w:t>
                            </w:r>
                          </w:p>
                        </w:txbxContent>
                      </wps:txbx>
                      <wps:bodyPr rot="0" vert="horz" wrap="square" lIns="91440" tIns="45720" rIns="91440" bIns="45720" anchor="t" anchorCtr="0">
                        <a:noAutofit/>
                      </wps:bodyPr>
                    </wps:wsp>
                  </a:graphicData>
                </a:graphic>
              </wp:inline>
            </w:drawing>
          </mc:Choice>
          <mc:Fallback>
            <w:pict>
              <v:shape w14:anchorId="2A483208" id="_x0000_s1029" type="#_x0000_t202" style="width:446.5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" fillcolor="#dbe5f1 [660]">
                <v:textbox>
                  <w:txbxContent>
                    <w:p w14:paraId="797F648C" w14:textId="630F9FC3" w:rsidR="004A5EF4" w:rsidRDefault="004A5EF4" w:rsidP="00D1149B">
                      <w:pPr>
                        <w:pStyle w:val="DCSbodytext"/>
                        <w:ind w:left="0"/>
                        <w:jc w:val="both"/>
                      </w:pPr>
                      <w:r>
                        <w:t>New South Wales will embrace IoT to be the most innovative, integrated, intuitive Smart State in Australia. We will lead the way in employing IoT to deliver better, more accurate and evidence-based services which improve the lives of citizens.</w:t>
                      </w:r>
                    </w:p>
                  </w:txbxContent>
                </v:textbox>
                <w10:anchorlock/>
              </v:shape>
            </w:pict>
          </mc:Fallback>
        </mc:AlternateContent>
      </w:r>
      <w:bookmarkEnd w:id="191"/>
    </w:p>
    <w:p w14:paraId="5753828D" w14:textId="386833E2" w:rsidR="007C6766" w:rsidRPr="00ED2279" w:rsidRDefault="00E233A5" w:rsidP="007C6766">
      <w:pPr>
        <w:pStyle w:val="Heading3"/>
        <w:rPr>
          <w:rFonts w:ascii="Arial" w:hAnsi="Arial"/>
        </w:rPr>
      </w:pPr>
      <w:bookmarkStart w:id="192" w:name="_Toc16515097"/>
      <w:bookmarkStart w:id="193" w:name="_Toc16515288"/>
      <w:bookmarkStart w:id="194" w:name="_Toc16515482"/>
      <w:bookmarkStart w:id="195" w:name="_Toc16515676"/>
      <w:bookmarkStart w:id="196" w:name="_Toc16515918"/>
      <w:bookmarkStart w:id="197" w:name="_Toc16516389"/>
      <w:bookmarkStart w:id="198" w:name="_Toc16762163"/>
      <w:bookmarkStart w:id="199" w:name="_Toc16769942"/>
      <w:bookmarkStart w:id="200" w:name="_Toc16770136"/>
      <w:bookmarkStart w:id="201" w:name="_Toc16856044"/>
      <w:bookmarkStart w:id="202" w:name="_Toc16867813"/>
      <w:bookmarkStart w:id="203" w:name="_Toc17103486"/>
      <w:bookmarkStart w:id="204" w:name="_Toc17110133"/>
      <w:bookmarkStart w:id="205" w:name="_Toc17111260"/>
      <w:bookmarkStart w:id="206" w:name="_Toc17111460"/>
      <w:bookmarkStart w:id="207" w:name="_Toc17111859"/>
      <w:bookmarkStart w:id="208" w:name="_Toc17112059"/>
      <w:bookmarkStart w:id="209" w:name="_Toc17112260"/>
      <w:bookmarkStart w:id="210" w:name="_Toc17112462"/>
      <w:bookmarkStart w:id="211" w:name="_Toc17112660"/>
      <w:bookmarkStart w:id="212" w:name="_Toc17112858"/>
      <w:bookmarkStart w:id="213" w:name="_Toc17114357"/>
      <w:bookmarkStart w:id="214" w:name="_Toc17114554"/>
      <w:bookmarkStart w:id="215" w:name="_Toc17121111"/>
      <w:bookmarkStart w:id="216" w:name="_Toc17121308"/>
      <w:bookmarkStart w:id="217" w:name="_Toc17121505"/>
      <w:bookmarkStart w:id="218" w:name="_Toc17121700"/>
      <w:bookmarkStart w:id="219" w:name="_Toc17970523"/>
      <w:bookmarkStart w:id="220" w:name="_Toc17975324"/>
      <w:bookmarkStart w:id="221" w:name="_Toc17975523"/>
      <w:bookmarkStart w:id="222" w:name="_Toc17982590"/>
      <w:bookmarkStart w:id="223" w:name="_Toc17987906"/>
      <w:bookmarkStart w:id="224" w:name="_Toc17989318"/>
      <w:bookmarkStart w:id="225" w:name="_Toc17990379"/>
      <w:bookmarkStart w:id="226" w:name="_Toc14771648"/>
      <w:bookmarkStart w:id="227" w:name="_Toc14771859"/>
      <w:bookmarkStart w:id="228" w:name="_Toc14774461"/>
      <w:bookmarkStart w:id="229" w:name="_Toc14775525"/>
      <w:bookmarkStart w:id="230" w:name="_Toc14775688"/>
      <w:bookmarkStart w:id="231" w:name="_Toc14776281"/>
      <w:bookmarkStart w:id="232" w:name="_Toc14777899"/>
      <w:bookmarkStart w:id="233" w:name="_Toc14778045"/>
      <w:bookmarkStart w:id="234" w:name="_Toc65760468"/>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ED2279">
        <w:rPr>
          <w:rFonts w:ascii="Arial" w:hAnsi="Arial"/>
        </w:rPr>
        <w:t xml:space="preserve">IoT </w:t>
      </w:r>
      <w:r w:rsidR="00CE794C" w:rsidRPr="00ED2279">
        <w:rPr>
          <w:rFonts w:ascii="Arial" w:hAnsi="Arial"/>
        </w:rPr>
        <w:t>opportunities for</w:t>
      </w:r>
      <w:r w:rsidRPr="00ED2279">
        <w:rPr>
          <w:rFonts w:ascii="Arial" w:hAnsi="Arial"/>
        </w:rPr>
        <w:t xml:space="preserve"> NSW Government</w:t>
      </w:r>
      <w:bookmarkEnd w:id="234"/>
    </w:p>
    <w:p w14:paraId="75812122" w14:textId="484027F9" w:rsidR="007F5DA6" w:rsidRPr="00ED2279" w:rsidRDefault="007F5DA6" w:rsidP="007F5DA6">
      <w:pPr>
        <w:pStyle w:val="DCSbodytext"/>
        <w:spacing w:after="120"/>
      </w:pPr>
      <w:r w:rsidRPr="00ED2279">
        <w:t>The NSW Government is keenly focused on improving customer service</w:t>
      </w:r>
      <w:r w:rsidR="00333038" w:rsidRPr="00ED2279">
        <w:t xml:space="preserve">. </w:t>
      </w:r>
      <w:r w:rsidRPr="00ED2279">
        <w:t xml:space="preserve">IoT has potential applications for </w:t>
      </w:r>
      <w:r w:rsidR="009679F5" w:rsidRPr="00ED2279">
        <w:t>many</w:t>
      </w:r>
      <w:r w:rsidRPr="00ED2279">
        <w:t xml:space="preserve"> services delivered by </w:t>
      </w:r>
      <w:r w:rsidR="00510D17" w:rsidRPr="00ED2279">
        <w:t xml:space="preserve">the </w:t>
      </w:r>
      <w:r w:rsidRPr="00ED2279">
        <w:t>government</w:t>
      </w:r>
      <w:r w:rsidR="00333038" w:rsidRPr="00ED2279">
        <w:t xml:space="preserve"> which can help agencies to:</w:t>
      </w:r>
      <w:r w:rsidRPr="00ED2279">
        <w:t xml:space="preserve"> </w:t>
      </w:r>
    </w:p>
    <w:p w14:paraId="75E1012C" w14:textId="5455609F" w:rsidR="007F5DA6" w:rsidRPr="00ED2279" w:rsidRDefault="007F5DA6" w:rsidP="00003096">
      <w:pPr>
        <w:pStyle w:val="DCSbodytext"/>
        <w:numPr>
          <w:ilvl w:val="0"/>
          <w:numId w:val="117"/>
        </w:numPr>
        <w:spacing w:after="120"/>
      </w:pPr>
      <w:r w:rsidRPr="00ED2279">
        <w:t xml:space="preserve">collect and analyse data on citizen’s needs, priorities and interactions with government, </w:t>
      </w:r>
      <w:r w:rsidR="003C718E" w:rsidRPr="00ED2279">
        <w:t xml:space="preserve">contributing to </w:t>
      </w:r>
      <w:r w:rsidRPr="00ED2279">
        <w:t>evidence-based policy and service delivery</w:t>
      </w:r>
    </w:p>
    <w:p w14:paraId="53F6DD82" w14:textId="46FC0AE7" w:rsidR="007F5DA6" w:rsidRPr="00ED2279" w:rsidRDefault="007F5DA6" w:rsidP="00003096">
      <w:pPr>
        <w:pStyle w:val="DCSbodytext"/>
        <w:numPr>
          <w:ilvl w:val="0"/>
          <w:numId w:val="117"/>
        </w:numPr>
        <w:spacing w:after="120"/>
      </w:pPr>
      <w:r w:rsidRPr="00ED2279">
        <w:t xml:space="preserve">access more accurate real-time data, </w:t>
      </w:r>
      <w:r w:rsidR="005707EB" w:rsidRPr="00ED2279">
        <w:t xml:space="preserve">which can, for example, enable </w:t>
      </w:r>
      <w:r w:rsidRPr="00ED2279">
        <w:t>the delivery of on-demand services tailored to individual needs</w:t>
      </w:r>
    </w:p>
    <w:p w14:paraId="409CAD0D" w14:textId="526B0E00" w:rsidR="007F5DA6" w:rsidRPr="00ED2279" w:rsidRDefault="007F5DA6" w:rsidP="00003096">
      <w:pPr>
        <w:pStyle w:val="DCSbodytext"/>
        <w:numPr>
          <w:ilvl w:val="0"/>
          <w:numId w:val="117"/>
        </w:numPr>
        <w:spacing w:after="120"/>
      </w:pPr>
      <w:r w:rsidRPr="00ED2279">
        <w:t>model changes to policy and services in a safe environment to better understand the impacts of decisions prior to implementation</w:t>
      </w:r>
    </w:p>
    <w:p w14:paraId="55A7A9FB" w14:textId="4E3B212D" w:rsidR="007F5DA6" w:rsidRPr="00ED2279" w:rsidRDefault="007F5DA6" w:rsidP="00003096">
      <w:pPr>
        <w:pStyle w:val="DCSbodytext"/>
        <w:numPr>
          <w:ilvl w:val="0"/>
          <w:numId w:val="117"/>
        </w:numPr>
      </w:pPr>
      <w:r w:rsidRPr="00ED2279">
        <w:t>integrate and redesign services in way</w:t>
      </w:r>
      <w:r w:rsidR="00F61B1A" w:rsidRPr="00ED2279">
        <w:t>s</w:t>
      </w:r>
      <w:r w:rsidRPr="00ED2279">
        <w:t xml:space="preserve"> that save citizens time, increase productivity and improve the customer experience. </w:t>
      </w:r>
    </w:p>
    <w:p w14:paraId="43FE82C9" w14:textId="315E45BB" w:rsidR="008F4673" w:rsidRPr="00ED2279" w:rsidRDefault="00040001" w:rsidP="00040001">
      <w:pPr>
        <w:pStyle w:val="DCSbodytext"/>
      </w:pPr>
      <w:r w:rsidRPr="00ED2279">
        <w:t xml:space="preserve">The NSW Government has an obligation to its citizens to boldly experiment, collaborate and learn. Through experimentation and </w:t>
      </w:r>
      <w:r w:rsidR="00284173" w:rsidRPr="00ED2279">
        <w:t>innovation,</w:t>
      </w:r>
      <w:r w:rsidRPr="00ED2279">
        <w:t xml:space="preserve"> we deliver better services more efficiently. Through collaboration, we break down siloes to deliver seamless services for our customers. </w:t>
      </w:r>
      <w:r w:rsidR="008C3C2D" w:rsidRPr="00ED2279">
        <w:t>When w</w:t>
      </w:r>
      <w:r w:rsidRPr="00ED2279">
        <w:t>e share what we learn</w:t>
      </w:r>
      <w:r w:rsidR="008C3C2D" w:rsidRPr="00ED2279">
        <w:t>, we</w:t>
      </w:r>
      <w:r w:rsidRPr="00ED2279">
        <w:t xml:space="preserve"> lift capability across the sector and community.</w:t>
      </w:r>
    </w:p>
    <w:p w14:paraId="7BC530C3" w14:textId="604A53F2" w:rsidR="00DF4B57" w:rsidRPr="00ED2279" w:rsidRDefault="005E2BAB" w:rsidP="008060F0">
      <w:pPr>
        <w:pStyle w:val="DCSbodytext"/>
      </w:pPr>
      <w:r w:rsidRPr="00ED2279">
        <w:t xml:space="preserve">While IoT presents many exciting opportunities </w:t>
      </w:r>
      <w:r w:rsidR="00947A08" w:rsidRPr="00ED2279">
        <w:t xml:space="preserve">for </w:t>
      </w:r>
      <w:r w:rsidR="00510D17" w:rsidRPr="00ED2279">
        <w:t xml:space="preserve">the </w:t>
      </w:r>
      <w:r w:rsidR="00947A08" w:rsidRPr="00ED2279">
        <w:t>government</w:t>
      </w:r>
      <w:r w:rsidRPr="00ED2279">
        <w:t xml:space="preserve"> to better serve its customers, these </w:t>
      </w:r>
      <w:r w:rsidR="008E2155" w:rsidRPr="00ED2279">
        <w:t>opportunities</w:t>
      </w:r>
      <w:r w:rsidRPr="00ED2279">
        <w:t xml:space="preserve"> are not without risk. The NSW Government is committed to the safe adoption of IoT</w:t>
      </w:r>
      <w:r w:rsidR="00FC718E" w:rsidRPr="00ED2279">
        <w:t>, which means</w:t>
      </w:r>
      <w:r w:rsidRPr="00ED2279">
        <w:t xml:space="preserve"> protecting privacy, minimising risks and ensuring citizens</w:t>
      </w:r>
      <w:r w:rsidR="00B34E21" w:rsidRPr="00ED2279">
        <w:t>’</w:t>
      </w:r>
      <w:r w:rsidRPr="00ED2279">
        <w:t xml:space="preserve"> security. </w:t>
      </w:r>
    </w:p>
    <w:p w14:paraId="2E108D8D" w14:textId="181A66DC" w:rsidR="004A0C8E" w:rsidRPr="00ED2279" w:rsidRDefault="0063317B" w:rsidP="008060F0">
      <w:pPr>
        <w:pStyle w:val="Heading3"/>
        <w:rPr>
          <w:rFonts w:ascii="Arial" w:hAnsi="Arial"/>
        </w:rPr>
      </w:pPr>
      <w:bookmarkStart w:id="235" w:name="_Toc65760469"/>
      <w:r w:rsidRPr="00ED2279">
        <w:rPr>
          <w:rFonts w:ascii="Arial" w:hAnsi="Arial"/>
        </w:rPr>
        <w:t>The</w:t>
      </w:r>
      <w:r w:rsidR="00E233A5" w:rsidRPr="00ED2279">
        <w:rPr>
          <w:rFonts w:ascii="Arial" w:hAnsi="Arial"/>
        </w:rPr>
        <w:t xml:space="preserve"> current state of IoT in the NSW Government</w:t>
      </w:r>
      <w:bookmarkEnd w:id="235"/>
    </w:p>
    <w:p w14:paraId="4EA3008D" w14:textId="47E8C7DC" w:rsidR="009502EB" w:rsidRPr="00ED2279" w:rsidRDefault="007B75E5" w:rsidP="007B75E5">
      <w:pPr>
        <w:pStyle w:val="DCSbodytext"/>
      </w:pPr>
      <w:r w:rsidRPr="00ED2279">
        <w:t xml:space="preserve">The NSW Government is regularly ranked </w:t>
      </w:r>
      <w:r w:rsidR="005028CF" w:rsidRPr="00ED2279">
        <w:t>as</w:t>
      </w:r>
      <w:r w:rsidRPr="00ED2279">
        <w:t xml:space="preserve"> the most digita</w:t>
      </w:r>
      <w:r w:rsidR="002D1056" w:rsidRPr="00ED2279">
        <w:t>l</w:t>
      </w:r>
      <w:r w:rsidR="0091738C" w:rsidRPr="00ED2279">
        <w:t>-</w:t>
      </w:r>
      <w:r w:rsidRPr="00ED2279">
        <w:t>ready government in Australia</w:t>
      </w:r>
      <w:r w:rsidR="005028CF" w:rsidRPr="00ED2279">
        <w:t>. H</w:t>
      </w:r>
      <w:r w:rsidRPr="00ED2279">
        <w:t xml:space="preserve">owever, taking advantage of opportunities presented by IoT requires upskilling across the sector to ensure we innovate efficiently, effectively and safely. </w:t>
      </w:r>
    </w:p>
    <w:p w14:paraId="1E61D0C0" w14:textId="66E004E7" w:rsidR="007B75E5" w:rsidRPr="00ED2279" w:rsidRDefault="007B75E5" w:rsidP="007B75E5">
      <w:pPr>
        <w:pStyle w:val="DCSbodytext"/>
      </w:pPr>
      <w:r w:rsidRPr="00ED2279">
        <w:t xml:space="preserve">There are small passionate teams in various agencies undertaking </w:t>
      </w:r>
      <w:r w:rsidR="003D5E9D" w:rsidRPr="00ED2279">
        <w:t>IoT-enabled project</w:t>
      </w:r>
      <w:r w:rsidRPr="00ED2279">
        <w:t>s</w:t>
      </w:r>
      <w:r w:rsidR="00121D37" w:rsidRPr="00ED2279">
        <w:t xml:space="preserve">. </w:t>
      </w:r>
      <w:r w:rsidR="007D72FE" w:rsidRPr="00ED2279">
        <w:t>Some of these teams are very experienced,</w:t>
      </w:r>
      <w:r w:rsidR="00BE1673" w:rsidRPr="00ED2279">
        <w:t xml:space="preserve"> whilst others learn as they go. This means that o</w:t>
      </w:r>
      <w:r w:rsidR="00887A3A" w:rsidRPr="00ED2279">
        <w:t>ften</w:t>
      </w:r>
      <w:r w:rsidRPr="00ED2279">
        <w:t xml:space="preserve"> the projects</w:t>
      </w:r>
      <w:r w:rsidR="00121D37" w:rsidRPr="00ED2279">
        <w:t xml:space="preserve"> are ad</w:t>
      </w:r>
      <w:r w:rsidR="004172D0" w:rsidRPr="00ED2279">
        <w:t xml:space="preserve"> </w:t>
      </w:r>
      <w:r w:rsidR="00121D37" w:rsidRPr="00ED2279">
        <w:t xml:space="preserve">hoc, </w:t>
      </w:r>
      <w:r w:rsidRPr="00ED2279">
        <w:t xml:space="preserve">have a narrow focus on </w:t>
      </w:r>
      <w:r w:rsidR="00121D37" w:rsidRPr="00ED2279">
        <w:t xml:space="preserve">operational </w:t>
      </w:r>
      <w:r w:rsidRPr="00ED2279">
        <w:t>efficiency</w:t>
      </w:r>
      <w:r w:rsidR="00121D37" w:rsidRPr="00ED2279">
        <w:t xml:space="preserve"> rather than </w:t>
      </w:r>
      <w:r w:rsidR="00510D17" w:rsidRPr="00ED2279">
        <w:t xml:space="preserve">a </w:t>
      </w:r>
      <w:r w:rsidR="00121D37" w:rsidRPr="00ED2279">
        <w:t>strategic opportunity</w:t>
      </w:r>
      <w:r w:rsidRPr="00ED2279">
        <w:t xml:space="preserve">, and experiences and learnings are not shared. </w:t>
      </w:r>
      <w:r w:rsidR="00121D37" w:rsidRPr="00ED2279">
        <w:t xml:space="preserve">Projects </w:t>
      </w:r>
      <w:r w:rsidRPr="00ED2279">
        <w:t xml:space="preserve">are developed in </w:t>
      </w:r>
      <w:r w:rsidR="004F4D39" w:rsidRPr="00ED2279">
        <w:t>silos,</w:t>
      </w:r>
      <w:r w:rsidRPr="00ED2279">
        <w:t xml:space="preserve"> </w:t>
      </w:r>
      <w:r w:rsidR="00FC556B" w:rsidRPr="00ED2279">
        <w:t xml:space="preserve">so </w:t>
      </w:r>
      <w:r w:rsidR="00510D17" w:rsidRPr="00ED2279">
        <w:t xml:space="preserve">they </w:t>
      </w:r>
      <w:r w:rsidR="001B0740" w:rsidRPr="00ED2279">
        <w:t xml:space="preserve">aren’t </w:t>
      </w:r>
      <w:r w:rsidRPr="00ED2279">
        <w:t>desig</w:t>
      </w:r>
      <w:r w:rsidR="00E1728C" w:rsidRPr="00ED2279">
        <w:t>n</w:t>
      </w:r>
      <w:r w:rsidR="001B0740" w:rsidRPr="00ED2279">
        <w:t>ed</w:t>
      </w:r>
      <w:r w:rsidRPr="00ED2279">
        <w:t xml:space="preserve"> for interoperability and cross-silo benefits. </w:t>
      </w:r>
    </w:p>
    <w:p w14:paraId="76675D35" w14:textId="6D91C5CF" w:rsidR="00412551" w:rsidRPr="00ED2279" w:rsidRDefault="13205212" w:rsidP="00110CB8">
      <w:pPr>
        <w:pStyle w:val="DCSbodytext"/>
      </w:pPr>
      <w:r w:rsidRPr="00ED2279">
        <w:t xml:space="preserve">There is </w:t>
      </w:r>
      <w:r w:rsidR="00510D17" w:rsidRPr="00ED2279">
        <w:t xml:space="preserve">a </w:t>
      </w:r>
      <w:r w:rsidRPr="00ED2279">
        <w:t xml:space="preserve">growing interest in taking advantage of the efficiency gains and decision-making enhancements presented by IoT. This excitement is tempered by a lack of confidence in planning and executing an IoT-enabled project in a way that will maximise benefits and </w:t>
      </w:r>
      <w:r w:rsidRPr="00ED2279">
        <w:lastRenderedPageBreak/>
        <w:t xml:space="preserve">keep risks within tolerance levels. This policy provides guidance to address these concerns and </w:t>
      </w:r>
      <w:r w:rsidR="00EE4E2A" w:rsidRPr="00ED2279">
        <w:t xml:space="preserve">risks. </w:t>
      </w:r>
    </w:p>
    <w:p w14:paraId="4846105D" w14:textId="68C1523F" w:rsidR="006B032D" w:rsidRPr="00ED2279" w:rsidRDefault="00380F90" w:rsidP="00DC3161">
      <w:pPr>
        <w:pStyle w:val="Heading3"/>
      </w:pPr>
      <w:bookmarkStart w:id="236" w:name="_Existing_policies_and"/>
      <w:bookmarkStart w:id="237" w:name="_Toc65760470"/>
      <w:bookmarkEnd w:id="236"/>
      <w:r w:rsidRPr="00ED2279">
        <w:t>Other relevant NSW Government</w:t>
      </w:r>
      <w:r w:rsidR="00F41EB4" w:rsidRPr="00ED2279">
        <w:t xml:space="preserve"> policies and strategies</w:t>
      </w:r>
      <w:bookmarkEnd w:id="237"/>
    </w:p>
    <w:p w14:paraId="299305D1" w14:textId="78C5C50B" w:rsidR="00F41EB4" w:rsidRPr="00ED2279" w:rsidRDefault="008D63D0" w:rsidP="00110CB8">
      <w:pPr>
        <w:pStyle w:val="DCSbodytext"/>
      </w:pPr>
      <w:r w:rsidRPr="00E46FB0">
        <w:t>The NSW Government has suite of existing policies</w:t>
      </w:r>
      <w:r w:rsidR="00B81760" w:rsidRPr="00ED2279">
        <w:t xml:space="preserve"> and strategies </w:t>
      </w:r>
      <w:r w:rsidR="00380F90" w:rsidRPr="00ED2279">
        <w:t>that</w:t>
      </w:r>
      <w:r w:rsidR="00B81760" w:rsidRPr="00ED2279">
        <w:t xml:space="preserve"> support IoT.</w:t>
      </w:r>
    </w:p>
    <w:p w14:paraId="5D94B62B" w14:textId="7A92A12A" w:rsidR="00552DAB" w:rsidRPr="00E46FB0" w:rsidRDefault="003D1488" w:rsidP="00110CB8">
      <w:pPr>
        <w:pStyle w:val="DCSbodytext"/>
        <w:rPr>
          <w:b/>
          <w:bCs/>
        </w:rPr>
      </w:pPr>
      <w:r w:rsidRPr="00ED2279">
        <w:rPr>
          <w:b/>
          <w:bCs/>
        </w:rPr>
        <w:t>Smart Places Strategy</w:t>
      </w:r>
    </w:p>
    <w:p w14:paraId="32E7B939" w14:textId="1C48DA08" w:rsidR="00EE7A03" w:rsidRPr="00ED2279" w:rsidRDefault="00E20FC7" w:rsidP="00110CB8">
      <w:pPr>
        <w:pStyle w:val="DCSbodytext"/>
        <w:rPr>
          <w:rFonts w:cs="Arial"/>
          <w:color w:val="313131"/>
          <w:shd w:val="clear" w:color="auto" w:fill="FFFFFF"/>
        </w:rPr>
      </w:pPr>
      <w:r w:rsidRPr="00ED2279">
        <w:rPr>
          <w:rFonts w:cs="Arial"/>
          <w:color w:val="313131"/>
          <w:shd w:val="clear" w:color="auto" w:fill="FFFFFF"/>
        </w:rPr>
        <w:t>Smart Places integrate technologies into the built environment to capture and convey data and insights.</w:t>
      </w:r>
      <w:r w:rsidR="00C513C5" w:rsidRPr="00ED2279">
        <w:rPr>
          <w:rFonts w:cs="Arial"/>
          <w:color w:val="313131"/>
          <w:shd w:val="clear" w:color="auto" w:fill="FFFFFF"/>
        </w:rPr>
        <w:t xml:space="preserve"> </w:t>
      </w:r>
      <w:r w:rsidR="00C35FC6" w:rsidRPr="00ED2279">
        <w:rPr>
          <w:rFonts w:cs="Arial"/>
          <w:color w:val="313131"/>
          <w:shd w:val="clear" w:color="auto" w:fill="FFFFFF"/>
        </w:rPr>
        <w:t>This includes</w:t>
      </w:r>
      <w:r w:rsidR="00E0472D" w:rsidRPr="00ED2279">
        <w:rPr>
          <w:rFonts w:cs="Arial"/>
          <w:color w:val="313131"/>
          <w:shd w:val="clear" w:color="auto" w:fill="FFFFFF"/>
        </w:rPr>
        <w:t xml:space="preserve"> </w:t>
      </w:r>
      <w:r w:rsidR="0056455C" w:rsidRPr="00ED2279">
        <w:rPr>
          <w:rFonts w:cs="Arial"/>
          <w:color w:val="313131"/>
          <w:shd w:val="clear" w:color="auto" w:fill="FFFFFF"/>
        </w:rPr>
        <w:t>us</w:t>
      </w:r>
      <w:r w:rsidR="00C35FC6" w:rsidRPr="00ED2279">
        <w:rPr>
          <w:rFonts w:cs="Arial"/>
          <w:color w:val="313131"/>
          <w:shd w:val="clear" w:color="auto" w:fill="FFFFFF"/>
        </w:rPr>
        <w:t>ing</w:t>
      </w:r>
      <w:r w:rsidR="0056455C" w:rsidRPr="00ED2279">
        <w:rPr>
          <w:rFonts w:cs="Arial"/>
          <w:color w:val="313131"/>
          <w:shd w:val="clear" w:color="auto" w:fill="FFFFFF"/>
        </w:rPr>
        <w:t xml:space="preserve"> IoT devices to collect and analyse data</w:t>
      </w:r>
      <w:r w:rsidR="00EF618B" w:rsidRPr="00ED2279">
        <w:rPr>
          <w:rFonts w:cs="Arial"/>
          <w:color w:val="313131"/>
          <w:shd w:val="clear" w:color="auto" w:fill="FFFFFF"/>
        </w:rPr>
        <w:t xml:space="preserve"> about an asset or local environ</w:t>
      </w:r>
      <w:r w:rsidR="00DA04DA" w:rsidRPr="00ED2279">
        <w:rPr>
          <w:rFonts w:cs="Arial"/>
          <w:color w:val="313131"/>
          <w:shd w:val="clear" w:color="auto" w:fill="FFFFFF"/>
        </w:rPr>
        <w:t>ment</w:t>
      </w:r>
      <w:r w:rsidR="0056455C" w:rsidRPr="00ED2279">
        <w:rPr>
          <w:rFonts w:cs="Arial"/>
          <w:color w:val="313131"/>
          <w:shd w:val="clear" w:color="auto" w:fill="FFFFFF"/>
        </w:rPr>
        <w:t>.</w:t>
      </w:r>
      <w:r w:rsidR="00261E28" w:rsidRPr="00ED2279">
        <w:rPr>
          <w:rFonts w:cs="Arial"/>
          <w:color w:val="313131"/>
          <w:shd w:val="clear" w:color="auto" w:fill="FFFFFF"/>
        </w:rPr>
        <w:t xml:space="preserve"> </w:t>
      </w:r>
      <w:r w:rsidR="00AC6151" w:rsidRPr="00ED2279">
        <w:rPr>
          <w:rFonts w:cs="Arial"/>
          <w:color w:val="313131"/>
          <w:shd w:val="clear" w:color="auto" w:fill="FFFFFF"/>
        </w:rPr>
        <w:t xml:space="preserve">The </w:t>
      </w:r>
      <w:r w:rsidR="00CA62CE" w:rsidRPr="00ED2279">
        <w:rPr>
          <w:rFonts w:cs="Arial"/>
          <w:color w:val="313131"/>
          <w:shd w:val="clear" w:color="auto" w:fill="FFFFFF"/>
        </w:rPr>
        <w:t xml:space="preserve">data </w:t>
      </w:r>
      <w:r w:rsidR="00EE7A03" w:rsidRPr="00ED2279">
        <w:rPr>
          <w:rFonts w:cs="Arial"/>
          <w:color w:val="313131"/>
          <w:shd w:val="clear" w:color="auto" w:fill="FFFFFF"/>
        </w:rPr>
        <w:t>can help NSW Government</w:t>
      </w:r>
      <w:r w:rsidR="00345D8B" w:rsidRPr="00ED2279">
        <w:rPr>
          <w:rFonts w:cs="Arial"/>
          <w:color w:val="313131"/>
          <w:shd w:val="clear" w:color="auto" w:fill="FFFFFF"/>
        </w:rPr>
        <w:t xml:space="preserve"> </w:t>
      </w:r>
      <w:r w:rsidR="00401826" w:rsidRPr="00ED2279">
        <w:rPr>
          <w:rFonts w:cs="Arial"/>
          <w:color w:val="313131"/>
          <w:shd w:val="clear" w:color="auto" w:fill="FFFFFF"/>
        </w:rPr>
        <w:t>to make evidence</w:t>
      </w:r>
      <w:r w:rsidR="00B555E7" w:rsidRPr="00ED2279">
        <w:rPr>
          <w:rFonts w:cs="Arial"/>
          <w:color w:val="313131"/>
          <w:shd w:val="clear" w:color="auto" w:fill="FFFFFF"/>
        </w:rPr>
        <w:t>-</w:t>
      </w:r>
      <w:r w:rsidR="00401826" w:rsidRPr="00ED2279">
        <w:rPr>
          <w:rFonts w:cs="Arial"/>
          <w:color w:val="313131"/>
          <w:shd w:val="clear" w:color="auto" w:fill="FFFFFF"/>
        </w:rPr>
        <w:t>based decisions</w:t>
      </w:r>
      <w:r w:rsidR="00B555E7" w:rsidRPr="00ED2279">
        <w:rPr>
          <w:rFonts w:cs="Arial"/>
          <w:color w:val="313131"/>
          <w:shd w:val="clear" w:color="auto" w:fill="FFFFFF"/>
        </w:rPr>
        <w:t xml:space="preserve"> </w:t>
      </w:r>
      <w:r w:rsidR="00B555E7" w:rsidRPr="00ED2279">
        <w:t xml:space="preserve">to improve </w:t>
      </w:r>
      <w:r w:rsidR="00AC00A5" w:rsidRPr="00ED2279">
        <w:rPr>
          <w:rFonts w:cs="Arial"/>
          <w:color w:val="313131"/>
          <w:shd w:val="clear" w:color="auto" w:fill="FFFFFF"/>
        </w:rPr>
        <w:t>infrastructure</w:t>
      </w:r>
      <w:r w:rsidR="00AC6151" w:rsidRPr="00ED2279">
        <w:rPr>
          <w:rFonts w:cs="Arial"/>
          <w:color w:val="313131"/>
          <w:shd w:val="clear" w:color="auto" w:fill="FFFFFF"/>
        </w:rPr>
        <w:t xml:space="preserve">, services </w:t>
      </w:r>
      <w:r w:rsidR="00C80CC0" w:rsidRPr="00ED2279">
        <w:rPr>
          <w:rFonts w:cs="Arial"/>
          <w:color w:val="313131"/>
          <w:shd w:val="clear" w:color="auto" w:fill="FFFFFF"/>
        </w:rPr>
        <w:t xml:space="preserve">and </w:t>
      </w:r>
      <w:r w:rsidR="00A50D72" w:rsidRPr="00ED2279">
        <w:rPr>
          <w:rFonts w:cs="Arial"/>
          <w:color w:val="313131"/>
          <w:shd w:val="clear" w:color="auto" w:fill="FFFFFF"/>
        </w:rPr>
        <w:t xml:space="preserve">liveability </w:t>
      </w:r>
      <w:r w:rsidR="00C80CC0" w:rsidRPr="00ED2279">
        <w:rPr>
          <w:rFonts w:cs="Arial"/>
          <w:color w:val="313131"/>
          <w:shd w:val="clear" w:color="auto" w:fill="FFFFFF"/>
        </w:rPr>
        <w:t xml:space="preserve">for the NSW </w:t>
      </w:r>
      <w:r w:rsidR="00EE7A03" w:rsidRPr="00ED2279">
        <w:rPr>
          <w:rFonts w:cs="Arial"/>
          <w:color w:val="313131"/>
          <w:shd w:val="clear" w:color="auto" w:fill="FFFFFF"/>
        </w:rPr>
        <w:t>c</w:t>
      </w:r>
      <w:r w:rsidR="00C80CC0" w:rsidRPr="00ED2279">
        <w:rPr>
          <w:rFonts w:cs="Arial"/>
          <w:color w:val="313131"/>
          <w:shd w:val="clear" w:color="auto" w:fill="FFFFFF"/>
        </w:rPr>
        <w:t>ommunity.</w:t>
      </w:r>
      <w:r w:rsidR="00E9646C" w:rsidRPr="00ED2279">
        <w:rPr>
          <w:rFonts w:cs="Arial"/>
          <w:color w:val="313131"/>
          <w:shd w:val="clear" w:color="auto" w:fill="FFFFFF"/>
        </w:rPr>
        <w:t xml:space="preserve"> </w:t>
      </w:r>
    </w:p>
    <w:p w14:paraId="4DFB83C7" w14:textId="4A16972F" w:rsidR="00C96BC3" w:rsidRPr="00ED2279" w:rsidRDefault="00E62560" w:rsidP="00110CB8">
      <w:pPr>
        <w:pStyle w:val="DCSbodytext"/>
      </w:pPr>
      <w:r w:rsidRPr="00ED2279">
        <w:rPr>
          <w:rFonts w:cs="Arial"/>
          <w:color w:val="313131"/>
          <w:shd w:val="clear" w:color="auto" w:fill="FFFFFF"/>
        </w:rPr>
        <w:t xml:space="preserve">The </w:t>
      </w:r>
      <w:hyperlink r:id="rId36" w:history="1">
        <w:hyperlink r:id="rId37" w:history="1">
          <w:r w:rsidRPr="00ED2279">
            <w:rPr>
              <w:rStyle w:val="Hyperlink"/>
              <w:rFonts w:cs="Arial"/>
              <w:shd w:val="clear" w:color="auto" w:fill="FFFFFF"/>
            </w:rPr>
            <w:t xml:space="preserve">Smart Places </w:t>
          </w:r>
          <w:r w:rsidR="00C96BC3" w:rsidRPr="00ED2279">
            <w:rPr>
              <w:rStyle w:val="Hyperlink"/>
            </w:rPr>
            <w:t>Strategy</w:t>
          </w:r>
        </w:hyperlink>
      </w:hyperlink>
      <w:r w:rsidR="00C96BC3" w:rsidRPr="00E46FB0">
        <w:t xml:space="preserve"> </w:t>
      </w:r>
      <w:r w:rsidR="00E77194" w:rsidRPr="00ED2279">
        <w:t xml:space="preserve">sets out the NSW Government’s vision for Smart Places, </w:t>
      </w:r>
      <w:r w:rsidR="00522BD7" w:rsidRPr="00ED2279">
        <w:t xml:space="preserve">in particular how it will work collaboratively with local government, Australian Government and private sector partners to harness the power of digital technologies and realised the substantial benefits being delivered by technological change. </w:t>
      </w:r>
    </w:p>
    <w:p w14:paraId="5FEFFCAC" w14:textId="68C5C4A2" w:rsidR="00552DAB" w:rsidRPr="00E46FB0" w:rsidRDefault="00DB0EFC" w:rsidP="00110CB8">
      <w:pPr>
        <w:pStyle w:val="DCSbodytext"/>
        <w:rPr>
          <w:b/>
          <w:bCs/>
        </w:rPr>
      </w:pPr>
      <w:r w:rsidRPr="00ED2279">
        <w:rPr>
          <w:b/>
          <w:bCs/>
        </w:rPr>
        <w:t xml:space="preserve">Smart </w:t>
      </w:r>
      <w:r w:rsidR="00E30C44" w:rsidRPr="00ED2279">
        <w:rPr>
          <w:b/>
          <w:bCs/>
        </w:rPr>
        <w:t>Infrastructure</w:t>
      </w:r>
      <w:r w:rsidRPr="00ED2279">
        <w:rPr>
          <w:b/>
          <w:bCs/>
        </w:rPr>
        <w:t xml:space="preserve"> Policy</w:t>
      </w:r>
    </w:p>
    <w:p w14:paraId="5DEADF15" w14:textId="203434B7" w:rsidR="00A035DD" w:rsidRPr="00ED2279" w:rsidRDefault="00D203A5" w:rsidP="00110CB8">
      <w:pPr>
        <w:pStyle w:val="DCSbodytext"/>
      </w:pPr>
      <w:r w:rsidRPr="00ED2279">
        <w:t xml:space="preserve">The </w:t>
      </w:r>
      <w:hyperlink r:id="rId38" w:history="1">
        <w:r w:rsidRPr="00ED2279">
          <w:rPr>
            <w:rStyle w:val="Hyperlink"/>
          </w:rPr>
          <w:t>Smart Infrastructure Policy</w:t>
        </w:r>
      </w:hyperlink>
      <w:r w:rsidRPr="00E46FB0">
        <w:t xml:space="preserve"> sets the minimum requirements for smart technology</w:t>
      </w:r>
      <w:r w:rsidR="00810A72" w:rsidRPr="00ED2279">
        <w:t xml:space="preserve"> (including IoT)</w:t>
      </w:r>
      <w:r w:rsidRPr="00ED2279">
        <w:t xml:space="preserve"> to be embedded in all new and upgraded infrastructure from 2020. The Smart Infrastructure Policy applies to all new NSW Government capital and ICT projects subject to the Investor Assurance Framework (IIAF) and the ICT Assurance Framework.</w:t>
      </w:r>
    </w:p>
    <w:p w14:paraId="0DBC944C" w14:textId="3D5B653F" w:rsidR="002922CD" w:rsidRPr="00E46FB0" w:rsidRDefault="00D85235" w:rsidP="002922CD">
      <w:pPr>
        <w:pStyle w:val="DCSbodytext"/>
        <w:rPr>
          <w:b/>
          <w:bCs/>
        </w:rPr>
      </w:pPr>
      <w:r w:rsidRPr="00ED2279">
        <w:rPr>
          <w:b/>
          <w:bCs/>
        </w:rPr>
        <w:t>Art</w:t>
      </w:r>
      <w:r w:rsidR="00231DA9" w:rsidRPr="00ED2279">
        <w:rPr>
          <w:b/>
          <w:bCs/>
        </w:rPr>
        <w:t>i</w:t>
      </w:r>
      <w:r w:rsidRPr="00ED2279">
        <w:rPr>
          <w:b/>
          <w:bCs/>
        </w:rPr>
        <w:t>ficial Intelligence Strategy and User Guide</w:t>
      </w:r>
    </w:p>
    <w:p w14:paraId="6DDC2283" w14:textId="1CBCC97E" w:rsidR="009A293A" w:rsidRPr="00ED2279" w:rsidRDefault="00084371" w:rsidP="000B40E0">
      <w:pPr>
        <w:pStyle w:val="DCSbodytext"/>
      </w:pPr>
      <w:hyperlink r:id="rId39" w:history="1">
        <w:r w:rsidR="00AF583F" w:rsidRPr="00E46FB0">
          <w:rPr>
            <w:rStyle w:val="Hyperlink"/>
          </w:rPr>
          <w:t>Artificial Intelligence</w:t>
        </w:r>
      </w:hyperlink>
      <w:r w:rsidR="00AF583F" w:rsidRPr="00E46FB0">
        <w:t>, or AI, is intelligent technology, programs and the use of advanced computing algorithms that can augment deci</w:t>
      </w:r>
      <w:r w:rsidR="00AF583F" w:rsidRPr="00ED2279">
        <w:t>sion making by identifying meaningful patterns in data. AI in this context should aim to help the NSW Government free up our workforce for critical and frontline tasks, cut costs and enable us to deliver better, more targeted services.</w:t>
      </w:r>
    </w:p>
    <w:p w14:paraId="7647E671" w14:textId="727DEF88" w:rsidR="00AF583F" w:rsidRPr="00AC41E0" w:rsidRDefault="009A293A" w:rsidP="009A293A">
      <w:pPr>
        <w:pStyle w:val="DCSbodytext"/>
      </w:pPr>
      <w:r w:rsidRPr="00ED2279">
        <w:t xml:space="preserve">The </w:t>
      </w:r>
      <w:hyperlink r:id="rId40" w:history="1">
        <w:r w:rsidRPr="00ED2279">
          <w:rPr>
            <w:rStyle w:val="Hyperlink"/>
          </w:rPr>
          <w:t>NSW Government AI Policy and User Guide</w:t>
        </w:r>
      </w:hyperlink>
      <w:r w:rsidRPr="00E46FB0">
        <w:t xml:space="preserve"> </w:t>
      </w:r>
      <w:r w:rsidRPr="00ED2279">
        <w:t>provide</w:t>
      </w:r>
      <w:r w:rsidR="009F6BCE" w:rsidRPr="00ED2279">
        <w:t>s</w:t>
      </w:r>
      <w:r w:rsidRPr="00ED2279">
        <w:t xml:space="preserve"> clear guidance on the safe use of AI, finding the balance between opportunity and risk, while putting in place those protections that would apply for any service delivery solution. A new body, the AI </w:t>
      </w:r>
      <w:r w:rsidR="009F6BCE" w:rsidRPr="00ED2279">
        <w:t xml:space="preserve">Advisory </w:t>
      </w:r>
      <w:r w:rsidRPr="00ED2279">
        <w:t xml:space="preserve">Committee, chaired by the NSW Government Chief Data Scientist, </w:t>
      </w:r>
      <w:r w:rsidR="008B39FF" w:rsidRPr="00ED2279">
        <w:t xml:space="preserve">can assist agencies </w:t>
      </w:r>
      <w:r w:rsidR="008B39FF" w:rsidRPr="00AC41E0">
        <w:t xml:space="preserve">with AI </w:t>
      </w:r>
      <w:r w:rsidRPr="00AC41E0">
        <w:t>project plans to ensure consistency with the AI Ethics Policy.</w:t>
      </w:r>
    </w:p>
    <w:p w14:paraId="2CED5C3E" w14:textId="56232591" w:rsidR="00231DA9" w:rsidRPr="00E46FB0" w:rsidRDefault="000A16DF" w:rsidP="002922CD">
      <w:pPr>
        <w:pStyle w:val="DCSbodytext"/>
        <w:rPr>
          <w:b/>
          <w:bCs/>
        </w:rPr>
      </w:pPr>
      <w:r w:rsidRPr="00AC41E0">
        <w:rPr>
          <w:b/>
          <w:bCs/>
        </w:rPr>
        <w:t>Infrastructure Data Management Framework</w:t>
      </w:r>
    </w:p>
    <w:p w14:paraId="1D65182D" w14:textId="4503C115" w:rsidR="00FE54D6" w:rsidRPr="00AC41E0" w:rsidRDefault="00FE54D6" w:rsidP="002922CD">
      <w:pPr>
        <w:pStyle w:val="DCSbodytext"/>
      </w:pPr>
      <w:r w:rsidRPr="00ED2279">
        <w:t xml:space="preserve">The </w:t>
      </w:r>
      <w:hyperlink r:id="rId41" w:history="1">
        <w:r w:rsidRPr="00ED2279">
          <w:rPr>
            <w:rStyle w:val="Hyperlink"/>
          </w:rPr>
          <w:t>Infrastructure Data Management Framework (IDMF)</w:t>
        </w:r>
      </w:hyperlink>
      <w:r w:rsidRPr="00E46FB0">
        <w:t xml:space="preserve"> is a set of guidelines, </w:t>
      </w:r>
      <w:r w:rsidRPr="00AC41E0">
        <w:t xml:space="preserve">procedures, and standard approaches to support consistent management of infrastructure data across the NSW Government sector. The IDMF is aligned with the </w:t>
      </w:r>
      <w:hyperlink r:id="rId42" w:history="1">
        <w:r w:rsidRPr="00ED2279">
          <w:rPr>
            <w:rStyle w:val="Hyperlink"/>
          </w:rPr>
          <w:t>NSW Information Management Framework (IMF)</w:t>
        </w:r>
      </w:hyperlink>
      <w:r w:rsidRPr="00E46FB0">
        <w:t>, which provides more general guidance on the management of government data and information.</w:t>
      </w:r>
      <w:r w:rsidR="00891109" w:rsidRPr="00AC41E0">
        <w:t xml:space="preserve"> Broad adoption of the principles and guidance of the IDMF will ensure that NSW has a coordinated, standardised and trusted framework to harness infrastructure data to better plan and operate the State’s infrastructure systems.</w:t>
      </w:r>
    </w:p>
    <w:p w14:paraId="7CC69EDD" w14:textId="43429766" w:rsidR="002922CD" w:rsidRPr="00E46FB0" w:rsidRDefault="00F21597" w:rsidP="002922CD">
      <w:pPr>
        <w:pStyle w:val="DCSbodytext"/>
        <w:rPr>
          <w:b/>
          <w:bCs/>
        </w:rPr>
      </w:pPr>
      <w:r w:rsidRPr="00AC41E0">
        <w:rPr>
          <w:b/>
          <w:bCs/>
        </w:rPr>
        <w:lastRenderedPageBreak/>
        <w:t xml:space="preserve">Spatial </w:t>
      </w:r>
      <w:r w:rsidR="00231DA9" w:rsidRPr="00AC41E0">
        <w:rPr>
          <w:b/>
          <w:bCs/>
        </w:rPr>
        <w:t>Digital Twin</w:t>
      </w:r>
    </w:p>
    <w:p w14:paraId="2C0A31E1" w14:textId="032512FB" w:rsidR="00012A66" w:rsidRPr="00E46FB0" w:rsidRDefault="00012A66" w:rsidP="00110CB8">
      <w:pPr>
        <w:pStyle w:val="DCSbodytext"/>
      </w:pPr>
      <w:r w:rsidRPr="00ED2279">
        <w:t xml:space="preserve">The </w:t>
      </w:r>
      <w:hyperlink r:id="rId43" w:history="1">
        <w:r w:rsidRPr="00ED2279">
          <w:rPr>
            <w:rStyle w:val="Hyperlink"/>
          </w:rPr>
          <w:t>NSW Spatial Digital Twin</w:t>
        </w:r>
      </w:hyperlink>
      <w:r w:rsidRPr="00E46FB0">
        <w:t xml:space="preserve"> is upgrading</w:t>
      </w:r>
      <w:r w:rsidR="001F27A5" w:rsidRPr="00ED2279">
        <w:t xml:space="preserve"> the state’s Foundation Spatial Data Framework (FSDF) from a two-dimensional map to a four-dimensional model (3D + time). That is</w:t>
      </w:r>
      <w:r w:rsidR="006201E1" w:rsidRPr="00AC41E0">
        <w:t>,</w:t>
      </w:r>
      <w:r w:rsidR="001F27A5" w:rsidRPr="00AC41E0">
        <w:t xml:space="preserve"> a full three-dimensional model of the state’s physical environment, capable of recording past conditions and visualising future scenarios</w:t>
      </w:r>
      <w:r w:rsidR="0095064A" w:rsidRPr="00AC41E0">
        <w:t xml:space="preserve"> to create</w:t>
      </w:r>
      <w:r w:rsidRPr="00AC41E0">
        <w:t xml:space="preserve"> a digital real-world model of our cities and communities which will facilitate better planning, design and modelling for NSW’s future needs.</w:t>
      </w:r>
      <w:r w:rsidR="00CC4DA7" w:rsidRPr="00AC41E0">
        <w:t xml:space="preserve"> The NSW Spatial Digital Twin will provide the platform upon which government, developers and residents are able to visualise, plan, develop and assess infrastructure (such as transport links), new community facilities, public spaces, and homes.</w:t>
      </w:r>
      <w:r w:rsidR="000B40E0" w:rsidRPr="00AC41E0">
        <w:t xml:space="preserve"> For further info see</w:t>
      </w:r>
      <w:r w:rsidR="00EB309A" w:rsidRPr="00AC41E0">
        <w:t xml:space="preserve"> </w:t>
      </w:r>
      <w:hyperlink w:anchor="_Spatial_data_requirements_2" w:history="1">
        <w:r w:rsidR="00EB309A" w:rsidRPr="00ED2279">
          <w:rPr>
            <w:rStyle w:val="Hyperlink"/>
          </w:rPr>
          <w:t>Spatial data requirements</w:t>
        </w:r>
      </w:hyperlink>
    </w:p>
    <w:p w14:paraId="2979A78A" w14:textId="7695DB26" w:rsidR="007C6766" w:rsidRPr="00AC41E0" w:rsidRDefault="00403CDC" w:rsidP="008E48F1">
      <w:pPr>
        <w:pStyle w:val="Heading2"/>
        <w:tabs>
          <w:tab w:val="clear" w:pos="5188"/>
          <w:tab w:val="num" w:pos="794"/>
        </w:tabs>
        <w:ind w:left="851"/>
      </w:pPr>
      <w:bookmarkStart w:id="238" w:name="_Toc65760471"/>
      <w:r w:rsidRPr="00AC41E0">
        <w:t xml:space="preserve">Purpose </w:t>
      </w:r>
      <w:r w:rsidRPr="00AC41E0">
        <w:rPr>
          <w:rFonts w:ascii="Arial" w:hAnsi="Arial"/>
        </w:rPr>
        <w:t>of</w:t>
      </w:r>
      <w:r w:rsidRPr="00AC41E0">
        <w:t xml:space="preserve"> the IoT Policy</w:t>
      </w:r>
      <w:bookmarkEnd w:id="238"/>
    </w:p>
    <w:p w14:paraId="13DE80C4" w14:textId="3865DB8D" w:rsidR="00CB141F" w:rsidRPr="00AC41E0" w:rsidRDefault="003F4B75" w:rsidP="00F33137">
      <w:pPr>
        <w:pStyle w:val="DCSbodytext"/>
      </w:pPr>
      <w:r w:rsidRPr="00AC41E0">
        <w:t xml:space="preserve">IoT is a new, complex and rapidly changing </w:t>
      </w:r>
      <w:r w:rsidR="00EC0F2A" w:rsidRPr="00AC41E0">
        <w:t>environment</w:t>
      </w:r>
      <w:r w:rsidRPr="00AC41E0">
        <w:t xml:space="preserve">. </w:t>
      </w:r>
      <w:r w:rsidR="00350D9C" w:rsidRPr="00AC41E0">
        <w:t>T</w:t>
      </w:r>
      <w:r w:rsidRPr="00AC41E0">
        <w:t xml:space="preserve">here are pockets of the NSW Government with experience </w:t>
      </w:r>
      <w:r w:rsidR="00350D9C" w:rsidRPr="00AC41E0">
        <w:t xml:space="preserve">in </w:t>
      </w:r>
      <w:r w:rsidRPr="00AC41E0">
        <w:t xml:space="preserve">designing and rolling out IoT </w:t>
      </w:r>
      <w:r w:rsidR="004F4D39" w:rsidRPr="00AC41E0">
        <w:t>solutions however</w:t>
      </w:r>
      <w:r w:rsidR="00510D17" w:rsidRPr="00AC41E0">
        <w:t>,</w:t>
      </w:r>
      <w:r w:rsidR="00350D9C" w:rsidRPr="00AC41E0">
        <w:t xml:space="preserve"> </w:t>
      </w:r>
      <w:r w:rsidRPr="00AC41E0">
        <w:t xml:space="preserve">the sector’s maturity is generally low. </w:t>
      </w:r>
    </w:p>
    <w:p w14:paraId="5E867D76" w14:textId="36A4832B" w:rsidR="00094C75" w:rsidRPr="00AC41E0" w:rsidRDefault="003F4B75" w:rsidP="00F33137">
      <w:pPr>
        <w:pStyle w:val="DCSbodytext"/>
      </w:pPr>
      <w:r w:rsidRPr="00AC41E0">
        <w:t xml:space="preserve">Effective deployment and use of IoT across </w:t>
      </w:r>
      <w:r w:rsidR="00510D17" w:rsidRPr="00AC41E0">
        <w:t xml:space="preserve">the </w:t>
      </w:r>
      <w:r w:rsidRPr="00AC41E0">
        <w:t>NSW Government requires a consistent approach built on</w:t>
      </w:r>
      <w:r w:rsidR="003C5DEE" w:rsidRPr="00AC41E0">
        <w:t xml:space="preserve"> a</w:t>
      </w:r>
      <w:r w:rsidRPr="00AC41E0">
        <w:t xml:space="preserve"> common understanding of </w:t>
      </w:r>
      <w:r w:rsidR="00B51B13" w:rsidRPr="00AC41E0">
        <w:t xml:space="preserve">the </w:t>
      </w:r>
      <w:r w:rsidRPr="00AC41E0">
        <w:t xml:space="preserve">opportunities, risks, obligations and best practice. </w:t>
      </w:r>
      <w:r w:rsidR="00FB7F87" w:rsidRPr="00AC41E0">
        <w:t>T</w:t>
      </w:r>
      <w:r w:rsidRPr="00AC41E0">
        <w:t xml:space="preserve">he potential of IoT to improve customer service across all categories of goods, services and infrastructure </w:t>
      </w:r>
      <w:r w:rsidR="00FB7F87" w:rsidRPr="00AC41E0">
        <w:t>will only be realised</w:t>
      </w:r>
      <w:r w:rsidRPr="00AC41E0">
        <w:t xml:space="preserve"> through greater investment and experimentation. </w:t>
      </w:r>
    </w:p>
    <w:p w14:paraId="2B5FF0A8" w14:textId="17540C03" w:rsidR="003F4B75" w:rsidRPr="00AC41E0" w:rsidRDefault="00651C85" w:rsidP="003F4B75">
      <w:pPr>
        <w:pStyle w:val="DCSbodytext"/>
        <w:spacing w:after="120"/>
      </w:pPr>
      <w:r w:rsidRPr="00AC41E0">
        <w:t>T</w:t>
      </w:r>
      <w:r w:rsidR="003F4B75" w:rsidRPr="00AC41E0">
        <w:t>his policy has been designed to:</w:t>
      </w:r>
    </w:p>
    <w:p w14:paraId="1AA023FE" w14:textId="561686D3" w:rsidR="003F4B75" w:rsidRPr="00AC41E0" w:rsidRDefault="13205212" w:rsidP="00003096">
      <w:pPr>
        <w:pStyle w:val="DCSbodytext"/>
        <w:numPr>
          <w:ilvl w:val="0"/>
          <w:numId w:val="118"/>
        </w:numPr>
        <w:spacing w:after="120"/>
      </w:pPr>
      <w:r w:rsidRPr="00AC41E0">
        <w:t>demystify IoT</w:t>
      </w:r>
    </w:p>
    <w:p w14:paraId="0C917B47" w14:textId="3212E910" w:rsidR="003F4B75" w:rsidRPr="00AC41E0" w:rsidRDefault="13205212" w:rsidP="00003096">
      <w:pPr>
        <w:pStyle w:val="DCSbodytext"/>
        <w:numPr>
          <w:ilvl w:val="0"/>
          <w:numId w:val="118"/>
        </w:numPr>
        <w:spacing w:after="120"/>
      </w:pPr>
      <w:r w:rsidRPr="00AC41E0">
        <w:t>encourage innovation with IoT solutions</w:t>
      </w:r>
    </w:p>
    <w:p w14:paraId="44330884" w14:textId="664B887F" w:rsidR="003F4B75" w:rsidRPr="00AC41E0" w:rsidRDefault="003F4B75" w:rsidP="00003096">
      <w:pPr>
        <w:pStyle w:val="DCSbodytext"/>
        <w:numPr>
          <w:ilvl w:val="0"/>
          <w:numId w:val="118"/>
        </w:numPr>
        <w:spacing w:after="120"/>
      </w:pPr>
      <w:r w:rsidRPr="00AC41E0">
        <w:t xml:space="preserve">build understanding and capability across the sector </w:t>
      </w:r>
    </w:p>
    <w:p w14:paraId="74DA92DB" w14:textId="5B4833B6" w:rsidR="003F4B75" w:rsidRPr="00AC41E0" w:rsidRDefault="003F4B75" w:rsidP="00003096">
      <w:pPr>
        <w:pStyle w:val="DCSbodytext"/>
        <w:numPr>
          <w:ilvl w:val="0"/>
          <w:numId w:val="118"/>
        </w:numPr>
      </w:pPr>
      <w:r w:rsidRPr="00AC41E0">
        <w:t>provide practical guidance for those responsible for delivering IoT</w:t>
      </w:r>
      <w:r w:rsidR="00094C75" w:rsidRPr="00AC41E0">
        <w:t xml:space="preserve">-enabled </w:t>
      </w:r>
      <w:r w:rsidRPr="00AC41E0">
        <w:t>solutions.</w:t>
      </w:r>
    </w:p>
    <w:p w14:paraId="6C1457DD" w14:textId="108DFDBA" w:rsidR="00C17AF0" w:rsidRPr="00AC41E0" w:rsidRDefault="00C81122" w:rsidP="00C17AF0">
      <w:pPr>
        <w:pStyle w:val="Heading3"/>
        <w:rPr>
          <w:rFonts w:ascii="Arial" w:hAnsi="Arial"/>
        </w:rPr>
      </w:pPr>
      <w:bookmarkStart w:id="239" w:name="_Toc18073204"/>
      <w:bookmarkStart w:id="240" w:name="_Toc18073375"/>
      <w:bookmarkStart w:id="241" w:name="_Toc18073546"/>
      <w:bookmarkStart w:id="242" w:name="_Toc18073711"/>
      <w:bookmarkStart w:id="243" w:name="_Toc18073878"/>
      <w:bookmarkStart w:id="244" w:name="_Toc18077500"/>
      <w:bookmarkStart w:id="245" w:name="_Toc18077669"/>
      <w:bookmarkStart w:id="246" w:name="_Toc18082903"/>
      <w:bookmarkStart w:id="247" w:name="_Toc18083075"/>
      <w:bookmarkStart w:id="248" w:name="_Toc18083248"/>
      <w:bookmarkStart w:id="249" w:name="_Toc18311195"/>
      <w:bookmarkStart w:id="250" w:name="_Toc18312751"/>
      <w:bookmarkStart w:id="251" w:name="_Toc18322041"/>
      <w:bookmarkStart w:id="252" w:name="_Toc18322220"/>
      <w:bookmarkStart w:id="253" w:name="_Toc18336801"/>
      <w:bookmarkStart w:id="254" w:name="_Toc18338081"/>
      <w:bookmarkStart w:id="255" w:name="_Toc18073205"/>
      <w:bookmarkStart w:id="256" w:name="_Toc18073376"/>
      <w:bookmarkStart w:id="257" w:name="_Toc18073547"/>
      <w:bookmarkStart w:id="258" w:name="_Toc18073712"/>
      <w:bookmarkStart w:id="259" w:name="_Toc18073879"/>
      <w:bookmarkStart w:id="260" w:name="_Toc18077501"/>
      <w:bookmarkStart w:id="261" w:name="_Toc18077670"/>
      <w:bookmarkStart w:id="262" w:name="_Toc18082904"/>
      <w:bookmarkStart w:id="263" w:name="_Toc18083076"/>
      <w:bookmarkStart w:id="264" w:name="_Toc18083249"/>
      <w:bookmarkStart w:id="265" w:name="_Toc18311196"/>
      <w:bookmarkStart w:id="266" w:name="_Toc18312752"/>
      <w:bookmarkStart w:id="267" w:name="_Toc18322042"/>
      <w:bookmarkStart w:id="268" w:name="_Toc18322221"/>
      <w:bookmarkStart w:id="269" w:name="_Toc18336802"/>
      <w:bookmarkStart w:id="270" w:name="_Toc18338082"/>
      <w:bookmarkStart w:id="271" w:name="_Toc65760472"/>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AC41E0">
        <w:rPr>
          <w:rFonts w:ascii="Arial" w:hAnsi="Arial"/>
        </w:rPr>
        <w:t>Scope of the IoT Policy</w:t>
      </w:r>
      <w:bookmarkEnd w:id="271"/>
      <w:r w:rsidR="00C17AF0" w:rsidRPr="00AC41E0">
        <w:rPr>
          <w:rFonts w:ascii="Arial" w:hAnsi="Arial"/>
        </w:rPr>
        <w:tab/>
      </w:r>
    </w:p>
    <w:p w14:paraId="61F82F9E" w14:textId="77777777" w:rsidR="00EF0455" w:rsidRPr="00AC41E0" w:rsidRDefault="00EF0455" w:rsidP="00EF0455">
      <w:pPr>
        <w:pStyle w:val="DCSbodytext"/>
        <w:spacing w:after="120"/>
      </w:pPr>
      <w:r w:rsidRPr="00AC41E0">
        <w:t>The IoT Policy provides:</w:t>
      </w:r>
    </w:p>
    <w:p w14:paraId="0947B9F0" w14:textId="0F3F016F" w:rsidR="00EF0455" w:rsidRPr="00AC41E0" w:rsidRDefault="00EF0455" w:rsidP="00003096">
      <w:pPr>
        <w:pStyle w:val="DCSbodytext"/>
        <w:numPr>
          <w:ilvl w:val="0"/>
          <w:numId w:val="119"/>
        </w:numPr>
        <w:spacing w:after="120"/>
      </w:pPr>
      <w:r w:rsidRPr="00AC41E0">
        <w:t xml:space="preserve">practical guidance to </w:t>
      </w:r>
      <w:r w:rsidR="003077DB" w:rsidRPr="00AC41E0">
        <w:t xml:space="preserve">help organisations </w:t>
      </w:r>
      <w:r w:rsidRPr="00AC41E0">
        <w:t>design, plan and implement IoT solutions</w:t>
      </w:r>
    </w:p>
    <w:p w14:paraId="1FB4D121" w14:textId="77777777" w:rsidR="00EF0455" w:rsidRPr="00AC41E0" w:rsidRDefault="00EF0455" w:rsidP="00003096">
      <w:pPr>
        <w:pStyle w:val="DCSbodytext"/>
        <w:numPr>
          <w:ilvl w:val="0"/>
          <w:numId w:val="119"/>
        </w:numPr>
        <w:spacing w:after="120"/>
      </w:pPr>
      <w:r w:rsidRPr="00AC41E0">
        <w:t>advice on standards and obligations where available and practical</w:t>
      </w:r>
    </w:p>
    <w:p w14:paraId="76C7A784" w14:textId="2EC09068" w:rsidR="00EF0455" w:rsidRPr="00AC41E0" w:rsidRDefault="00EF0455" w:rsidP="00003096">
      <w:pPr>
        <w:pStyle w:val="DCSbodytext"/>
        <w:numPr>
          <w:ilvl w:val="0"/>
          <w:numId w:val="119"/>
        </w:numPr>
        <w:spacing w:after="120"/>
      </w:pPr>
      <w:r w:rsidRPr="00AC41E0">
        <w:t xml:space="preserve">tools and templates to help effectively manage an </w:t>
      </w:r>
      <w:r w:rsidR="003D5E9D" w:rsidRPr="00AC41E0">
        <w:t>IoT-enabled project</w:t>
      </w:r>
    </w:p>
    <w:p w14:paraId="64726C8F" w14:textId="7F26BD5C" w:rsidR="00EF0455" w:rsidRPr="00AC41E0" w:rsidRDefault="00EF0455" w:rsidP="00003096">
      <w:pPr>
        <w:pStyle w:val="DCSbodytext"/>
        <w:numPr>
          <w:ilvl w:val="0"/>
          <w:numId w:val="119"/>
        </w:numPr>
      </w:pPr>
      <w:r w:rsidRPr="00AC41E0">
        <w:t xml:space="preserve">guidance on where </w:t>
      </w:r>
      <w:r w:rsidR="00AC1D29" w:rsidRPr="00AC41E0">
        <w:t xml:space="preserve">and how </w:t>
      </w:r>
      <w:r w:rsidRPr="00AC41E0">
        <w:t>to source additional advice if required.</w:t>
      </w:r>
    </w:p>
    <w:p w14:paraId="5EA474B0" w14:textId="311E8448" w:rsidR="00F830B9" w:rsidRPr="00AC41E0" w:rsidRDefault="00F830B9" w:rsidP="00F33137">
      <w:pPr>
        <w:pStyle w:val="DCSbodytext"/>
      </w:pPr>
      <w:r w:rsidRPr="00AC41E0">
        <w:t>The diversity of applications</w:t>
      </w:r>
      <w:r w:rsidR="00626F10" w:rsidRPr="00AC41E0">
        <w:t xml:space="preserve"> </w:t>
      </w:r>
      <w:r w:rsidRPr="00AC41E0">
        <w:t>–</w:t>
      </w:r>
      <w:r w:rsidR="00626F10" w:rsidRPr="00AC41E0">
        <w:t xml:space="preserve"> </w:t>
      </w:r>
      <w:r w:rsidRPr="00AC41E0">
        <w:t>and potential applications</w:t>
      </w:r>
      <w:r w:rsidR="00626F10" w:rsidRPr="00AC41E0">
        <w:t xml:space="preserve"> </w:t>
      </w:r>
      <w:r w:rsidRPr="00AC41E0">
        <w:t>–</w:t>
      </w:r>
      <w:r w:rsidR="00626F10" w:rsidRPr="00AC41E0">
        <w:t xml:space="preserve"> </w:t>
      </w:r>
      <w:r w:rsidRPr="00AC41E0">
        <w:t xml:space="preserve">of IoT across the NSW Government makes it impossible to provide prescriptive guidance suitable for every IoT solution. Rather, this policy provides IoT solution-agnostic advice and recommendations for where to find additional information. </w:t>
      </w:r>
    </w:p>
    <w:p w14:paraId="6D5AA4E6" w14:textId="2EB3227D" w:rsidR="00C072E0" w:rsidRPr="00AC41E0" w:rsidRDefault="00C072E0" w:rsidP="00F33137">
      <w:pPr>
        <w:pStyle w:val="DCSbodytext"/>
      </w:pPr>
      <w:r w:rsidRPr="00AC41E0">
        <w:t xml:space="preserve">Navigating the successful development and rollout of an IoT-enabled project requires a wealth of diverse technical knowledge which cannot be conveyed in a single policy. </w:t>
      </w:r>
      <w:r w:rsidR="00F16EAC" w:rsidRPr="00AC41E0">
        <w:t>T</w:t>
      </w:r>
      <w:r w:rsidRPr="00AC41E0">
        <w:t xml:space="preserve">his </w:t>
      </w:r>
      <w:r w:rsidRPr="00AC41E0">
        <w:lastRenderedPageBreak/>
        <w:t xml:space="preserve">policy aims to give you a </w:t>
      </w:r>
      <w:r w:rsidR="0059004B" w:rsidRPr="00AC41E0">
        <w:t>foundational</w:t>
      </w:r>
      <w:r w:rsidR="00F16EAC" w:rsidRPr="00AC41E0">
        <w:t xml:space="preserve"> </w:t>
      </w:r>
      <w:r w:rsidRPr="00AC41E0">
        <w:t xml:space="preserve">level of IoT </w:t>
      </w:r>
      <w:r w:rsidR="0059004B" w:rsidRPr="00AC41E0">
        <w:t xml:space="preserve">knowledge </w:t>
      </w:r>
      <w:r w:rsidRPr="00AC41E0">
        <w:t>to enable you to have informed conversations with relevant experts.</w:t>
      </w:r>
    </w:p>
    <w:p w14:paraId="637BB870" w14:textId="777332CC" w:rsidR="00C17AF0" w:rsidRPr="00AC41E0" w:rsidRDefault="00F7741E" w:rsidP="00C17AF0">
      <w:pPr>
        <w:pStyle w:val="Heading3"/>
        <w:rPr>
          <w:rFonts w:ascii="Arial" w:hAnsi="Arial"/>
        </w:rPr>
      </w:pPr>
      <w:bookmarkStart w:id="272" w:name="_Toc18073207"/>
      <w:bookmarkStart w:id="273" w:name="_Toc18073378"/>
      <w:bookmarkStart w:id="274" w:name="_Toc18073549"/>
      <w:bookmarkStart w:id="275" w:name="_Toc18073714"/>
      <w:bookmarkStart w:id="276" w:name="_Toc18073881"/>
      <w:bookmarkStart w:id="277" w:name="_Toc18077503"/>
      <w:bookmarkStart w:id="278" w:name="_Toc18077672"/>
      <w:bookmarkStart w:id="279" w:name="_Toc18082906"/>
      <w:bookmarkStart w:id="280" w:name="_Toc18083078"/>
      <w:bookmarkStart w:id="281" w:name="_Toc18083251"/>
      <w:bookmarkStart w:id="282" w:name="_Toc18311198"/>
      <w:bookmarkStart w:id="283" w:name="_Toc18312754"/>
      <w:bookmarkStart w:id="284" w:name="_Toc18322044"/>
      <w:bookmarkStart w:id="285" w:name="_Toc18322223"/>
      <w:bookmarkStart w:id="286" w:name="_Toc18336804"/>
      <w:bookmarkStart w:id="287" w:name="_Toc18338084"/>
      <w:bookmarkStart w:id="288" w:name="_Toc65760473"/>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Pr="00AC41E0">
        <w:rPr>
          <w:rFonts w:ascii="Arial" w:hAnsi="Arial"/>
        </w:rPr>
        <w:t>Au</w:t>
      </w:r>
      <w:r w:rsidR="00C17AF0" w:rsidRPr="00AC41E0">
        <w:rPr>
          <w:rFonts w:ascii="Arial" w:hAnsi="Arial"/>
        </w:rPr>
        <w:t xml:space="preserve">dience of the </w:t>
      </w:r>
      <w:r w:rsidR="0057013A" w:rsidRPr="00AC41E0">
        <w:rPr>
          <w:rFonts w:ascii="Arial" w:hAnsi="Arial"/>
        </w:rPr>
        <w:t xml:space="preserve">IoT </w:t>
      </w:r>
      <w:r w:rsidR="00C17AF0" w:rsidRPr="00AC41E0">
        <w:rPr>
          <w:rFonts w:ascii="Arial" w:hAnsi="Arial"/>
        </w:rPr>
        <w:t>Policy</w:t>
      </w:r>
      <w:bookmarkEnd w:id="288"/>
      <w:r w:rsidR="00C17AF0" w:rsidRPr="00AC41E0">
        <w:rPr>
          <w:rFonts w:ascii="Arial" w:hAnsi="Arial"/>
        </w:rPr>
        <w:tab/>
      </w:r>
    </w:p>
    <w:p w14:paraId="29B6EC06" w14:textId="47BEDB23" w:rsidR="00D13F7A" w:rsidRPr="00AC41E0" w:rsidRDefault="00D13F7A" w:rsidP="00D13F7A">
      <w:pPr>
        <w:pStyle w:val="DCSbodytext"/>
      </w:pPr>
      <w:r w:rsidRPr="00AC41E0">
        <w:t>The primary audience</w:t>
      </w:r>
      <w:r w:rsidR="00D328DB" w:rsidRPr="00AC41E0">
        <w:t xml:space="preserve"> for the IoT Policy i</w:t>
      </w:r>
      <w:r w:rsidRPr="00AC41E0">
        <w:t xml:space="preserve">s NSW Government agencies </w:t>
      </w:r>
      <w:r w:rsidR="00D328DB" w:rsidRPr="00AC41E0">
        <w:t xml:space="preserve">that are </w:t>
      </w:r>
      <w:r w:rsidRPr="00AC41E0">
        <w:t>planning or currently implementing IoT solutions</w:t>
      </w:r>
      <w:r w:rsidR="005C4023" w:rsidRPr="00AC41E0">
        <w:t>,</w:t>
      </w:r>
      <w:r w:rsidRPr="00AC41E0">
        <w:t xml:space="preserve"> or </w:t>
      </w:r>
      <w:r w:rsidR="00D328DB" w:rsidRPr="00AC41E0">
        <w:t xml:space="preserve">that are </w:t>
      </w:r>
      <w:r w:rsidRPr="00AC41E0">
        <w:t>interested in learning more about the applications of IoT.</w:t>
      </w:r>
    </w:p>
    <w:p w14:paraId="69897B44" w14:textId="253D9F6E" w:rsidR="00D13F7A" w:rsidRPr="00AC41E0" w:rsidRDefault="00D13F7A" w:rsidP="00D13F7A">
      <w:pPr>
        <w:pStyle w:val="DCSbodytext"/>
      </w:pPr>
      <w:r w:rsidRPr="00AC41E0">
        <w:t>Local government will also find the</w:t>
      </w:r>
      <w:r w:rsidR="000068EA" w:rsidRPr="00AC41E0">
        <w:t xml:space="preserve"> IoT</w:t>
      </w:r>
      <w:r w:rsidRPr="00AC41E0">
        <w:t xml:space="preserve"> Policy useful. While some of the obligations </w:t>
      </w:r>
      <w:r w:rsidR="00923FCD" w:rsidRPr="00AC41E0">
        <w:t xml:space="preserve">outlined </w:t>
      </w:r>
      <w:r w:rsidRPr="00AC41E0">
        <w:t xml:space="preserve">in the </w:t>
      </w:r>
      <w:r w:rsidR="00923FCD" w:rsidRPr="00AC41E0">
        <w:t xml:space="preserve">IoT </w:t>
      </w:r>
      <w:r w:rsidRPr="00AC41E0">
        <w:t xml:space="preserve">Policy may not apply to organisations outside of the NSW Government, most of the </w:t>
      </w:r>
      <w:r w:rsidR="00362D8C" w:rsidRPr="00AC41E0">
        <w:t>advice in the policy is relevant</w:t>
      </w:r>
      <w:r w:rsidR="00C215A5" w:rsidRPr="00AC41E0">
        <w:t xml:space="preserve"> to local government</w:t>
      </w:r>
      <w:r w:rsidRPr="00AC41E0">
        <w:t>.</w:t>
      </w:r>
    </w:p>
    <w:p w14:paraId="1C5F83F8" w14:textId="4EF94587" w:rsidR="00C17AF0" w:rsidRPr="00AC41E0" w:rsidRDefault="00C17AF0" w:rsidP="00C17AF0">
      <w:pPr>
        <w:pStyle w:val="Heading3"/>
        <w:rPr>
          <w:rFonts w:ascii="Arial" w:hAnsi="Arial"/>
        </w:rPr>
      </w:pPr>
      <w:bookmarkStart w:id="289" w:name="_Toc65760474"/>
      <w:r w:rsidRPr="00AC41E0">
        <w:rPr>
          <w:rFonts w:ascii="Arial" w:hAnsi="Arial"/>
        </w:rPr>
        <w:t xml:space="preserve">How to use the </w:t>
      </w:r>
      <w:r w:rsidR="0057013A" w:rsidRPr="00AC41E0">
        <w:rPr>
          <w:rFonts w:ascii="Arial" w:hAnsi="Arial"/>
        </w:rPr>
        <w:t xml:space="preserve">IoT </w:t>
      </w:r>
      <w:r w:rsidRPr="00AC41E0">
        <w:rPr>
          <w:rFonts w:ascii="Arial" w:hAnsi="Arial"/>
        </w:rPr>
        <w:t>Policy</w:t>
      </w:r>
      <w:bookmarkEnd w:id="289"/>
      <w:r w:rsidRPr="00AC41E0">
        <w:rPr>
          <w:rFonts w:ascii="Arial" w:hAnsi="Arial"/>
        </w:rPr>
        <w:tab/>
      </w:r>
    </w:p>
    <w:p w14:paraId="4ECFC04D" w14:textId="1377BC1D" w:rsidR="004853A9" w:rsidRPr="00AC41E0" w:rsidRDefault="000E3ED8" w:rsidP="0078075D">
      <w:pPr>
        <w:pStyle w:val="DCSbodytext"/>
      </w:pPr>
      <w:r w:rsidRPr="00AC41E0">
        <w:t>This policy</w:t>
      </w:r>
      <w:r w:rsidR="000F3F34" w:rsidRPr="00AC41E0">
        <w:t xml:space="preserve"> </w:t>
      </w:r>
      <w:r w:rsidR="009C15A2" w:rsidRPr="00AC41E0">
        <w:t>is divided</w:t>
      </w:r>
      <w:r w:rsidR="00921EB6" w:rsidRPr="00AC41E0">
        <w:t xml:space="preserve"> into</w:t>
      </w:r>
      <w:r w:rsidR="009C15A2" w:rsidRPr="00AC41E0">
        <w:t xml:space="preserve"> </w:t>
      </w:r>
      <w:r w:rsidR="000F166F" w:rsidRPr="00AC41E0">
        <w:t>eight</w:t>
      </w:r>
      <w:r w:rsidR="00E470BB" w:rsidRPr="00AC41E0">
        <w:t xml:space="preserve"> standalone</w:t>
      </w:r>
      <w:r w:rsidR="0005311F" w:rsidRPr="00AC41E0">
        <w:t xml:space="preserve"> modules</w:t>
      </w:r>
      <w:r w:rsidR="00635361" w:rsidRPr="00AC41E0">
        <w:t xml:space="preserve"> which contain chapters</w:t>
      </w:r>
      <w:r w:rsidR="00EC316D" w:rsidRPr="00AC41E0">
        <w:t xml:space="preserve">. Each </w:t>
      </w:r>
      <w:r w:rsidR="00D243C4" w:rsidRPr="00AC41E0">
        <w:t>module</w:t>
      </w:r>
      <w:r w:rsidR="00EC316D" w:rsidRPr="00AC41E0">
        <w:t xml:space="preserve"> </w:t>
      </w:r>
      <w:r w:rsidR="00D73C26" w:rsidRPr="00AC41E0">
        <w:t>relates to</w:t>
      </w:r>
      <w:r w:rsidR="007E7B62" w:rsidRPr="00AC41E0">
        <w:t xml:space="preserve"> a </w:t>
      </w:r>
      <w:r w:rsidR="00642CF5" w:rsidRPr="00AC41E0">
        <w:t xml:space="preserve">step </w:t>
      </w:r>
      <w:r w:rsidR="000F166F" w:rsidRPr="00AC41E0">
        <w:t xml:space="preserve">of </w:t>
      </w:r>
      <w:r w:rsidR="00AB0E83" w:rsidRPr="00AC41E0">
        <w:t xml:space="preserve">the </w:t>
      </w:r>
      <w:r w:rsidR="00EC316D" w:rsidRPr="00AC41E0">
        <w:t xml:space="preserve">reader’s ‘IoT </w:t>
      </w:r>
      <w:r w:rsidR="000F3F34" w:rsidRPr="00AC41E0">
        <w:t>j</w:t>
      </w:r>
      <w:r w:rsidR="00EC316D" w:rsidRPr="00AC41E0">
        <w:t>ourney’</w:t>
      </w:r>
      <w:r w:rsidR="000F3F34" w:rsidRPr="00AC41E0">
        <w:t xml:space="preserve"> in implementing an IoT</w:t>
      </w:r>
      <w:r w:rsidR="00632BE4" w:rsidRPr="00AC41E0">
        <w:t>-</w:t>
      </w:r>
      <w:r w:rsidR="000F3F34" w:rsidRPr="00AC41E0">
        <w:t xml:space="preserve">enabled project. </w:t>
      </w:r>
    </w:p>
    <w:p w14:paraId="5289432B" w14:textId="56A47866" w:rsidR="007732C6" w:rsidRPr="00AC41E0" w:rsidRDefault="007732C6" w:rsidP="00F33137">
      <w:pPr>
        <w:pStyle w:val="DCSbodytext"/>
      </w:pPr>
      <w:r w:rsidRPr="00AC41E0">
        <w:t>At the beginning of each module</w:t>
      </w:r>
      <w:r w:rsidR="00510D17" w:rsidRPr="00AC41E0">
        <w:t>,</w:t>
      </w:r>
      <w:r w:rsidRPr="00AC41E0">
        <w:t xml:space="preserve"> you will find a checklist of key </w:t>
      </w:r>
      <w:r w:rsidR="17F05784" w:rsidRPr="00AC41E0">
        <w:t>takeaways</w:t>
      </w:r>
      <w:r w:rsidRPr="00AC41E0">
        <w:t xml:space="preserve"> (for modules 1 and 2) or best practice considerations (for modules 3 to 8)</w:t>
      </w:r>
      <w:r w:rsidR="002B6F0F" w:rsidRPr="00AC41E0">
        <w:t>.</w:t>
      </w:r>
    </w:p>
    <w:p w14:paraId="52BF7B9A" w14:textId="53B3198D" w:rsidR="003229FE" w:rsidRPr="00E46FB0" w:rsidRDefault="003229FE">
      <w:pPr>
        <w:pStyle w:val="DCSbodytext"/>
      </w:pPr>
      <w:r w:rsidRPr="00AC41E0">
        <w:t xml:space="preserve">You can read the policy in its entirety or select </w:t>
      </w:r>
      <w:r w:rsidR="004A4E00" w:rsidRPr="00AC41E0">
        <w:t>the</w:t>
      </w:r>
      <w:r w:rsidRPr="00AC41E0">
        <w:t xml:space="preserve"> </w:t>
      </w:r>
      <w:r w:rsidR="004A4E00" w:rsidRPr="00AC41E0">
        <w:t>module</w:t>
      </w:r>
      <w:r w:rsidRPr="00AC41E0">
        <w:t xml:space="preserve"> relevant to </w:t>
      </w:r>
      <w:r w:rsidR="00A53D69" w:rsidRPr="00AC41E0">
        <w:t>the</w:t>
      </w:r>
      <w:r w:rsidRPr="00AC41E0">
        <w:t xml:space="preserve"> </w:t>
      </w:r>
      <w:r w:rsidR="00701E70" w:rsidRPr="00AC41E0">
        <w:t>step</w:t>
      </w:r>
      <w:r w:rsidRPr="00AC41E0">
        <w:t xml:space="preserve"> in your IoT journey. </w:t>
      </w:r>
    </w:p>
    <w:p w14:paraId="3D952FC1" w14:textId="4D67080F" w:rsidR="00086458" w:rsidRPr="00AC41E0" w:rsidRDefault="00065633" w:rsidP="00086458">
      <w:pPr>
        <w:pStyle w:val="Heading3"/>
        <w:rPr>
          <w:rFonts w:ascii="Arial" w:hAnsi="Arial"/>
        </w:rPr>
      </w:pPr>
      <w:bookmarkStart w:id="290" w:name="_Toc18073210"/>
      <w:bookmarkStart w:id="291" w:name="_Toc18073381"/>
      <w:bookmarkStart w:id="292" w:name="_Toc18073552"/>
      <w:bookmarkStart w:id="293" w:name="_Toc18073717"/>
      <w:bookmarkStart w:id="294" w:name="_Toc18073884"/>
      <w:bookmarkStart w:id="295" w:name="_Toc18077506"/>
      <w:bookmarkStart w:id="296" w:name="_Toc18077675"/>
      <w:bookmarkStart w:id="297" w:name="_Toc18082909"/>
      <w:bookmarkStart w:id="298" w:name="_Toc18083081"/>
      <w:bookmarkStart w:id="299" w:name="_Toc18083254"/>
      <w:bookmarkStart w:id="300" w:name="_Toc18311201"/>
      <w:bookmarkStart w:id="301" w:name="_Toc18312757"/>
      <w:bookmarkStart w:id="302" w:name="_Toc18322047"/>
      <w:bookmarkStart w:id="303" w:name="_Toc18322226"/>
      <w:bookmarkStart w:id="304" w:name="_Toc18336807"/>
      <w:bookmarkStart w:id="305" w:name="_Toc18338087"/>
      <w:bookmarkStart w:id="306" w:name="_Toc18073211"/>
      <w:bookmarkStart w:id="307" w:name="_Toc18073382"/>
      <w:bookmarkStart w:id="308" w:name="_Toc18073553"/>
      <w:bookmarkStart w:id="309" w:name="_Toc18073718"/>
      <w:bookmarkStart w:id="310" w:name="_Toc18073885"/>
      <w:bookmarkStart w:id="311" w:name="_Toc18077507"/>
      <w:bookmarkStart w:id="312" w:name="_Toc18077676"/>
      <w:bookmarkStart w:id="313" w:name="_Toc18082910"/>
      <w:bookmarkStart w:id="314" w:name="_Toc18083082"/>
      <w:bookmarkStart w:id="315" w:name="_Toc18083255"/>
      <w:bookmarkStart w:id="316" w:name="_Toc18311202"/>
      <w:bookmarkStart w:id="317" w:name="_Toc18312758"/>
      <w:bookmarkStart w:id="318" w:name="_Toc18322048"/>
      <w:bookmarkStart w:id="319" w:name="_Toc18322227"/>
      <w:bookmarkStart w:id="320" w:name="_Toc18336808"/>
      <w:bookmarkStart w:id="321" w:name="_Toc18338088"/>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Pr="00AC41E0" w:rsidDel="00065633">
        <w:rPr>
          <w:rFonts w:ascii="Arial" w:hAnsi="Arial"/>
        </w:rPr>
        <w:t xml:space="preserve"> </w:t>
      </w:r>
      <w:bookmarkStart w:id="322" w:name="_Toc18073212"/>
      <w:bookmarkStart w:id="323" w:name="_Toc18073383"/>
      <w:bookmarkStart w:id="324" w:name="_Toc18073554"/>
      <w:bookmarkStart w:id="325" w:name="_Toc18073719"/>
      <w:bookmarkStart w:id="326" w:name="_Toc18073886"/>
      <w:bookmarkStart w:id="327" w:name="_Toc18077508"/>
      <w:bookmarkStart w:id="328" w:name="_Toc18077677"/>
      <w:bookmarkStart w:id="329" w:name="_Toc18082911"/>
      <w:bookmarkStart w:id="330" w:name="_Toc18083083"/>
      <w:bookmarkStart w:id="331" w:name="_Toc18083256"/>
      <w:bookmarkStart w:id="332" w:name="_Toc18311203"/>
      <w:bookmarkStart w:id="333" w:name="_Toc18312759"/>
      <w:bookmarkStart w:id="334" w:name="_Toc18322049"/>
      <w:bookmarkStart w:id="335" w:name="_Toc18322228"/>
      <w:bookmarkStart w:id="336" w:name="_Toc18336809"/>
      <w:bookmarkStart w:id="337" w:name="_Toc18338089"/>
      <w:bookmarkStart w:id="338" w:name="_Toc65760475"/>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00086458" w:rsidRPr="00AC41E0">
        <w:rPr>
          <w:rFonts w:ascii="Arial" w:hAnsi="Arial"/>
        </w:rPr>
        <w:t>Case studies in the IoT Policy</w:t>
      </w:r>
      <w:bookmarkEnd w:id="338"/>
    </w:p>
    <w:p w14:paraId="3ABEA255" w14:textId="7E536303" w:rsidR="00086458" w:rsidRPr="00AC41E0" w:rsidRDefault="00086458" w:rsidP="0005311F">
      <w:pPr>
        <w:pStyle w:val="DCSbodytext"/>
        <w:rPr>
          <w:szCs w:val="22"/>
        </w:rPr>
      </w:pPr>
      <w:r w:rsidRPr="00AC41E0">
        <w:rPr>
          <w:szCs w:val="22"/>
        </w:rPr>
        <w:t xml:space="preserve">Case studies are used throughout this </w:t>
      </w:r>
      <w:r w:rsidR="00803AC1" w:rsidRPr="00AC41E0">
        <w:rPr>
          <w:szCs w:val="22"/>
        </w:rPr>
        <w:t>p</w:t>
      </w:r>
      <w:r w:rsidRPr="00AC41E0">
        <w:rPr>
          <w:szCs w:val="22"/>
        </w:rPr>
        <w:t xml:space="preserve">olicy to illustrate </w:t>
      </w:r>
      <w:r w:rsidR="00510D17" w:rsidRPr="00AC41E0">
        <w:rPr>
          <w:szCs w:val="22"/>
        </w:rPr>
        <w:t xml:space="preserve">the </w:t>
      </w:r>
      <w:r w:rsidRPr="00AC41E0">
        <w:rPr>
          <w:szCs w:val="22"/>
        </w:rPr>
        <w:t xml:space="preserve">concepts and uses of IoT. </w:t>
      </w:r>
    </w:p>
    <w:p w14:paraId="7EC1BCC9" w14:textId="77777777" w:rsidR="00810624" w:rsidRPr="00AC41E0" w:rsidRDefault="00810624" w:rsidP="0005311F">
      <w:pPr>
        <w:pStyle w:val="DCSbodytext"/>
        <w:rPr>
          <w:szCs w:val="22"/>
        </w:rPr>
      </w:pPr>
    </w:p>
    <w:p w14:paraId="17568E6C" w14:textId="49959D97" w:rsidR="00C17AF0" w:rsidRPr="00AC41E0" w:rsidRDefault="001025A9" w:rsidP="00C17AF0">
      <w:pPr>
        <w:pStyle w:val="Heading3"/>
        <w:rPr>
          <w:rFonts w:ascii="Arial" w:hAnsi="Arial"/>
        </w:rPr>
      </w:pPr>
      <w:bookmarkStart w:id="339" w:name="_Toc65760476"/>
      <w:r w:rsidRPr="00AC41E0">
        <w:rPr>
          <w:rFonts w:ascii="Arial" w:hAnsi="Arial"/>
        </w:rPr>
        <w:t>How the IoT Policy relates to other NSW Government policies</w:t>
      </w:r>
      <w:bookmarkEnd w:id="339"/>
      <w:r w:rsidR="00C17AF0" w:rsidRPr="00AC41E0">
        <w:rPr>
          <w:rFonts w:ascii="Arial" w:hAnsi="Arial"/>
        </w:rPr>
        <w:tab/>
      </w:r>
    </w:p>
    <w:p w14:paraId="06BD0840" w14:textId="6BDACE7E" w:rsidR="003B2D8B" w:rsidRPr="00AC41E0" w:rsidRDefault="003B2D8B" w:rsidP="003B2D8B">
      <w:pPr>
        <w:pStyle w:val="DCSbodytext"/>
      </w:pPr>
      <w:r w:rsidRPr="00AC41E0">
        <w:t>Th</w:t>
      </w:r>
      <w:r w:rsidR="00997B37" w:rsidRPr="00AC41E0">
        <w:t xml:space="preserve">is policy </w:t>
      </w:r>
      <w:r w:rsidRPr="00AC41E0">
        <w:t>refers to other NSW Government policies, frameworks</w:t>
      </w:r>
      <w:r w:rsidR="00510D17" w:rsidRPr="00AC41E0">
        <w:t>,</w:t>
      </w:r>
      <w:r w:rsidRPr="00AC41E0">
        <w:t xml:space="preserve"> and tools that provide context and information relevant to IoT in NSW</w:t>
      </w:r>
      <w:r w:rsidR="00C84706" w:rsidRPr="00AC41E0">
        <w:t>. They are</w:t>
      </w:r>
      <w:r w:rsidR="009D4ECA" w:rsidRPr="00AC41E0">
        <w:t xml:space="preserve"> listed in the table </w:t>
      </w:r>
      <w:r w:rsidR="005D0A1D" w:rsidRPr="00AC41E0">
        <w:t xml:space="preserve">at Appendix </w:t>
      </w:r>
      <w:r w:rsidR="00F13E03" w:rsidRPr="00AC41E0">
        <w:t>F</w:t>
      </w:r>
      <w:r w:rsidR="009D4ECA" w:rsidRPr="00AC41E0">
        <w:t>.</w:t>
      </w:r>
    </w:p>
    <w:p w14:paraId="15E885A5" w14:textId="7F8C0E6A" w:rsidR="003B2D8B" w:rsidRPr="00AC41E0" w:rsidRDefault="00997B37" w:rsidP="003B7EBD">
      <w:pPr>
        <w:pStyle w:val="DCSbodytext"/>
        <w:rPr>
          <w:rStyle w:val="Hyperlink"/>
          <w:color w:val="auto"/>
          <w:u w:val="none"/>
        </w:rPr>
      </w:pPr>
      <w:r w:rsidRPr="00AC41E0">
        <w:t>Th</w:t>
      </w:r>
      <w:r w:rsidR="0067778E" w:rsidRPr="00AC41E0">
        <w:t>is p</w:t>
      </w:r>
      <w:r w:rsidRPr="00AC41E0">
        <w:t xml:space="preserve">olicy </w:t>
      </w:r>
      <w:r w:rsidR="00EC0114" w:rsidRPr="00AC41E0">
        <w:t>does not</w:t>
      </w:r>
      <w:r w:rsidRPr="00AC41E0">
        <w:t xml:space="preserve"> override existing agency policies and standards where they exist. It is important </w:t>
      </w:r>
      <w:r w:rsidR="0067778E" w:rsidRPr="00AC41E0">
        <w:t>that you</w:t>
      </w:r>
      <w:r w:rsidRPr="00AC41E0">
        <w:t xml:space="preserve"> contact </w:t>
      </w:r>
      <w:r w:rsidR="0067778E" w:rsidRPr="00AC41E0">
        <w:t xml:space="preserve">the </w:t>
      </w:r>
      <w:r w:rsidRPr="00AC41E0">
        <w:t xml:space="preserve">subject matter experts </w:t>
      </w:r>
      <w:r w:rsidR="0067778E" w:rsidRPr="00AC41E0">
        <w:t xml:space="preserve">in your organisation </w:t>
      </w:r>
      <w:r w:rsidR="00BD60CD" w:rsidRPr="00AC41E0">
        <w:t xml:space="preserve">for </w:t>
      </w:r>
      <w:r w:rsidRPr="00AC41E0">
        <w:t xml:space="preserve">guidance on </w:t>
      </w:r>
      <w:r w:rsidR="00BD60CD" w:rsidRPr="00AC41E0">
        <w:t xml:space="preserve">any </w:t>
      </w:r>
      <w:r w:rsidR="00340D46" w:rsidRPr="00AC41E0">
        <w:t>organisation-</w:t>
      </w:r>
      <w:r w:rsidRPr="00AC41E0">
        <w:t xml:space="preserve">specific policies and standards. </w:t>
      </w:r>
    </w:p>
    <w:p w14:paraId="28AB0BC4" w14:textId="22288B94" w:rsidR="00C17AF0" w:rsidRPr="00AC41E0" w:rsidRDefault="00C17AF0" w:rsidP="00C17AF0">
      <w:pPr>
        <w:pStyle w:val="Heading3"/>
        <w:rPr>
          <w:rFonts w:ascii="Arial" w:hAnsi="Arial"/>
        </w:rPr>
      </w:pPr>
      <w:bookmarkStart w:id="340" w:name="_Toc65760477"/>
      <w:r w:rsidRPr="00AC41E0">
        <w:rPr>
          <w:rFonts w:ascii="Arial" w:hAnsi="Arial"/>
        </w:rPr>
        <w:t xml:space="preserve">Maintaining the </w:t>
      </w:r>
      <w:r w:rsidR="0057013A" w:rsidRPr="00AC41E0">
        <w:rPr>
          <w:rFonts w:ascii="Arial" w:hAnsi="Arial"/>
        </w:rPr>
        <w:t xml:space="preserve">IoT </w:t>
      </w:r>
      <w:r w:rsidR="00DB596B" w:rsidRPr="00AC41E0">
        <w:rPr>
          <w:rFonts w:ascii="Arial" w:hAnsi="Arial"/>
        </w:rPr>
        <w:t>P</w:t>
      </w:r>
      <w:r w:rsidRPr="00AC41E0">
        <w:rPr>
          <w:rFonts w:ascii="Arial" w:hAnsi="Arial"/>
        </w:rPr>
        <w:t>olicy</w:t>
      </w:r>
      <w:bookmarkEnd w:id="340"/>
      <w:r w:rsidRPr="00AC41E0">
        <w:rPr>
          <w:rFonts w:ascii="Arial" w:hAnsi="Arial"/>
        </w:rPr>
        <w:tab/>
      </w:r>
    </w:p>
    <w:p w14:paraId="4D72D0D2" w14:textId="749165A6" w:rsidR="0092637F" w:rsidRPr="00AC41E0" w:rsidRDefault="0092637F" w:rsidP="0092637F">
      <w:pPr>
        <w:pStyle w:val="DCSbodytext"/>
      </w:pPr>
      <w:r w:rsidRPr="00AC41E0">
        <w:t>The IoT ecosystem is rapidly evolving</w:t>
      </w:r>
      <w:r w:rsidR="008F0D05" w:rsidRPr="00AC41E0">
        <w:t>. A</w:t>
      </w:r>
      <w:r w:rsidRPr="00AC41E0">
        <w:t xml:space="preserve">ssociated policies should be flexible and adaptable enough to accommodate changes. </w:t>
      </w:r>
    </w:p>
    <w:p w14:paraId="48C1F1CA" w14:textId="584385EF" w:rsidR="0092637F" w:rsidRPr="00AC41E0" w:rsidRDefault="0092637F" w:rsidP="0092637F">
      <w:pPr>
        <w:pStyle w:val="DCSbodytext"/>
      </w:pPr>
      <w:r w:rsidRPr="00AC41E0">
        <w:t xml:space="preserve">To ensure its usefulness, this </w:t>
      </w:r>
      <w:r w:rsidR="008F0D05" w:rsidRPr="00AC41E0">
        <w:t>p</w:t>
      </w:r>
      <w:r w:rsidRPr="00AC41E0">
        <w:t>olicy will be regularly updated as technologies change, opportunities and risks are better understood, standards develop</w:t>
      </w:r>
      <w:r w:rsidR="007F79B4" w:rsidRPr="00AC41E0">
        <w:t>,</w:t>
      </w:r>
      <w:r w:rsidRPr="00AC41E0">
        <w:t xml:space="preserve"> and </w:t>
      </w:r>
      <w:r w:rsidR="007F79B4" w:rsidRPr="00AC41E0">
        <w:t xml:space="preserve">IoT maturity across </w:t>
      </w:r>
      <w:r w:rsidRPr="00AC41E0">
        <w:t xml:space="preserve">NSW Government grows. </w:t>
      </w:r>
    </w:p>
    <w:p w14:paraId="14192B3D" w14:textId="647813C7" w:rsidR="00A30899" w:rsidRPr="00E46FB0" w:rsidRDefault="00F22955" w:rsidP="00D4137E">
      <w:pPr>
        <w:pStyle w:val="Heading1"/>
        <w:tabs>
          <w:tab w:val="clear" w:pos="794"/>
          <w:tab w:val="num" w:pos="868"/>
        </w:tabs>
        <w:rPr>
          <w:rFonts w:ascii="Arial" w:hAnsi="Arial"/>
        </w:rPr>
      </w:pPr>
      <w:bookmarkStart w:id="341" w:name="_Toc15311772"/>
      <w:bookmarkStart w:id="342" w:name="_Toc15312151"/>
      <w:bookmarkStart w:id="343" w:name="_Toc15312509"/>
      <w:bookmarkStart w:id="344" w:name="_Toc15312685"/>
      <w:bookmarkStart w:id="345" w:name="_Toc15313125"/>
      <w:bookmarkStart w:id="346" w:name="_Toc15313263"/>
      <w:bookmarkStart w:id="347" w:name="_Toc15313728"/>
      <w:bookmarkStart w:id="348" w:name="_Toc15313884"/>
      <w:bookmarkStart w:id="349" w:name="_Toc15314040"/>
      <w:bookmarkStart w:id="350" w:name="_Toc15314194"/>
      <w:bookmarkStart w:id="351" w:name="_Toc15314820"/>
      <w:bookmarkStart w:id="352" w:name="_Toc15311781"/>
      <w:bookmarkStart w:id="353" w:name="_Toc15312160"/>
      <w:bookmarkStart w:id="354" w:name="_Toc15312518"/>
      <w:bookmarkStart w:id="355" w:name="_Toc15312694"/>
      <w:bookmarkStart w:id="356" w:name="_Toc15313134"/>
      <w:bookmarkStart w:id="357" w:name="_Toc15313272"/>
      <w:bookmarkStart w:id="358" w:name="_Toc15313737"/>
      <w:bookmarkStart w:id="359" w:name="_Toc15313893"/>
      <w:bookmarkStart w:id="360" w:name="_Toc15314049"/>
      <w:bookmarkStart w:id="361" w:name="_Toc15314203"/>
      <w:bookmarkStart w:id="362" w:name="_Toc15314829"/>
      <w:bookmarkStart w:id="363" w:name="_Toc65760478"/>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AC41E0">
        <w:rPr>
          <w:rFonts w:ascii="Arial" w:hAnsi="Arial"/>
        </w:rPr>
        <w:lastRenderedPageBreak/>
        <w:t>P</w:t>
      </w:r>
      <w:r w:rsidR="00853172" w:rsidRPr="00AC41E0">
        <w:rPr>
          <w:rFonts w:ascii="Arial" w:hAnsi="Arial"/>
        </w:rPr>
        <w:t>roject Scoping</w:t>
      </w:r>
      <w:r w:rsidR="00D1149B" w:rsidRPr="00E46FB0">
        <w:rPr>
          <w:rStyle w:val="FootnoteReference"/>
          <w:rFonts w:ascii="Arial" w:hAnsi="Arial"/>
          <w:noProof/>
          <w:color w:val="auto"/>
        </w:rPr>
        <mc:AlternateContent>
          <mc:Choice Requires="wps">
            <w:drawing>
              <wp:inline distT="0" distB="0" distL="0" distR="0" wp14:anchorId="769F0E55" wp14:editId="4EF5DAF3">
                <wp:extent cx="5511165" cy="3359150"/>
                <wp:effectExtent l="0" t="0" r="0" b="0"/>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165" cy="3359150"/>
                        </a:xfrm>
                        <a:prstGeom prst="rect">
                          <a:avLst/>
                        </a:prstGeom>
                        <a:solidFill>
                          <a:schemeClr val="accent5">
                            <a:lumMod val="40000"/>
                            <a:lumOff val="60000"/>
                          </a:schemeClr>
                        </a:solidFill>
                        <a:ln w="9525">
                          <a:noFill/>
                          <a:miter lim="800000"/>
                          <a:headEnd/>
                          <a:tailEnd/>
                        </a:ln>
                      </wps:spPr>
                      <wps:txbx>
                        <w:txbxContent>
                          <w:p w14:paraId="1514748E" w14:textId="77777777" w:rsidR="004A5EF4" w:rsidRPr="00A57E29" w:rsidRDefault="004A5EF4" w:rsidP="00D1149B">
                            <w:pPr>
                              <w:pStyle w:val="DCSbodytext"/>
                              <w:ind w:left="0"/>
                              <w:jc w:val="center"/>
                              <w:rPr>
                                <w:rStyle w:val="Hyperlink"/>
                                <w:b/>
                                <w:color w:val="auto"/>
                                <w:u w:val="none"/>
                              </w:rPr>
                            </w:pPr>
                            <w:r>
                              <w:rPr>
                                <w:b/>
                              </w:rPr>
                              <w:t>Key takeaways from this module</w:t>
                            </w:r>
                          </w:p>
                          <w:p w14:paraId="4CC81DDD" w14:textId="77777777" w:rsidR="004A5EF4" w:rsidRPr="00174862" w:rsidRDefault="004A5EF4" w:rsidP="00D1149B">
                            <w:pPr>
                              <w:pStyle w:val="DCSbodytext"/>
                              <w:numPr>
                                <w:ilvl w:val="0"/>
                                <w:numId w:val="166"/>
                              </w:numPr>
                              <w:rPr>
                                <w:rFonts w:cs="Arial"/>
                              </w:rPr>
                            </w:pPr>
                            <w:r w:rsidRPr="00174862">
                              <w:rPr>
                                <w:rFonts w:cs="Arial"/>
                              </w:rPr>
                              <w:t>It is important to consider IoT early in your project. It can be more challenging and costly to incorporate IoT as your project progresses (rather than planning for it upfront</w:t>
                            </w:r>
                            <w:r>
                              <w:rPr>
                                <w:rFonts w:cs="Arial"/>
                              </w:rPr>
                              <w:t>)</w:t>
                            </w:r>
                            <w:r w:rsidRPr="00174862">
                              <w:rPr>
                                <w:rFonts w:cs="Arial"/>
                              </w:rPr>
                              <w:t>.</w:t>
                            </w:r>
                          </w:p>
                          <w:p w14:paraId="342E7C8E" w14:textId="77777777" w:rsidR="004A5EF4" w:rsidRDefault="004A5EF4" w:rsidP="00D1149B">
                            <w:pPr>
                              <w:pStyle w:val="DCSbodytext"/>
                              <w:numPr>
                                <w:ilvl w:val="0"/>
                                <w:numId w:val="166"/>
                              </w:numPr>
                            </w:pPr>
                            <w:r>
                              <w:t xml:space="preserve">Things to contemplate when considering the use of IoT include your project intent, time, location, resources, systems and processes, and risks. </w:t>
                            </w:r>
                          </w:p>
                          <w:p w14:paraId="766D222F" w14:textId="77777777" w:rsidR="004A5EF4" w:rsidRDefault="004A5EF4" w:rsidP="00D1149B">
                            <w:pPr>
                              <w:pStyle w:val="DCSbodytext"/>
                              <w:numPr>
                                <w:ilvl w:val="0"/>
                                <w:numId w:val="166"/>
                              </w:numPr>
                            </w:pPr>
                            <w:r>
                              <w:t xml:space="preserve">When thinking about resources and skills, you need to consider the whole of life resourcing needs for your IoT-enabled project.  </w:t>
                            </w:r>
                          </w:p>
                          <w:p w14:paraId="53C553AB" w14:textId="77777777" w:rsidR="004A5EF4" w:rsidRPr="00EF3F81" w:rsidRDefault="004A5EF4" w:rsidP="00D1149B">
                            <w:pPr>
                              <w:pStyle w:val="DCSbodytext"/>
                              <w:numPr>
                                <w:ilvl w:val="0"/>
                                <w:numId w:val="166"/>
                              </w:numPr>
                            </w:pPr>
                            <w:r>
                              <w:t xml:space="preserve">The specific skillset required for your IoT-enabled project will depend on your knowledge and experience, the type of IoT solution you are implementing, what you intend to do with the data collected and whether devices exist that meet your needs.  </w:t>
                            </w:r>
                          </w:p>
                        </w:txbxContent>
                      </wps:txbx>
                      <wps:bodyPr rot="0" vert="horz" wrap="square" lIns="91440" tIns="45720" rIns="91440" bIns="45720" anchor="t" anchorCtr="0">
                        <a:noAutofit/>
                      </wps:bodyPr>
                    </wps:wsp>
                  </a:graphicData>
                </a:graphic>
              </wp:inline>
            </w:drawing>
          </mc:Choice>
          <mc:Fallback>
            <w:pict>
              <v:shape w14:anchorId="769F0E55" id="_x0000_s1030" type="#_x0000_t202" style="width:433.95pt;height:2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" fillcolor="#b6dde8 [1304]" stroked="f">
                <v:textbox>
                  <w:txbxContent>
                    <w:p w14:paraId="1514748E" w14:textId="77777777" w:rsidR="004A5EF4" w:rsidRPr="00A57E29" w:rsidRDefault="004A5EF4" w:rsidP="00D1149B">
                      <w:pPr>
                        <w:pStyle w:val="DCSbodytext"/>
                        <w:ind w:left="0"/>
                        <w:jc w:val="center"/>
                        <w:rPr>
                          <w:rStyle w:val="Hyperlink"/>
                          <w:b/>
                          <w:color w:val="auto"/>
                          <w:u w:val="none"/>
                        </w:rPr>
                      </w:pPr>
                      <w:r>
                        <w:rPr>
                          <w:b/>
                        </w:rPr>
                        <w:t>Key takeaways from this module</w:t>
                      </w:r>
                    </w:p>
                    <w:p w14:paraId="4CC81DDD" w14:textId="77777777" w:rsidR="004A5EF4" w:rsidRPr="00174862" w:rsidRDefault="004A5EF4" w:rsidP="00D1149B">
                      <w:pPr>
                        <w:pStyle w:val="DCSbodytext"/>
                        <w:numPr>
                          <w:ilvl w:val="0"/>
                          <w:numId w:val="166"/>
                        </w:numPr>
                        <w:rPr>
                          <w:rFonts w:cs="Arial"/>
                        </w:rPr>
                      </w:pPr>
                      <w:r w:rsidRPr="00174862">
                        <w:rPr>
                          <w:rFonts w:cs="Arial"/>
                        </w:rPr>
                        <w:t>It is important to consider IoT early in your project. It can be more challenging and costly to incorporate IoT as your project progresses (rather than planning for it upfront</w:t>
                      </w:r>
                      <w:r>
                        <w:rPr>
                          <w:rFonts w:cs="Arial"/>
                        </w:rPr>
                        <w:t>)</w:t>
                      </w:r>
                      <w:r w:rsidRPr="00174862">
                        <w:rPr>
                          <w:rFonts w:cs="Arial"/>
                        </w:rPr>
                        <w:t>.</w:t>
                      </w:r>
                    </w:p>
                    <w:p w14:paraId="342E7C8E" w14:textId="77777777" w:rsidR="004A5EF4" w:rsidRDefault="004A5EF4" w:rsidP="00D1149B">
                      <w:pPr>
                        <w:pStyle w:val="DCSbodytext"/>
                        <w:numPr>
                          <w:ilvl w:val="0"/>
                          <w:numId w:val="166"/>
                        </w:numPr>
                      </w:pPr>
                      <w:r>
                        <w:t xml:space="preserve">Things to contemplate when considering the use of IoT include your project intent, time, location, resources, systems and processes, and risks. </w:t>
                      </w:r>
                    </w:p>
                    <w:p w14:paraId="766D222F" w14:textId="77777777" w:rsidR="004A5EF4" w:rsidRDefault="004A5EF4" w:rsidP="00D1149B">
                      <w:pPr>
                        <w:pStyle w:val="DCSbodytext"/>
                        <w:numPr>
                          <w:ilvl w:val="0"/>
                          <w:numId w:val="166"/>
                        </w:numPr>
                      </w:pPr>
                      <w:r>
                        <w:t xml:space="preserve">When thinking about resources and skills, you need to consider the whole of life resourcing needs for your IoT-enabled project.  </w:t>
                      </w:r>
                    </w:p>
                    <w:p w14:paraId="53C553AB" w14:textId="77777777" w:rsidR="004A5EF4" w:rsidRPr="00EF3F81" w:rsidRDefault="004A5EF4" w:rsidP="00D1149B">
                      <w:pPr>
                        <w:pStyle w:val="DCSbodytext"/>
                        <w:numPr>
                          <w:ilvl w:val="0"/>
                          <w:numId w:val="166"/>
                        </w:numPr>
                      </w:pPr>
                      <w:r>
                        <w:t xml:space="preserve">The specific skillset required for your IoT-enabled project will depend on your knowledge and experience, the type of IoT solution you are implementing, what you intend to do with the data collected and whether devices exist that meet your needs.  </w:t>
                      </w:r>
                    </w:p>
                  </w:txbxContent>
                </v:textbox>
                <w10:anchorlock/>
              </v:shape>
            </w:pict>
          </mc:Fallback>
        </mc:AlternateContent>
      </w:r>
      <w:bookmarkEnd w:id="363"/>
    </w:p>
    <w:p w14:paraId="182C35AC" w14:textId="0EFD43C9" w:rsidR="001930D1" w:rsidRPr="00AC41E0" w:rsidRDefault="001930D1" w:rsidP="001930D1">
      <w:pPr>
        <w:pStyle w:val="DCSbodytext"/>
        <w:rPr>
          <w:lang w:eastAsia="en-AU"/>
        </w:rPr>
      </w:pPr>
    </w:p>
    <w:p w14:paraId="2244F3B0" w14:textId="77777777" w:rsidR="001D3817" w:rsidRPr="00AC41E0" w:rsidRDefault="001D3817" w:rsidP="008B611B">
      <w:pPr>
        <w:pStyle w:val="Heading2"/>
        <w:rPr>
          <w:rFonts w:ascii="Arial" w:hAnsi="Arial"/>
        </w:rPr>
        <w:sectPr w:rsidR="001D3817" w:rsidRPr="00AC41E0" w:rsidSect="002771AA">
          <w:pgSz w:w="11906" w:h="16838"/>
          <w:pgMar w:top="1418" w:right="1134" w:bottom="1134" w:left="1134" w:header="851" w:footer="425" w:gutter="0"/>
          <w:cols w:space="708"/>
          <w:titlePg/>
          <w:docGrid w:linePitch="360"/>
        </w:sectPr>
      </w:pPr>
      <w:bookmarkStart w:id="364" w:name="_Toc17990394"/>
      <w:bookmarkStart w:id="365" w:name="_Toc14686238"/>
      <w:bookmarkStart w:id="366" w:name="_Toc14689972"/>
      <w:bookmarkStart w:id="367" w:name="_Toc14691938"/>
      <w:bookmarkStart w:id="368" w:name="_Toc14694008"/>
      <w:bookmarkStart w:id="369" w:name="_Toc14694155"/>
      <w:bookmarkStart w:id="370" w:name="_Toc14695720"/>
      <w:bookmarkStart w:id="371" w:name="_Toc14700929"/>
      <w:bookmarkStart w:id="372" w:name="_Toc14702905"/>
      <w:bookmarkStart w:id="373" w:name="_Toc14709747"/>
      <w:bookmarkStart w:id="374" w:name="_Toc14768624"/>
      <w:bookmarkStart w:id="375" w:name="_Toc14771084"/>
      <w:bookmarkStart w:id="376" w:name="_Toc14771267"/>
      <w:bookmarkStart w:id="377" w:name="_Toc14771652"/>
      <w:bookmarkStart w:id="378" w:name="_Toc14771863"/>
      <w:bookmarkStart w:id="379" w:name="_Toc14774465"/>
      <w:bookmarkStart w:id="380" w:name="_Toc14775529"/>
      <w:bookmarkStart w:id="381" w:name="_Toc14775692"/>
      <w:bookmarkStart w:id="382" w:name="_Toc14776285"/>
      <w:bookmarkStart w:id="383" w:name="_Toc14777903"/>
      <w:bookmarkStart w:id="384" w:name="_Toc14778049"/>
      <w:bookmarkStart w:id="385" w:name="_Is_IoT_the"/>
      <w:bookmarkStart w:id="386" w:name="_Toc1798933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295E81FC" w14:textId="3175FF7C" w:rsidR="00A30899" w:rsidRPr="00AC41E0" w:rsidRDefault="000E5185" w:rsidP="00044355">
      <w:pPr>
        <w:pStyle w:val="Heading2"/>
        <w:tabs>
          <w:tab w:val="clear" w:pos="5188"/>
          <w:tab w:val="num" w:pos="794"/>
        </w:tabs>
        <w:ind w:left="851"/>
        <w:rPr>
          <w:rFonts w:ascii="Arial" w:hAnsi="Arial"/>
        </w:rPr>
      </w:pPr>
      <w:bookmarkStart w:id="387" w:name="_Is_IoT_an"/>
      <w:bookmarkStart w:id="388" w:name="_Toc65760479"/>
      <w:bookmarkEnd w:id="387"/>
      <w:r w:rsidRPr="00E46FB0">
        <w:rPr>
          <w:rFonts w:ascii="Arial" w:hAnsi="Arial"/>
        </w:rPr>
        <w:lastRenderedPageBreak/>
        <w:t>I</w:t>
      </w:r>
      <w:r w:rsidR="00853172" w:rsidRPr="00AC41E0">
        <w:rPr>
          <w:rFonts w:ascii="Arial" w:hAnsi="Arial"/>
        </w:rPr>
        <w:t xml:space="preserve">s IoT </w:t>
      </w:r>
      <w:r w:rsidR="00B626E0" w:rsidRPr="00AC41E0">
        <w:rPr>
          <w:rFonts w:ascii="Arial" w:hAnsi="Arial"/>
        </w:rPr>
        <w:t xml:space="preserve">an </w:t>
      </w:r>
      <w:r w:rsidR="00853172" w:rsidRPr="00AC41E0">
        <w:t>appropriate</w:t>
      </w:r>
      <w:r w:rsidR="00853172" w:rsidRPr="00AC41E0">
        <w:rPr>
          <w:rFonts w:ascii="Arial" w:hAnsi="Arial"/>
        </w:rPr>
        <w:t xml:space="preserve"> tool to use</w:t>
      </w:r>
      <w:r w:rsidRPr="00AC41E0">
        <w:rPr>
          <w:rFonts w:ascii="Arial" w:hAnsi="Arial"/>
        </w:rPr>
        <w:t>?</w:t>
      </w:r>
      <w:bookmarkEnd w:id="386"/>
      <w:bookmarkEnd w:id="388"/>
    </w:p>
    <w:p w14:paraId="24AD5FCA" w14:textId="77777777" w:rsidR="008B304D" w:rsidRPr="00AC41E0" w:rsidRDefault="001729B5" w:rsidP="00502A46">
      <w:pPr>
        <w:pStyle w:val="DCSbodytext"/>
        <w:rPr>
          <w:rFonts w:cs="Arial"/>
        </w:rPr>
      </w:pPr>
      <w:r w:rsidRPr="00AC41E0">
        <w:rPr>
          <w:rFonts w:cs="Arial"/>
        </w:rPr>
        <w:t xml:space="preserve">This </w:t>
      </w:r>
      <w:r w:rsidR="0028490A" w:rsidRPr="00AC41E0">
        <w:rPr>
          <w:rFonts w:cs="Arial"/>
        </w:rPr>
        <w:t xml:space="preserve">chapter </w:t>
      </w:r>
      <w:r w:rsidR="00D72A2E" w:rsidRPr="00AC41E0">
        <w:rPr>
          <w:rFonts w:cs="Arial"/>
        </w:rPr>
        <w:t xml:space="preserve">will help you determine whether </w:t>
      </w:r>
      <w:r w:rsidRPr="00AC41E0">
        <w:rPr>
          <w:rFonts w:cs="Arial"/>
        </w:rPr>
        <w:t xml:space="preserve">IoT is </w:t>
      </w:r>
      <w:r w:rsidR="0028490A" w:rsidRPr="00AC41E0">
        <w:rPr>
          <w:rFonts w:cs="Arial"/>
        </w:rPr>
        <w:t xml:space="preserve">an </w:t>
      </w:r>
      <w:r w:rsidRPr="00AC41E0">
        <w:rPr>
          <w:rFonts w:cs="Arial"/>
        </w:rPr>
        <w:t xml:space="preserve">appropriate tool to achieve your intended outcome. </w:t>
      </w:r>
    </w:p>
    <w:p w14:paraId="0DC6BF48" w14:textId="33149683" w:rsidR="00502A46" w:rsidRPr="00AC41E0" w:rsidRDefault="00502A46" w:rsidP="00502A46">
      <w:pPr>
        <w:pStyle w:val="DCSbodytext"/>
        <w:rPr>
          <w:rFonts w:cs="Arial"/>
        </w:rPr>
      </w:pPr>
      <w:r w:rsidRPr="00AC41E0">
        <w:rPr>
          <w:rFonts w:cs="Arial"/>
        </w:rPr>
        <w:t xml:space="preserve">It is best to consider the suitability of IoT early on in your project. It can be more challenging and costly to incorporate IoT as </w:t>
      </w:r>
      <w:r w:rsidR="00E37B9D" w:rsidRPr="00AC41E0">
        <w:rPr>
          <w:rFonts w:cs="Arial"/>
        </w:rPr>
        <w:t xml:space="preserve">your project progresses </w:t>
      </w:r>
      <w:r w:rsidRPr="00AC41E0">
        <w:rPr>
          <w:rFonts w:cs="Arial"/>
        </w:rPr>
        <w:t>rather than planning for it upfront.</w:t>
      </w:r>
    </w:p>
    <w:p w14:paraId="427B10A8" w14:textId="0E5E7B98" w:rsidR="001729B5" w:rsidRPr="00AC41E0" w:rsidRDefault="004D7421" w:rsidP="00374CED">
      <w:pPr>
        <w:pStyle w:val="DCSbodytext"/>
        <w:spacing w:after="360"/>
        <w:rPr>
          <w:rFonts w:cs="Arial"/>
        </w:rPr>
      </w:pPr>
      <w:r w:rsidRPr="00AC41E0">
        <w:rPr>
          <w:rFonts w:cs="Arial"/>
        </w:rPr>
        <w:t xml:space="preserve">The following table contains </w:t>
      </w:r>
      <w:r w:rsidR="00C04C3E" w:rsidRPr="00AC41E0">
        <w:rPr>
          <w:rFonts w:cs="Arial"/>
        </w:rPr>
        <w:t xml:space="preserve">key things to consider </w:t>
      </w:r>
      <w:r w:rsidR="001729B5" w:rsidRPr="00AC41E0">
        <w:rPr>
          <w:rFonts w:cs="Arial"/>
        </w:rPr>
        <w:t xml:space="preserve">before committing to the use of IoT. </w:t>
      </w:r>
    </w:p>
    <w:p w14:paraId="2978D76D" w14:textId="483DE592" w:rsidR="001729B5" w:rsidRPr="00AC41E0" w:rsidRDefault="00D728A7" w:rsidP="00F33137">
      <w:pPr>
        <w:pStyle w:val="DCSbodytext"/>
        <w:spacing w:after="120"/>
        <w:jc w:val="center"/>
        <w:rPr>
          <w:rFonts w:cs="Arial"/>
        </w:rPr>
      </w:pPr>
      <w:r w:rsidRPr="00AC41E0">
        <w:rPr>
          <w:rFonts w:cs="Arial"/>
          <w:b/>
        </w:rPr>
        <w:t xml:space="preserve">Considerations </w:t>
      </w:r>
      <w:r w:rsidR="00633BE9" w:rsidRPr="00AC41E0">
        <w:rPr>
          <w:rFonts w:cs="Arial"/>
          <w:b/>
        </w:rPr>
        <w:t>when</w:t>
      </w:r>
      <w:r w:rsidRPr="00AC41E0">
        <w:rPr>
          <w:rFonts w:cs="Arial"/>
          <w:b/>
        </w:rPr>
        <w:t xml:space="preserve"> determin</w:t>
      </w:r>
      <w:r w:rsidR="00633BE9" w:rsidRPr="00AC41E0">
        <w:rPr>
          <w:rFonts w:cs="Arial"/>
          <w:b/>
        </w:rPr>
        <w:t>ing</w:t>
      </w:r>
      <w:r w:rsidRPr="00AC41E0">
        <w:rPr>
          <w:rFonts w:cs="Arial"/>
          <w:b/>
        </w:rPr>
        <w:t xml:space="preserve"> if IoT is </w:t>
      </w:r>
      <w:r w:rsidR="00483A46" w:rsidRPr="00AC41E0">
        <w:rPr>
          <w:rFonts w:cs="Arial"/>
          <w:b/>
        </w:rPr>
        <w:t>an</w:t>
      </w:r>
      <w:r w:rsidRPr="00AC41E0">
        <w:rPr>
          <w:rFonts w:cs="Arial"/>
          <w:b/>
        </w:rPr>
        <w:t xml:space="preserve"> appropriate tool for your project</w:t>
      </w:r>
    </w:p>
    <w:tbl>
      <w:tblPr>
        <w:tblStyle w:val="GridTable4-Accent1"/>
        <w:tblW w:w="14175" w:type="dxa"/>
        <w:tblInd w:w="137" w:type="dxa"/>
        <w:tblLook w:val="04A0" w:firstRow="1" w:lastRow="0" w:firstColumn="1" w:lastColumn="0" w:noHBand="0" w:noVBand="1"/>
      </w:tblPr>
      <w:tblGrid>
        <w:gridCol w:w="4466"/>
        <w:gridCol w:w="5074"/>
        <w:gridCol w:w="4635"/>
      </w:tblGrid>
      <w:tr w:rsidR="009974AB" w:rsidRPr="00AC41E0" w14:paraId="189A11BC" w14:textId="77777777" w:rsidTr="000443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0"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5E6F8381" w14:textId="1591213F" w:rsidR="00D36746" w:rsidRPr="00AC41E0" w:rsidRDefault="00D36746" w:rsidP="00F33137">
            <w:pPr>
              <w:pStyle w:val="DCSbodytext"/>
              <w:spacing w:after="120"/>
              <w:ind w:left="0"/>
              <w:jc w:val="center"/>
              <w:rPr>
                <w:rFonts w:cs="Arial"/>
                <w:szCs w:val="22"/>
              </w:rPr>
            </w:pPr>
            <w:r w:rsidRPr="00AC41E0">
              <w:rPr>
                <w:rFonts w:cs="Arial"/>
                <w:szCs w:val="22"/>
              </w:rPr>
              <w:t>Consideration</w:t>
            </w:r>
          </w:p>
        </w:tc>
        <w:tc>
          <w:tcPr>
            <w:tcW w:w="1932"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7714CC4B" w14:textId="071E306A" w:rsidR="00D36746" w:rsidRPr="00AC41E0" w:rsidRDefault="00D36746" w:rsidP="00F33137">
            <w:pPr>
              <w:pStyle w:val="DCSbodytext"/>
              <w:spacing w:after="120"/>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AC41E0">
              <w:rPr>
                <w:rFonts w:cs="Arial"/>
                <w:szCs w:val="22"/>
              </w:rPr>
              <w:t>Questions to ask</w:t>
            </w:r>
          </w:p>
        </w:tc>
        <w:tc>
          <w:tcPr>
            <w:tcW w:w="0"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73EE50AE" w14:textId="1F6FEF2A" w:rsidR="00D36746" w:rsidRPr="00AC41E0" w:rsidRDefault="009974AB" w:rsidP="00F33137">
            <w:pPr>
              <w:pStyle w:val="DCSbodytext"/>
              <w:spacing w:after="120"/>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AC41E0">
              <w:rPr>
                <w:rFonts w:cs="Arial"/>
                <w:szCs w:val="22"/>
              </w:rPr>
              <w:t>Follow on questions and explanation</w:t>
            </w:r>
          </w:p>
        </w:tc>
      </w:tr>
      <w:tr w:rsidR="002068CE" w:rsidRPr="00AC41E0" w14:paraId="33B0A35C" w14:textId="77777777" w:rsidTr="4E49D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vMerge w:val="restart"/>
            <w:tcBorders>
              <w:top w:val="single" w:sz="4" w:space="0" w:color="auto"/>
            </w:tcBorders>
          </w:tcPr>
          <w:p w14:paraId="37EDAAEA" w14:textId="77777777" w:rsidR="0029742C" w:rsidRPr="00AC41E0" w:rsidRDefault="0029742C" w:rsidP="001729B5">
            <w:pPr>
              <w:pStyle w:val="DCSbodytext"/>
              <w:ind w:left="0"/>
              <w:rPr>
                <w:rFonts w:cs="Arial"/>
                <w:bCs w:val="0"/>
                <w:szCs w:val="22"/>
              </w:rPr>
            </w:pPr>
            <w:r w:rsidRPr="00AC41E0">
              <w:rPr>
                <w:rFonts w:cs="Arial"/>
                <w:szCs w:val="22"/>
              </w:rPr>
              <w:t>Project intent</w:t>
            </w:r>
          </w:p>
          <w:p w14:paraId="69A709C6" w14:textId="2FE8F56F" w:rsidR="0029742C" w:rsidRPr="00AC41E0" w:rsidRDefault="0029742C" w:rsidP="001729B5">
            <w:pPr>
              <w:pStyle w:val="DCSbodytext"/>
              <w:ind w:left="0"/>
              <w:rPr>
                <w:rFonts w:cs="Arial"/>
                <w:szCs w:val="22"/>
              </w:rPr>
            </w:pPr>
          </w:p>
        </w:tc>
        <w:tc>
          <w:tcPr>
            <w:tcW w:w="1932" w:type="dxa"/>
            <w:tcBorders>
              <w:top w:val="single" w:sz="4" w:space="0" w:color="auto"/>
            </w:tcBorders>
          </w:tcPr>
          <w:p w14:paraId="6446169D" w14:textId="77777777" w:rsidR="0029742C" w:rsidRPr="00AC41E0" w:rsidRDefault="0029742C" w:rsidP="00AA4A2A">
            <w:pPr>
              <w:pStyle w:val="DCSbodytext"/>
              <w:ind w:left="0"/>
              <w:cnfStyle w:val="000000100000" w:firstRow="0" w:lastRow="0" w:firstColumn="0" w:lastColumn="0" w:oddVBand="0" w:evenVBand="0" w:oddHBand="1" w:evenHBand="0" w:firstRowFirstColumn="0" w:firstRowLastColumn="0" w:lastRowFirstColumn="0" w:lastRowLastColumn="0"/>
              <w:rPr>
                <w:rStyle w:val="Strong"/>
                <w:rFonts w:cs="Arial"/>
                <w:b w:val="0"/>
                <w:szCs w:val="22"/>
              </w:rPr>
            </w:pPr>
            <w:r w:rsidRPr="00AC41E0">
              <w:rPr>
                <w:rStyle w:val="Strong"/>
                <w:rFonts w:cs="Arial"/>
                <w:b w:val="0"/>
                <w:szCs w:val="22"/>
              </w:rPr>
              <w:t>Does IoT allow you to meet your intended goal, solve your problem and/or produce a benefit?</w:t>
            </w:r>
          </w:p>
          <w:p w14:paraId="482EDEC6" w14:textId="77777777" w:rsidR="0029742C" w:rsidRPr="00AC41E0" w:rsidRDefault="0029742C" w:rsidP="001729B5">
            <w:pPr>
              <w:pStyle w:val="DCSbodytext"/>
              <w:ind w:left="0"/>
              <w:cnfStyle w:val="000000100000" w:firstRow="0" w:lastRow="0" w:firstColumn="0" w:lastColumn="0" w:oddVBand="0" w:evenVBand="0" w:oddHBand="1" w:evenHBand="0" w:firstRowFirstColumn="0" w:firstRowLastColumn="0" w:lastRowFirstColumn="0" w:lastRowLastColumn="0"/>
              <w:rPr>
                <w:rFonts w:cs="Arial"/>
                <w:szCs w:val="22"/>
              </w:rPr>
            </w:pPr>
          </w:p>
        </w:tc>
        <w:tc>
          <w:tcPr>
            <w:tcW w:w="0" w:type="dxa"/>
            <w:tcBorders>
              <w:top w:val="single" w:sz="4" w:space="0" w:color="auto"/>
            </w:tcBorders>
          </w:tcPr>
          <w:p w14:paraId="709A9BC1" w14:textId="3FD3241A" w:rsidR="0029742C" w:rsidRPr="00AC41E0" w:rsidRDefault="0029742C" w:rsidP="009974AB">
            <w:pPr>
              <w:pStyle w:val="DCSbodytext"/>
              <w:ind w:left="0"/>
              <w:cnfStyle w:val="000000100000" w:firstRow="0" w:lastRow="0" w:firstColumn="0" w:lastColumn="0" w:oddVBand="0" w:evenVBand="0" w:oddHBand="1" w:evenHBand="0" w:firstRowFirstColumn="0" w:firstRowLastColumn="0" w:lastRowFirstColumn="0" w:lastRowLastColumn="0"/>
              <w:rPr>
                <w:rFonts w:eastAsia="Calibri" w:cs="Arial"/>
                <w:szCs w:val="22"/>
              </w:rPr>
            </w:pPr>
            <w:r w:rsidRPr="00AC41E0">
              <w:rPr>
                <w:rFonts w:eastAsia="Calibri" w:cs="Arial"/>
                <w:szCs w:val="22"/>
              </w:rPr>
              <w:t>An IoT solution collects and communicate</w:t>
            </w:r>
            <w:r w:rsidR="00C80A79" w:rsidRPr="00AC41E0">
              <w:rPr>
                <w:rFonts w:eastAsia="Calibri" w:cs="Arial"/>
                <w:szCs w:val="22"/>
              </w:rPr>
              <w:t>s</w:t>
            </w:r>
            <w:r w:rsidRPr="00AC41E0">
              <w:rPr>
                <w:rFonts w:eastAsia="Calibri" w:cs="Arial"/>
                <w:szCs w:val="22"/>
              </w:rPr>
              <w:t xml:space="preserve"> data and information and can be used to inform decisions and actions. Consider the outcome you want to achieve, the nature of the problem you seek to solve or the system or service you seek to improve. </w:t>
            </w:r>
          </w:p>
          <w:p w14:paraId="76563DB6" w14:textId="205FC33C" w:rsidR="0029742C" w:rsidRPr="00AC41E0" w:rsidRDefault="0029742C" w:rsidP="009974AB">
            <w:pPr>
              <w:pStyle w:val="DCSbodytext"/>
              <w:ind w:left="0"/>
              <w:cnfStyle w:val="000000100000" w:firstRow="0" w:lastRow="0" w:firstColumn="0" w:lastColumn="0" w:oddVBand="0" w:evenVBand="0" w:oddHBand="1" w:evenHBand="0" w:firstRowFirstColumn="0" w:firstRowLastColumn="0" w:lastRowFirstColumn="0" w:lastRowLastColumn="0"/>
              <w:rPr>
                <w:rFonts w:eastAsia="Calibri" w:cs="Arial"/>
                <w:szCs w:val="22"/>
              </w:rPr>
            </w:pPr>
            <w:r w:rsidRPr="00AC41E0">
              <w:rPr>
                <w:rFonts w:eastAsia="Calibri" w:cs="Arial"/>
                <w:szCs w:val="22"/>
              </w:rPr>
              <w:t>Can IoT help solve the problem you are trying to address? It is easy to get lost in the multitude of applications that IoT presents and be overwhelmed by the IoT hype. In some instances, project managers are asked to design and implement an IoT-enabled project without proper consideration of what role IoT can play in solving the problem. IoT is not suitable for all projects</w:t>
            </w:r>
            <w:r w:rsidR="00A578CA" w:rsidRPr="00AC41E0">
              <w:rPr>
                <w:rFonts w:eastAsia="Calibri" w:cs="Arial"/>
                <w:szCs w:val="22"/>
              </w:rPr>
              <w:t xml:space="preserve">; </w:t>
            </w:r>
            <w:r w:rsidRPr="00AC41E0">
              <w:rPr>
                <w:rFonts w:eastAsia="Calibri" w:cs="Arial"/>
                <w:szCs w:val="22"/>
              </w:rPr>
              <w:t xml:space="preserve">it is important to clarify your problem statement and determine if an IoT solution will help you solve it.  </w:t>
            </w:r>
          </w:p>
          <w:p w14:paraId="492536B5" w14:textId="5BEBCAE7" w:rsidR="0029742C" w:rsidRPr="00AC41E0" w:rsidRDefault="0029742C" w:rsidP="009974AB">
            <w:pPr>
              <w:pStyle w:val="DCSbodytext"/>
              <w:ind w:left="0"/>
              <w:cnfStyle w:val="000000100000" w:firstRow="0" w:lastRow="0" w:firstColumn="0" w:lastColumn="0" w:oddVBand="0" w:evenVBand="0" w:oddHBand="1" w:evenHBand="0" w:firstRowFirstColumn="0" w:firstRowLastColumn="0" w:lastRowFirstColumn="0" w:lastRowLastColumn="0"/>
              <w:rPr>
                <w:rFonts w:cs="Arial"/>
                <w:szCs w:val="22"/>
              </w:rPr>
            </w:pPr>
            <w:r w:rsidRPr="00AC41E0">
              <w:rPr>
                <w:rFonts w:eastAsia="Calibri" w:cs="Arial"/>
                <w:szCs w:val="22"/>
              </w:rPr>
              <w:lastRenderedPageBreak/>
              <w:t xml:space="preserve">Start to think about data </w:t>
            </w:r>
            <w:r w:rsidR="00C80A79" w:rsidRPr="00AC41E0">
              <w:rPr>
                <w:rFonts w:eastAsia="Calibri" w:cs="Arial"/>
                <w:szCs w:val="22"/>
              </w:rPr>
              <w:t xml:space="preserve">– </w:t>
            </w:r>
            <w:r w:rsidRPr="00AC41E0">
              <w:rPr>
                <w:rFonts w:eastAsia="Calibri" w:cs="Arial"/>
                <w:szCs w:val="22"/>
              </w:rPr>
              <w:t>is data or information necessary to help achieve the desired change? If yes, what data will be needed? How will the data be used/analysed? What is the most effective way of collecting the data?</w:t>
            </w:r>
          </w:p>
        </w:tc>
      </w:tr>
      <w:tr w:rsidR="002308DF" w:rsidRPr="00AC41E0" w14:paraId="70224ECC" w14:textId="77777777" w:rsidTr="4E49D50C">
        <w:tc>
          <w:tcPr>
            <w:cnfStyle w:val="001000000000" w:firstRow="0" w:lastRow="0" w:firstColumn="1" w:lastColumn="0" w:oddVBand="0" w:evenVBand="0" w:oddHBand="0" w:evenHBand="0" w:firstRowFirstColumn="0" w:firstRowLastColumn="0" w:lastRowFirstColumn="0" w:lastRowLastColumn="0"/>
            <w:tcW w:w="1740" w:type="dxa"/>
            <w:vMerge/>
          </w:tcPr>
          <w:p w14:paraId="1A77BF97" w14:textId="25A2D600" w:rsidR="0029742C" w:rsidRPr="00AC41E0" w:rsidRDefault="0029742C" w:rsidP="001729B5">
            <w:pPr>
              <w:pStyle w:val="DCSbodytext"/>
              <w:ind w:left="0"/>
              <w:rPr>
                <w:rFonts w:cs="Arial"/>
                <w:szCs w:val="22"/>
              </w:rPr>
            </w:pPr>
          </w:p>
        </w:tc>
        <w:tc>
          <w:tcPr>
            <w:tcW w:w="1932" w:type="dxa"/>
            <w:shd w:val="clear" w:color="auto" w:fill="DBE5F1" w:themeFill="accent1" w:themeFillTint="33"/>
          </w:tcPr>
          <w:p w14:paraId="7EFDBC0C" w14:textId="1EAB8DA7" w:rsidR="0029742C" w:rsidRPr="00AC41E0" w:rsidRDefault="0029742C" w:rsidP="001729B5">
            <w:pPr>
              <w:pStyle w:val="DCSbodytext"/>
              <w:ind w:left="0"/>
              <w:cnfStyle w:val="000000000000" w:firstRow="0" w:lastRow="0" w:firstColumn="0" w:lastColumn="0" w:oddVBand="0" w:evenVBand="0" w:oddHBand="0" w:evenHBand="0" w:firstRowFirstColumn="0" w:firstRowLastColumn="0" w:lastRowFirstColumn="0" w:lastRowLastColumn="0"/>
              <w:rPr>
                <w:rFonts w:cs="Arial"/>
                <w:bCs/>
                <w:szCs w:val="22"/>
              </w:rPr>
            </w:pPr>
            <w:r w:rsidRPr="00AC41E0">
              <w:rPr>
                <w:rStyle w:val="Strong"/>
                <w:rFonts w:cs="Arial"/>
                <w:b w:val="0"/>
                <w:szCs w:val="22"/>
              </w:rPr>
              <w:t xml:space="preserve">Are there other solutions that will achieve the same outcome? </w:t>
            </w:r>
          </w:p>
        </w:tc>
        <w:tc>
          <w:tcPr>
            <w:tcW w:w="0" w:type="dxa"/>
            <w:shd w:val="clear" w:color="auto" w:fill="DBE5F1" w:themeFill="accent1" w:themeFillTint="33"/>
          </w:tcPr>
          <w:p w14:paraId="67242167" w14:textId="01B9A696" w:rsidR="0029742C" w:rsidRPr="00AC41E0" w:rsidRDefault="0029742C" w:rsidP="009974AB">
            <w:pPr>
              <w:pStyle w:val="DCSbodytext"/>
              <w:ind w:left="0"/>
              <w:cnfStyle w:val="000000000000" w:firstRow="0" w:lastRow="0" w:firstColumn="0" w:lastColumn="0" w:oddVBand="0" w:evenVBand="0" w:oddHBand="0" w:evenHBand="0" w:firstRowFirstColumn="0" w:firstRowLastColumn="0" w:lastRowFirstColumn="0" w:lastRowLastColumn="0"/>
              <w:rPr>
                <w:rFonts w:cs="Arial"/>
                <w:szCs w:val="22"/>
              </w:rPr>
            </w:pPr>
            <w:r w:rsidRPr="00AC41E0">
              <w:rPr>
                <w:rFonts w:eastAsia="Calibri" w:cs="Arial"/>
                <w:szCs w:val="22"/>
              </w:rPr>
              <w:t xml:space="preserve">What alternative solutions exist that could achieve the outcome you are looking for? If there is an alternative, is IoT the better </w:t>
            </w:r>
            <w:r w:rsidR="00871641" w:rsidRPr="00AC41E0">
              <w:rPr>
                <w:rFonts w:eastAsia="Calibri" w:cs="Arial"/>
                <w:szCs w:val="22"/>
              </w:rPr>
              <w:t>option</w:t>
            </w:r>
            <w:r w:rsidRPr="00AC41E0">
              <w:rPr>
                <w:rFonts w:eastAsia="Calibri" w:cs="Arial"/>
                <w:szCs w:val="22"/>
              </w:rPr>
              <w:t xml:space="preserve">? Does it deliver better value for money and/or superior benefits? </w:t>
            </w:r>
          </w:p>
        </w:tc>
      </w:tr>
      <w:tr w:rsidR="002308DF" w:rsidRPr="00AC41E0" w14:paraId="03770099" w14:textId="77777777" w:rsidTr="4E49D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vMerge/>
          </w:tcPr>
          <w:p w14:paraId="6F35D4E7" w14:textId="2582E244" w:rsidR="0029742C" w:rsidRPr="00AC41E0" w:rsidRDefault="0029742C" w:rsidP="001729B5">
            <w:pPr>
              <w:pStyle w:val="DCSbodytext"/>
              <w:ind w:left="0"/>
              <w:rPr>
                <w:rFonts w:cs="Arial"/>
                <w:szCs w:val="22"/>
              </w:rPr>
            </w:pPr>
          </w:p>
        </w:tc>
        <w:tc>
          <w:tcPr>
            <w:tcW w:w="1932" w:type="dxa"/>
          </w:tcPr>
          <w:p w14:paraId="7F35983A" w14:textId="624A30FC" w:rsidR="0029742C" w:rsidRPr="00AC41E0" w:rsidRDefault="0029742C" w:rsidP="001729B5">
            <w:pPr>
              <w:pStyle w:val="DCSbodytext"/>
              <w:ind w:left="0"/>
              <w:cnfStyle w:val="000000100000" w:firstRow="0" w:lastRow="0" w:firstColumn="0" w:lastColumn="0" w:oddVBand="0" w:evenVBand="0" w:oddHBand="1" w:evenHBand="0" w:firstRowFirstColumn="0" w:firstRowLastColumn="0" w:lastRowFirstColumn="0" w:lastRowLastColumn="0"/>
              <w:rPr>
                <w:rFonts w:eastAsia="Calibri" w:cs="Arial"/>
                <w:szCs w:val="22"/>
              </w:rPr>
            </w:pPr>
            <w:r w:rsidRPr="00AC41E0">
              <w:rPr>
                <w:rStyle w:val="Strong"/>
                <w:rFonts w:cs="Arial"/>
                <w:b w:val="0"/>
                <w:szCs w:val="22"/>
              </w:rPr>
              <w:t xml:space="preserve">Can IoT enable you to use other forms of technological solutions to improve </w:t>
            </w:r>
            <w:r w:rsidRPr="00AC41E0">
              <w:rPr>
                <w:rFonts w:eastAsia="Calibri" w:cs="Arial"/>
                <w:szCs w:val="22"/>
              </w:rPr>
              <w:t xml:space="preserve">services? </w:t>
            </w:r>
          </w:p>
        </w:tc>
        <w:tc>
          <w:tcPr>
            <w:tcW w:w="0" w:type="dxa"/>
          </w:tcPr>
          <w:p w14:paraId="5E368EA2" w14:textId="5655CF51" w:rsidR="0029742C" w:rsidRPr="00AC41E0" w:rsidRDefault="0029742C" w:rsidP="009974AB">
            <w:pPr>
              <w:pStyle w:val="DCSbodytext"/>
              <w:ind w:left="0"/>
              <w:cnfStyle w:val="000000100000" w:firstRow="0" w:lastRow="0" w:firstColumn="0" w:lastColumn="0" w:oddVBand="0" w:evenVBand="0" w:oddHBand="1" w:evenHBand="0" w:firstRowFirstColumn="0" w:firstRowLastColumn="0" w:lastRowFirstColumn="0" w:lastRowLastColumn="0"/>
              <w:rPr>
                <w:rFonts w:eastAsia="Calibri" w:cs="Arial"/>
                <w:szCs w:val="22"/>
              </w:rPr>
            </w:pPr>
            <w:r w:rsidRPr="00AC41E0">
              <w:rPr>
                <w:rFonts w:eastAsia="Calibri" w:cs="Arial"/>
                <w:szCs w:val="22"/>
              </w:rPr>
              <w:t xml:space="preserve">IoT </w:t>
            </w:r>
            <w:r w:rsidR="00DA3762" w:rsidRPr="00AC41E0">
              <w:rPr>
                <w:rFonts w:eastAsia="Calibri" w:cs="Arial"/>
                <w:szCs w:val="22"/>
              </w:rPr>
              <w:t xml:space="preserve">itself </w:t>
            </w:r>
            <w:r w:rsidRPr="00AC41E0">
              <w:rPr>
                <w:rFonts w:eastAsia="Calibri" w:cs="Arial"/>
                <w:szCs w:val="22"/>
              </w:rPr>
              <w:t>can be a solution but it is also an enabler for other technologies</w:t>
            </w:r>
            <w:r w:rsidR="00015EA4" w:rsidRPr="00AC41E0">
              <w:rPr>
                <w:rFonts w:eastAsia="Calibri" w:cs="Arial"/>
                <w:szCs w:val="22"/>
              </w:rPr>
              <w:t xml:space="preserve"> (i.e.</w:t>
            </w:r>
            <w:r w:rsidRPr="00AC41E0">
              <w:rPr>
                <w:rFonts w:eastAsia="Calibri" w:cs="Arial"/>
                <w:szCs w:val="22"/>
              </w:rPr>
              <w:t xml:space="preserve"> digital twins, artificial intelligence (AI), machine learning or augmented reality</w:t>
            </w:r>
            <w:r w:rsidR="00015EA4" w:rsidRPr="00AC41E0">
              <w:rPr>
                <w:rFonts w:eastAsia="Calibri" w:cs="Arial"/>
                <w:szCs w:val="22"/>
              </w:rPr>
              <w:t>)</w:t>
            </w:r>
            <w:r w:rsidRPr="00AC41E0">
              <w:rPr>
                <w:rFonts w:eastAsia="Calibri" w:cs="Arial"/>
                <w:szCs w:val="22"/>
              </w:rPr>
              <w:t xml:space="preserve">. Data collected by your IoT solution may also facilitate your agency’s use of other data-intensive technologies. </w:t>
            </w:r>
          </w:p>
          <w:p w14:paraId="461DE214" w14:textId="43AC0331" w:rsidR="0029742C" w:rsidRPr="00AC41E0" w:rsidRDefault="0029742C" w:rsidP="009974AB">
            <w:pPr>
              <w:pStyle w:val="DCSbodytext"/>
              <w:ind w:left="0"/>
              <w:cnfStyle w:val="000000100000" w:firstRow="0" w:lastRow="0" w:firstColumn="0" w:lastColumn="0" w:oddVBand="0" w:evenVBand="0" w:oddHBand="1" w:evenHBand="0" w:firstRowFirstColumn="0" w:firstRowLastColumn="0" w:lastRowFirstColumn="0" w:lastRowLastColumn="0"/>
              <w:rPr>
                <w:rFonts w:cs="Arial"/>
                <w:szCs w:val="22"/>
              </w:rPr>
            </w:pPr>
            <w:r w:rsidRPr="00AC41E0">
              <w:rPr>
                <w:rFonts w:eastAsia="Calibri" w:cs="Arial"/>
                <w:szCs w:val="22"/>
              </w:rPr>
              <w:t>Data collected from other projects or external sources may also provide valuable sources of information. You may not need to collect new data for everything needed on the project.</w:t>
            </w:r>
          </w:p>
        </w:tc>
      </w:tr>
      <w:tr w:rsidR="002068CE" w:rsidRPr="00AC41E0" w14:paraId="72381328" w14:textId="77777777" w:rsidTr="4E49D50C">
        <w:tc>
          <w:tcPr>
            <w:cnfStyle w:val="001000000000" w:firstRow="0" w:lastRow="0" w:firstColumn="1" w:lastColumn="0" w:oddVBand="0" w:evenVBand="0" w:oddHBand="0" w:evenHBand="0" w:firstRowFirstColumn="0" w:firstRowLastColumn="0" w:lastRowFirstColumn="0" w:lastRowLastColumn="0"/>
            <w:tcW w:w="1740" w:type="dxa"/>
            <w:vMerge w:val="restart"/>
            <w:shd w:val="clear" w:color="auto" w:fill="FFFFFF" w:themeFill="background1"/>
          </w:tcPr>
          <w:p w14:paraId="7E40ACAA" w14:textId="77777777" w:rsidR="0029742C" w:rsidRPr="00AC41E0" w:rsidRDefault="0029742C" w:rsidP="001729B5">
            <w:pPr>
              <w:pStyle w:val="DCSbodytext"/>
              <w:ind w:left="0"/>
              <w:rPr>
                <w:rFonts w:cs="Arial"/>
                <w:bCs w:val="0"/>
                <w:szCs w:val="22"/>
              </w:rPr>
            </w:pPr>
            <w:r w:rsidRPr="00AC41E0">
              <w:rPr>
                <w:rFonts w:cs="Arial"/>
                <w:szCs w:val="22"/>
              </w:rPr>
              <w:t>Time</w:t>
            </w:r>
          </w:p>
          <w:p w14:paraId="075E8D35" w14:textId="302F5773" w:rsidR="0029742C" w:rsidRPr="00AC41E0" w:rsidRDefault="0029742C" w:rsidP="001729B5">
            <w:pPr>
              <w:pStyle w:val="DCSbodytext"/>
              <w:ind w:left="0"/>
              <w:rPr>
                <w:rFonts w:cs="Arial"/>
                <w:szCs w:val="22"/>
              </w:rPr>
            </w:pPr>
          </w:p>
        </w:tc>
        <w:tc>
          <w:tcPr>
            <w:tcW w:w="1932" w:type="dxa"/>
            <w:shd w:val="clear" w:color="auto" w:fill="FFFFFF" w:themeFill="background1"/>
          </w:tcPr>
          <w:p w14:paraId="515BD064" w14:textId="438A52C5" w:rsidR="0029742C" w:rsidRPr="00AC41E0" w:rsidRDefault="0029742C" w:rsidP="001729B5">
            <w:pPr>
              <w:pStyle w:val="DCSbodytext"/>
              <w:ind w:left="0"/>
              <w:cnfStyle w:val="000000000000" w:firstRow="0" w:lastRow="0" w:firstColumn="0" w:lastColumn="0" w:oddVBand="0" w:evenVBand="0" w:oddHBand="0" w:evenHBand="0" w:firstRowFirstColumn="0" w:firstRowLastColumn="0" w:lastRowFirstColumn="0" w:lastRowLastColumn="0"/>
              <w:rPr>
                <w:rFonts w:cs="Arial"/>
                <w:bCs/>
                <w:szCs w:val="22"/>
              </w:rPr>
            </w:pPr>
            <w:r w:rsidRPr="00AC41E0">
              <w:rPr>
                <w:rStyle w:val="Strong"/>
                <w:rFonts w:cs="Arial"/>
                <w:b w:val="0"/>
                <w:szCs w:val="22"/>
              </w:rPr>
              <w:t xml:space="preserve">Do you need to collect data as a ‘one-off’ or periodically, frequently or even continuously for a length of time? </w:t>
            </w:r>
          </w:p>
        </w:tc>
        <w:tc>
          <w:tcPr>
            <w:tcW w:w="0" w:type="dxa"/>
            <w:shd w:val="clear" w:color="auto" w:fill="FFFFFF" w:themeFill="background1"/>
          </w:tcPr>
          <w:p w14:paraId="5ED19C40" w14:textId="73E76B8B" w:rsidR="009B1F95" w:rsidRPr="00AC41E0" w:rsidRDefault="0029742C" w:rsidP="009974AB">
            <w:pPr>
              <w:pStyle w:val="DCSbodytext"/>
              <w:ind w:left="0"/>
              <w:cnfStyle w:val="000000000000" w:firstRow="0" w:lastRow="0" w:firstColumn="0" w:lastColumn="0" w:oddVBand="0" w:evenVBand="0" w:oddHBand="0" w:evenHBand="0" w:firstRowFirstColumn="0" w:firstRowLastColumn="0" w:lastRowFirstColumn="0" w:lastRowLastColumn="0"/>
              <w:rPr>
                <w:rFonts w:eastAsia="Calibri" w:cs="Arial"/>
                <w:szCs w:val="22"/>
              </w:rPr>
            </w:pPr>
            <w:r w:rsidRPr="00AC41E0">
              <w:rPr>
                <w:rFonts w:eastAsia="Calibri" w:cs="Arial"/>
                <w:szCs w:val="22"/>
              </w:rPr>
              <w:t xml:space="preserve">One of the biggest benefits of IoT solutions is the ability to collect information on a frequent basis so that the cost per collection is lower. If you only require data to be collected </w:t>
            </w:r>
            <w:r w:rsidRPr="00AC41E0">
              <w:rPr>
                <w:rFonts w:eastAsia="Calibri" w:cs="Arial"/>
                <w:szCs w:val="22"/>
              </w:rPr>
              <w:lastRenderedPageBreak/>
              <w:t xml:space="preserve">infrequently, consider if there is a positive cost-benefit to deploying an IoT solution </w:t>
            </w:r>
            <w:r w:rsidR="00665878" w:rsidRPr="00AC41E0">
              <w:rPr>
                <w:rFonts w:eastAsia="Calibri" w:cs="Arial"/>
                <w:szCs w:val="22"/>
              </w:rPr>
              <w:t xml:space="preserve">compared to </w:t>
            </w:r>
            <w:r w:rsidRPr="00AC41E0">
              <w:rPr>
                <w:rFonts w:eastAsia="Calibri" w:cs="Arial"/>
                <w:szCs w:val="22"/>
              </w:rPr>
              <w:t>collect</w:t>
            </w:r>
            <w:r w:rsidR="00665878" w:rsidRPr="00AC41E0">
              <w:rPr>
                <w:rFonts w:eastAsia="Calibri" w:cs="Arial"/>
                <w:szCs w:val="22"/>
              </w:rPr>
              <w:t>ing data</w:t>
            </w:r>
            <w:r w:rsidRPr="00AC41E0">
              <w:rPr>
                <w:rFonts w:eastAsia="Calibri" w:cs="Arial"/>
                <w:szCs w:val="22"/>
              </w:rPr>
              <w:t xml:space="preserve"> manually or </w:t>
            </w:r>
            <w:r w:rsidR="00665878" w:rsidRPr="00AC41E0">
              <w:rPr>
                <w:rFonts w:eastAsia="Calibri" w:cs="Arial"/>
                <w:szCs w:val="22"/>
              </w:rPr>
              <w:t xml:space="preserve">using </w:t>
            </w:r>
            <w:r w:rsidRPr="00AC41E0">
              <w:rPr>
                <w:rFonts w:eastAsia="Calibri" w:cs="Arial"/>
                <w:szCs w:val="22"/>
              </w:rPr>
              <w:t xml:space="preserve">another method. </w:t>
            </w:r>
          </w:p>
          <w:p w14:paraId="4A5677A0" w14:textId="4403FC21" w:rsidR="0029742C" w:rsidRPr="00AC41E0" w:rsidRDefault="0029742C" w:rsidP="009974AB">
            <w:pPr>
              <w:pStyle w:val="DCSbodytext"/>
              <w:ind w:left="0"/>
              <w:cnfStyle w:val="000000000000" w:firstRow="0" w:lastRow="0" w:firstColumn="0" w:lastColumn="0" w:oddVBand="0" w:evenVBand="0" w:oddHBand="0" w:evenHBand="0" w:firstRowFirstColumn="0" w:firstRowLastColumn="0" w:lastRowFirstColumn="0" w:lastRowLastColumn="0"/>
              <w:rPr>
                <w:rFonts w:cs="Arial"/>
                <w:szCs w:val="22"/>
              </w:rPr>
            </w:pPr>
            <w:r w:rsidRPr="00AC41E0">
              <w:rPr>
                <w:rFonts w:eastAsia="Calibri" w:cs="Arial"/>
                <w:szCs w:val="22"/>
              </w:rPr>
              <w:t>In some cases, real</w:t>
            </w:r>
            <w:r w:rsidR="009B1F95" w:rsidRPr="00AC41E0">
              <w:rPr>
                <w:rFonts w:eastAsia="Calibri" w:cs="Arial"/>
                <w:szCs w:val="22"/>
              </w:rPr>
              <w:t>-</w:t>
            </w:r>
            <w:r w:rsidRPr="00AC41E0">
              <w:rPr>
                <w:rFonts w:eastAsia="Calibri" w:cs="Arial"/>
                <w:szCs w:val="22"/>
              </w:rPr>
              <w:t>time or near real</w:t>
            </w:r>
            <w:r w:rsidR="009B1F95" w:rsidRPr="00AC41E0">
              <w:rPr>
                <w:rFonts w:eastAsia="Calibri" w:cs="Arial"/>
                <w:szCs w:val="22"/>
              </w:rPr>
              <w:t>-</w:t>
            </w:r>
            <w:r w:rsidRPr="00AC41E0">
              <w:rPr>
                <w:rFonts w:eastAsia="Calibri" w:cs="Arial"/>
                <w:szCs w:val="22"/>
              </w:rPr>
              <w:t xml:space="preserve">time data can add new operational insights previously </w:t>
            </w:r>
            <w:r w:rsidR="009B1F95" w:rsidRPr="00AC41E0">
              <w:rPr>
                <w:rFonts w:eastAsia="Calibri" w:cs="Arial"/>
                <w:szCs w:val="22"/>
              </w:rPr>
              <w:t>im</w:t>
            </w:r>
            <w:r w:rsidRPr="00AC41E0">
              <w:rPr>
                <w:rFonts w:eastAsia="Calibri" w:cs="Arial"/>
                <w:szCs w:val="22"/>
              </w:rPr>
              <w:t>possible prior to the emergence of IoT technologies.</w:t>
            </w:r>
          </w:p>
        </w:tc>
      </w:tr>
      <w:tr w:rsidR="002068CE" w:rsidRPr="00AC41E0" w14:paraId="403CB7AB" w14:textId="77777777" w:rsidTr="4E49D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vMerge/>
          </w:tcPr>
          <w:p w14:paraId="6C43E428" w14:textId="0F381DDA" w:rsidR="0029742C" w:rsidRPr="00AC41E0" w:rsidRDefault="0029742C" w:rsidP="001729B5">
            <w:pPr>
              <w:pStyle w:val="DCSbodytext"/>
              <w:ind w:left="0"/>
              <w:rPr>
                <w:rFonts w:cs="Arial"/>
                <w:szCs w:val="22"/>
              </w:rPr>
            </w:pPr>
          </w:p>
        </w:tc>
        <w:tc>
          <w:tcPr>
            <w:tcW w:w="1932" w:type="dxa"/>
            <w:shd w:val="clear" w:color="auto" w:fill="FFFFFF" w:themeFill="background1"/>
          </w:tcPr>
          <w:p w14:paraId="0394D1D7" w14:textId="4A6A0743" w:rsidR="0029742C" w:rsidRPr="00AC41E0" w:rsidRDefault="0029742C" w:rsidP="001729B5">
            <w:pPr>
              <w:pStyle w:val="DCSbodytext"/>
              <w:ind w:left="0"/>
              <w:cnfStyle w:val="000000100000" w:firstRow="0" w:lastRow="0" w:firstColumn="0" w:lastColumn="0" w:oddVBand="0" w:evenVBand="0" w:oddHBand="1" w:evenHBand="0" w:firstRowFirstColumn="0" w:firstRowLastColumn="0" w:lastRowFirstColumn="0" w:lastRowLastColumn="0"/>
              <w:rPr>
                <w:rFonts w:cs="Arial"/>
                <w:bCs/>
                <w:szCs w:val="22"/>
              </w:rPr>
            </w:pPr>
            <w:r w:rsidRPr="00AC41E0">
              <w:rPr>
                <w:rStyle w:val="Strong"/>
                <w:rFonts w:cs="Arial"/>
                <w:b w:val="0"/>
                <w:szCs w:val="22"/>
              </w:rPr>
              <w:t>Will you sav</w:t>
            </w:r>
            <w:r w:rsidR="00B052D3" w:rsidRPr="00AC41E0">
              <w:rPr>
                <w:rStyle w:val="Strong"/>
                <w:rFonts w:cs="Arial"/>
                <w:b w:val="0"/>
                <w:szCs w:val="22"/>
              </w:rPr>
              <w:t>e</w:t>
            </w:r>
            <w:r w:rsidRPr="00AC41E0">
              <w:rPr>
                <w:rStyle w:val="Strong"/>
                <w:rFonts w:cs="Arial"/>
                <w:b w:val="0"/>
                <w:szCs w:val="22"/>
              </w:rPr>
              <w:t xml:space="preserve"> time </w:t>
            </w:r>
            <w:r w:rsidR="00B052D3" w:rsidRPr="00AC41E0">
              <w:rPr>
                <w:rStyle w:val="Strong"/>
                <w:rFonts w:cs="Arial"/>
                <w:b w:val="0"/>
                <w:szCs w:val="22"/>
              </w:rPr>
              <w:t>b</w:t>
            </w:r>
            <w:r w:rsidR="00B052D3" w:rsidRPr="00AC41E0">
              <w:rPr>
                <w:rStyle w:val="Strong"/>
                <w:b w:val="0"/>
              </w:rPr>
              <w:t>y</w:t>
            </w:r>
            <w:r w:rsidR="00B052D3" w:rsidRPr="00AC41E0">
              <w:rPr>
                <w:rStyle w:val="Strong"/>
                <w:rFonts w:cs="Arial"/>
                <w:b w:val="0"/>
                <w:szCs w:val="22"/>
              </w:rPr>
              <w:t xml:space="preserve"> </w:t>
            </w:r>
            <w:r w:rsidRPr="00AC41E0">
              <w:rPr>
                <w:rStyle w:val="Strong"/>
                <w:rFonts w:cs="Arial"/>
                <w:b w:val="0"/>
                <w:szCs w:val="22"/>
              </w:rPr>
              <w:t xml:space="preserve">implementing an IoT </w:t>
            </w:r>
            <w:r w:rsidR="007F110C" w:rsidRPr="00AC41E0">
              <w:rPr>
                <w:rStyle w:val="Strong"/>
                <w:rFonts w:cs="Arial"/>
                <w:b w:val="0"/>
                <w:szCs w:val="22"/>
              </w:rPr>
              <w:t>solution</w:t>
            </w:r>
            <w:r w:rsidRPr="00AC41E0">
              <w:rPr>
                <w:rStyle w:val="Strong"/>
                <w:rFonts w:cs="Arial"/>
                <w:b w:val="0"/>
                <w:szCs w:val="22"/>
              </w:rPr>
              <w:t xml:space="preserve">? </w:t>
            </w:r>
          </w:p>
        </w:tc>
        <w:tc>
          <w:tcPr>
            <w:tcW w:w="0" w:type="dxa"/>
            <w:shd w:val="clear" w:color="auto" w:fill="FFFFFF" w:themeFill="background1"/>
          </w:tcPr>
          <w:p w14:paraId="7F42C998" w14:textId="337688F1" w:rsidR="0029742C" w:rsidRPr="00AC41E0" w:rsidRDefault="0029742C" w:rsidP="009974AB">
            <w:pPr>
              <w:pStyle w:val="DCSbodytext"/>
              <w:ind w:left="0"/>
              <w:cnfStyle w:val="000000100000" w:firstRow="0" w:lastRow="0" w:firstColumn="0" w:lastColumn="0" w:oddVBand="0" w:evenVBand="0" w:oddHBand="1" w:evenHBand="0" w:firstRowFirstColumn="0" w:firstRowLastColumn="0" w:lastRowFirstColumn="0" w:lastRowLastColumn="0"/>
              <w:rPr>
                <w:rFonts w:cs="Arial"/>
                <w:szCs w:val="22"/>
              </w:rPr>
            </w:pPr>
            <w:r w:rsidRPr="00AC41E0">
              <w:rPr>
                <w:rFonts w:eastAsia="Calibri" w:cs="Arial"/>
                <w:szCs w:val="22"/>
              </w:rPr>
              <w:t>Does your current process involve many employee</w:t>
            </w:r>
            <w:r w:rsidR="007F110C" w:rsidRPr="00AC41E0">
              <w:rPr>
                <w:rFonts w:eastAsia="Calibri" w:cs="Arial"/>
                <w:szCs w:val="22"/>
              </w:rPr>
              <w:t xml:space="preserve"> </w:t>
            </w:r>
            <w:r w:rsidRPr="00AC41E0">
              <w:rPr>
                <w:rFonts w:eastAsia="Calibri" w:cs="Arial"/>
                <w:szCs w:val="22"/>
              </w:rPr>
              <w:t xml:space="preserve">hours travelling to locations to collect information in person? </w:t>
            </w:r>
            <w:r w:rsidR="007F110C" w:rsidRPr="00AC41E0">
              <w:rPr>
                <w:rFonts w:eastAsia="Calibri" w:cs="Arial"/>
                <w:szCs w:val="22"/>
              </w:rPr>
              <w:t>A</w:t>
            </w:r>
            <w:r w:rsidRPr="00AC41E0">
              <w:rPr>
                <w:rFonts w:eastAsia="Calibri" w:cs="Arial"/>
                <w:szCs w:val="22"/>
              </w:rPr>
              <w:t xml:space="preserve"> significant benefi</w:t>
            </w:r>
            <w:r w:rsidR="007F110C" w:rsidRPr="00AC41E0">
              <w:rPr>
                <w:rFonts w:eastAsia="Calibri" w:cs="Arial"/>
                <w:szCs w:val="22"/>
              </w:rPr>
              <w:t>t</w:t>
            </w:r>
            <w:r w:rsidRPr="00AC41E0">
              <w:rPr>
                <w:rFonts w:eastAsia="Calibri" w:cs="Arial"/>
                <w:szCs w:val="22"/>
              </w:rPr>
              <w:t xml:space="preserve"> of installing an IoT solution is that it can remove the </w:t>
            </w:r>
            <w:r w:rsidR="007F110C" w:rsidRPr="00AC41E0">
              <w:rPr>
                <w:rFonts w:eastAsia="Calibri" w:cs="Arial"/>
                <w:szCs w:val="22"/>
              </w:rPr>
              <w:t xml:space="preserve">need </w:t>
            </w:r>
            <w:r w:rsidRPr="00AC41E0">
              <w:rPr>
                <w:rFonts w:eastAsia="Calibri" w:cs="Arial"/>
                <w:szCs w:val="22"/>
              </w:rPr>
              <w:t>for employees to collect and communicate information manually.</w:t>
            </w:r>
          </w:p>
        </w:tc>
      </w:tr>
      <w:tr w:rsidR="002308DF" w:rsidRPr="00AC41E0" w14:paraId="464BFDE1" w14:textId="77777777" w:rsidTr="4E49D50C">
        <w:trPr>
          <w:trHeight w:val="1389"/>
        </w:trPr>
        <w:tc>
          <w:tcPr>
            <w:cnfStyle w:val="001000000000" w:firstRow="0" w:lastRow="0" w:firstColumn="1" w:lastColumn="0" w:oddVBand="0" w:evenVBand="0" w:oddHBand="0" w:evenHBand="0" w:firstRowFirstColumn="0" w:firstRowLastColumn="0" w:lastRowFirstColumn="0" w:lastRowLastColumn="0"/>
            <w:tcW w:w="1740" w:type="dxa"/>
            <w:vMerge/>
          </w:tcPr>
          <w:p w14:paraId="745EE0E0" w14:textId="1EF366FF" w:rsidR="0029742C" w:rsidRPr="00AC41E0" w:rsidRDefault="0029742C" w:rsidP="001729B5">
            <w:pPr>
              <w:pStyle w:val="DCSbodytext"/>
              <w:ind w:left="0"/>
              <w:rPr>
                <w:rFonts w:cs="Arial"/>
                <w:szCs w:val="22"/>
              </w:rPr>
            </w:pPr>
          </w:p>
        </w:tc>
        <w:tc>
          <w:tcPr>
            <w:tcW w:w="1932" w:type="dxa"/>
            <w:shd w:val="clear" w:color="auto" w:fill="FFFFFF" w:themeFill="background1"/>
          </w:tcPr>
          <w:p w14:paraId="76E5F5B2" w14:textId="4BEB679D" w:rsidR="0029742C" w:rsidRPr="00AC41E0" w:rsidRDefault="00691411" w:rsidP="001729B5">
            <w:pPr>
              <w:pStyle w:val="DCSbodytext"/>
              <w:ind w:left="0"/>
              <w:cnfStyle w:val="000000000000" w:firstRow="0" w:lastRow="0" w:firstColumn="0" w:lastColumn="0" w:oddVBand="0" w:evenVBand="0" w:oddHBand="0" w:evenHBand="0" w:firstRowFirstColumn="0" w:firstRowLastColumn="0" w:lastRowFirstColumn="0" w:lastRowLastColumn="0"/>
              <w:rPr>
                <w:rFonts w:cs="Arial"/>
                <w:bCs/>
                <w:szCs w:val="22"/>
              </w:rPr>
            </w:pPr>
            <w:r w:rsidRPr="00AC41E0">
              <w:rPr>
                <w:rStyle w:val="Strong"/>
                <w:rFonts w:cs="Arial"/>
                <w:b w:val="0"/>
                <w:szCs w:val="22"/>
              </w:rPr>
              <w:t>Can your</w:t>
            </w:r>
            <w:r w:rsidR="0029742C" w:rsidRPr="00AC41E0">
              <w:rPr>
                <w:rStyle w:val="Strong"/>
                <w:rFonts w:cs="Arial"/>
                <w:b w:val="0"/>
                <w:szCs w:val="22"/>
              </w:rPr>
              <w:t xml:space="preserve"> organisation commit to IoT in the long</w:t>
            </w:r>
            <w:r w:rsidR="002A3043" w:rsidRPr="00AC41E0">
              <w:rPr>
                <w:rStyle w:val="Strong"/>
                <w:rFonts w:cs="Arial"/>
                <w:b w:val="0"/>
                <w:szCs w:val="22"/>
              </w:rPr>
              <w:t xml:space="preserve"> </w:t>
            </w:r>
            <w:r w:rsidR="0029742C" w:rsidRPr="00AC41E0">
              <w:rPr>
                <w:rStyle w:val="Strong"/>
                <w:rFonts w:cs="Arial"/>
                <w:b w:val="0"/>
                <w:szCs w:val="22"/>
              </w:rPr>
              <w:t>term?</w:t>
            </w:r>
          </w:p>
        </w:tc>
        <w:tc>
          <w:tcPr>
            <w:tcW w:w="0" w:type="dxa"/>
            <w:shd w:val="clear" w:color="auto" w:fill="FFFFFF" w:themeFill="background1"/>
          </w:tcPr>
          <w:p w14:paraId="6F0FA579" w14:textId="76B2C7E2" w:rsidR="0029742C" w:rsidRPr="00AC41E0" w:rsidRDefault="0029742C" w:rsidP="009974AB">
            <w:pPr>
              <w:pStyle w:val="DCSbodytext"/>
              <w:ind w:left="0"/>
              <w:cnfStyle w:val="000000000000" w:firstRow="0" w:lastRow="0" w:firstColumn="0" w:lastColumn="0" w:oddVBand="0" w:evenVBand="0" w:oddHBand="0" w:evenHBand="0" w:firstRowFirstColumn="0" w:firstRowLastColumn="0" w:lastRowFirstColumn="0" w:lastRowLastColumn="0"/>
              <w:rPr>
                <w:rFonts w:cs="Arial"/>
                <w:szCs w:val="22"/>
              </w:rPr>
            </w:pPr>
            <w:r w:rsidRPr="00AC41E0">
              <w:rPr>
                <w:rFonts w:eastAsia="Calibri" w:cs="Arial"/>
                <w:szCs w:val="22"/>
              </w:rPr>
              <w:t>IoT is a long-term commitment and should not be expected to succeed with a set and forget approach. Setting up and maintaining an IoT solution is a significant investment of time and money, and once installed can be in place for many years</w:t>
            </w:r>
            <w:r w:rsidR="005921BE" w:rsidRPr="00AC41E0">
              <w:rPr>
                <w:rFonts w:eastAsia="Calibri" w:cs="Arial"/>
                <w:szCs w:val="22"/>
              </w:rPr>
              <w:t xml:space="preserve"> during which there will be technology changes</w:t>
            </w:r>
            <w:r w:rsidRPr="00AC41E0">
              <w:rPr>
                <w:rFonts w:eastAsia="Calibri" w:cs="Arial"/>
                <w:szCs w:val="22"/>
              </w:rPr>
              <w:t xml:space="preserve">. </w:t>
            </w:r>
          </w:p>
        </w:tc>
      </w:tr>
      <w:tr w:rsidR="002068CE" w:rsidRPr="00AC41E0" w14:paraId="1AA89566" w14:textId="77777777" w:rsidTr="4E49D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vMerge/>
          </w:tcPr>
          <w:p w14:paraId="6C57825E" w14:textId="49E050A5" w:rsidR="0029742C" w:rsidRPr="00AC41E0" w:rsidRDefault="0029742C" w:rsidP="001729B5">
            <w:pPr>
              <w:pStyle w:val="DCSbodytext"/>
              <w:ind w:left="0"/>
              <w:rPr>
                <w:rFonts w:cs="Arial"/>
                <w:szCs w:val="22"/>
              </w:rPr>
            </w:pPr>
          </w:p>
        </w:tc>
        <w:tc>
          <w:tcPr>
            <w:tcW w:w="1932" w:type="dxa"/>
            <w:shd w:val="clear" w:color="auto" w:fill="FFFFFF" w:themeFill="background1"/>
          </w:tcPr>
          <w:p w14:paraId="0DB94025" w14:textId="77777777" w:rsidR="0029742C" w:rsidRPr="00AC41E0" w:rsidRDefault="0029742C" w:rsidP="009974AB">
            <w:pPr>
              <w:pStyle w:val="DCSbodytext"/>
              <w:ind w:left="0"/>
              <w:cnfStyle w:val="000000100000" w:firstRow="0" w:lastRow="0" w:firstColumn="0" w:lastColumn="0" w:oddVBand="0" w:evenVBand="0" w:oddHBand="1" w:evenHBand="0" w:firstRowFirstColumn="0" w:firstRowLastColumn="0" w:lastRowFirstColumn="0" w:lastRowLastColumn="0"/>
              <w:rPr>
                <w:rStyle w:val="Strong"/>
                <w:rFonts w:cs="Arial"/>
                <w:b w:val="0"/>
                <w:szCs w:val="22"/>
              </w:rPr>
            </w:pPr>
            <w:r w:rsidRPr="00AC41E0">
              <w:rPr>
                <w:rStyle w:val="Strong"/>
                <w:rFonts w:cs="Arial"/>
                <w:b w:val="0"/>
                <w:szCs w:val="22"/>
              </w:rPr>
              <w:t>Is now the right time to commit to IoT?</w:t>
            </w:r>
          </w:p>
          <w:p w14:paraId="743143FC" w14:textId="77777777" w:rsidR="0029742C" w:rsidRPr="00AC41E0" w:rsidRDefault="0029742C" w:rsidP="001729B5">
            <w:pPr>
              <w:pStyle w:val="DCSbodytext"/>
              <w:ind w:left="0"/>
              <w:cnfStyle w:val="000000100000" w:firstRow="0" w:lastRow="0" w:firstColumn="0" w:lastColumn="0" w:oddVBand="0" w:evenVBand="0" w:oddHBand="1" w:evenHBand="0" w:firstRowFirstColumn="0" w:firstRowLastColumn="0" w:lastRowFirstColumn="0" w:lastRowLastColumn="0"/>
              <w:rPr>
                <w:rFonts w:cs="Arial"/>
                <w:szCs w:val="22"/>
              </w:rPr>
            </w:pPr>
          </w:p>
        </w:tc>
        <w:tc>
          <w:tcPr>
            <w:tcW w:w="0" w:type="dxa"/>
            <w:shd w:val="clear" w:color="auto" w:fill="FFFFFF" w:themeFill="background1"/>
          </w:tcPr>
          <w:p w14:paraId="5900B606" w14:textId="5F60678E" w:rsidR="00012424" w:rsidRPr="00AC41E0" w:rsidRDefault="0029742C" w:rsidP="009974AB">
            <w:pPr>
              <w:pStyle w:val="DCSbodytext"/>
              <w:ind w:left="0"/>
              <w:cnfStyle w:val="000000100000" w:firstRow="0" w:lastRow="0" w:firstColumn="0" w:lastColumn="0" w:oddVBand="0" w:evenVBand="0" w:oddHBand="1" w:evenHBand="0" w:firstRowFirstColumn="0" w:firstRowLastColumn="0" w:lastRowFirstColumn="0" w:lastRowLastColumn="0"/>
              <w:rPr>
                <w:rFonts w:eastAsia="Calibri" w:cs="Arial"/>
                <w:szCs w:val="22"/>
              </w:rPr>
            </w:pPr>
            <w:r w:rsidRPr="00AC41E0">
              <w:rPr>
                <w:rFonts w:eastAsia="Calibri" w:cs="Arial"/>
                <w:szCs w:val="22"/>
              </w:rPr>
              <w:t xml:space="preserve">Do you have the time to commit to implementing a new process with new technologies? Do you have the resources? </w:t>
            </w:r>
            <w:r w:rsidRPr="00AC41E0">
              <w:rPr>
                <w:rFonts w:eastAsia="Calibri" w:cs="Arial"/>
                <w:szCs w:val="22"/>
              </w:rPr>
              <w:lastRenderedPageBreak/>
              <w:t>Do you have the buy</w:t>
            </w:r>
            <w:r w:rsidR="00012424" w:rsidRPr="00AC41E0">
              <w:rPr>
                <w:rFonts w:eastAsia="Calibri" w:cs="Arial"/>
                <w:szCs w:val="22"/>
              </w:rPr>
              <w:t>-</w:t>
            </w:r>
            <w:r w:rsidRPr="00AC41E0">
              <w:rPr>
                <w:rFonts w:eastAsia="Calibri" w:cs="Arial"/>
                <w:szCs w:val="22"/>
              </w:rPr>
              <w:t xml:space="preserve">in from senior stakeholders? </w:t>
            </w:r>
          </w:p>
          <w:p w14:paraId="210A13DC" w14:textId="48B87966" w:rsidR="0029742C" w:rsidRPr="00AC41E0" w:rsidRDefault="00012424" w:rsidP="009974AB">
            <w:pPr>
              <w:pStyle w:val="DCSbodytext"/>
              <w:ind w:left="0"/>
              <w:cnfStyle w:val="000000100000" w:firstRow="0" w:lastRow="0" w:firstColumn="0" w:lastColumn="0" w:oddVBand="0" w:evenVBand="0" w:oddHBand="1" w:evenHBand="0" w:firstRowFirstColumn="0" w:firstRowLastColumn="0" w:lastRowFirstColumn="0" w:lastRowLastColumn="0"/>
              <w:rPr>
                <w:rFonts w:cs="Arial"/>
                <w:szCs w:val="22"/>
              </w:rPr>
            </w:pPr>
            <w:r w:rsidRPr="00AC41E0">
              <w:rPr>
                <w:rFonts w:eastAsia="Calibri" w:cs="Arial"/>
                <w:szCs w:val="22"/>
              </w:rPr>
              <w:t>T</w:t>
            </w:r>
            <w:r w:rsidR="0029742C" w:rsidRPr="00AC41E0">
              <w:rPr>
                <w:rFonts w:eastAsia="Calibri" w:cs="Arial"/>
                <w:szCs w:val="22"/>
              </w:rPr>
              <w:t xml:space="preserve">he IoT market and associated technologies are </w:t>
            </w:r>
            <w:r w:rsidRPr="00AC41E0">
              <w:rPr>
                <w:rFonts w:eastAsia="Calibri" w:cs="Arial"/>
                <w:szCs w:val="22"/>
              </w:rPr>
              <w:t>r</w:t>
            </w:r>
            <w:r w:rsidRPr="00AC41E0">
              <w:rPr>
                <w:rFonts w:eastAsia="Calibri"/>
              </w:rPr>
              <w:t xml:space="preserve">apidly </w:t>
            </w:r>
            <w:r w:rsidR="0029742C" w:rsidRPr="00AC41E0">
              <w:rPr>
                <w:rFonts w:eastAsia="Calibri" w:cs="Arial"/>
                <w:szCs w:val="22"/>
              </w:rPr>
              <w:t xml:space="preserve">maturing, costs continue to decline, standards </w:t>
            </w:r>
            <w:r w:rsidR="00D46366" w:rsidRPr="00AC41E0">
              <w:rPr>
                <w:rFonts w:eastAsia="Calibri" w:cs="Arial"/>
                <w:szCs w:val="22"/>
              </w:rPr>
              <w:t>a</w:t>
            </w:r>
            <w:r w:rsidR="00D46366" w:rsidRPr="00AC41E0">
              <w:rPr>
                <w:rFonts w:eastAsia="Calibri"/>
              </w:rPr>
              <w:t>re being</w:t>
            </w:r>
            <w:r w:rsidR="0029742C" w:rsidRPr="00AC41E0">
              <w:rPr>
                <w:rFonts w:eastAsia="Calibri" w:cs="Arial"/>
                <w:szCs w:val="22"/>
              </w:rPr>
              <w:t xml:space="preserve"> considered and adopted, and the process of implementing IoT solutions </w:t>
            </w:r>
            <w:r w:rsidR="00E3143D" w:rsidRPr="00AC41E0">
              <w:rPr>
                <w:rFonts w:eastAsia="Calibri" w:cs="Arial"/>
                <w:szCs w:val="22"/>
              </w:rPr>
              <w:t xml:space="preserve">is </w:t>
            </w:r>
            <w:r w:rsidR="0029742C" w:rsidRPr="00AC41E0">
              <w:rPr>
                <w:rFonts w:eastAsia="Calibri" w:cs="Arial"/>
                <w:szCs w:val="22"/>
              </w:rPr>
              <w:t>becom</w:t>
            </w:r>
            <w:r w:rsidR="00E3143D" w:rsidRPr="00AC41E0">
              <w:rPr>
                <w:rFonts w:eastAsia="Calibri" w:cs="Arial"/>
                <w:szCs w:val="22"/>
              </w:rPr>
              <w:t>ing</w:t>
            </w:r>
            <w:r w:rsidR="0029742C" w:rsidRPr="00AC41E0">
              <w:rPr>
                <w:rFonts w:eastAsia="Calibri" w:cs="Arial"/>
                <w:szCs w:val="22"/>
              </w:rPr>
              <w:t xml:space="preserve"> easier. If now is not the right time, the situation may soon change.</w:t>
            </w:r>
          </w:p>
        </w:tc>
      </w:tr>
      <w:tr w:rsidR="002068CE" w:rsidRPr="00AC41E0" w14:paraId="4FBC84BB" w14:textId="77777777" w:rsidTr="4E49D50C">
        <w:tc>
          <w:tcPr>
            <w:cnfStyle w:val="001000000000" w:firstRow="0" w:lastRow="0" w:firstColumn="1" w:lastColumn="0" w:oddVBand="0" w:evenVBand="0" w:oddHBand="0" w:evenHBand="0" w:firstRowFirstColumn="0" w:firstRowLastColumn="0" w:lastRowFirstColumn="0" w:lastRowLastColumn="0"/>
            <w:tcW w:w="1740" w:type="dxa"/>
            <w:vMerge w:val="restart"/>
            <w:shd w:val="clear" w:color="auto" w:fill="DBE5F1" w:themeFill="accent1" w:themeFillTint="33"/>
          </w:tcPr>
          <w:p w14:paraId="7987C3B8" w14:textId="77777777" w:rsidR="0029742C" w:rsidRPr="00AC41E0" w:rsidRDefault="0029742C" w:rsidP="001729B5">
            <w:pPr>
              <w:pStyle w:val="DCSbodytext"/>
              <w:ind w:left="0"/>
              <w:rPr>
                <w:rFonts w:cs="Arial"/>
                <w:bCs w:val="0"/>
                <w:szCs w:val="22"/>
              </w:rPr>
            </w:pPr>
            <w:r w:rsidRPr="00AC41E0">
              <w:rPr>
                <w:rFonts w:cs="Arial"/>
                <w:szCs w:val="22"/>
              </w:rPr>
              <w:lastRenderedPageBreak/>
              <w:t>Location</w:t>
            </w:r>
          </w:p>
          <w:p w14:paraId="50781F8E" w14:textId="02EFABA6" w:rsidR="0029742C" w:rsidRPr="00AC41E0" w:rsidRDefault="0029742C" w:rsidP="001729B5">
            <w:pPr>
              <w:pStyle w:val="DCSbodytext"/>
              <w:ind w:left="0"/>
              <w:rPr>
                <w:rFonts w:cs="Arial"/>
                <w:szCs w:val="22"/>
              </w:rPr>
            </w:pPr>
          </w:p>
        </w:tc>
        <w:tc>
          <w:tcPr>
            <w:tcW w:w="1932" w:type="dxa"/>
            <w:shd w:val="clear" w:color="auto" w:fill="DBE5F1" w:themeFill="accent1" w:themeFillTint="33"/>
          </w:tcPr>
          <w:p w14:paraId="2B5F5896" w14:textId="3046AAD3" w:rsidR="0029742C" w:rsidRPr="00AC41E0" w:rsidRDefault="0029742C" w:rsidP="001729B5">
            <w:pPr>
              <w:pStyle w:val="DCSbodytext"/>
              <w:ind w:left="0"/>
              <w:cnfStyle w:val="000000000000" w:firstRow="0" w:lastRow="0" w:firstColumn="0" w:lastColumn="0" w:oddVBand="0" w:evenVBand="0" w:oddHBand="0" w:evenHBand="0" w:firstRowFirstColumn="0" w:firstRowLastColumn="0" w:lastRowFirstColumn="0" w:lastRowLastColumn="0"/>
              <w:rPr>
                <w:rFonts w:cs="Arial"/>
                <w:bCs/>
                <w:szCs w:val="22"/>
              </w:rPr>
            </w:pPr>
            <w:r w:rsidRPr="00AC41E0">
              <w:rPr>
                <w:rStyle w:val="Strong"/>
                <w:rFonts w:cs="Arial"/>
                <w:b w:val="0"/>
                <w:szCs w:val="22"/>
              </w:rPr>
              <w:t>Are there any environmental factors that might interfere with the IoT?</w:t>
            </w:r>
          </w:p>
        </w:tc>
        <w:tc>
          <w:tcPr>
            <w:tcW w:w="0" w:type="dxa"/>
            <w:shd w:val="clear" w:color="auto" w:fill="DBE5F1" w:themeFill="accent1" w:themeFillTint="33"/>
          </w:tcPr>
          <w:p w14:paraId="03D64FB5" w14:textId="0FF3E1D2" w:rsidR="0029742C" w:rsidRPr="00AC41E0" w:rsidRDefault="0029742C" w:rsidP="009974AB">
            <w:pPr>
              <w:pStyle w:val="DCSbodytext"/>
              <w:ind w:left="0"/>
              <w:cnfStyle w:val="000000000000" w:firstRow="0" w:lastRow="0" w:firstColumn="0" w:lastColumn="0" w:oddVBand="0" w:evenVBand="0" w:oddHBand="0" w:evenHBand="0" w:firstRowFirstColumn="0" w:firstRowLastColumn="0" w:lastRowFirstColumn="0" w:lastRowLastColumn="0"/>
              <w:rPr>
                <w:rFonts w:cs="Arial"/>
                <w:szCs w:val="22"/>
              </w:rPr>
            </w:pPr>
            <w:r w:rsidRPr="00AC41E0">
              <w:rPr>
                <w:rFonts w:eastAsia="Calibri" w:cs="Arial"/>
                <w:szCs w:val="22"/>
              </w:rPr>
              <w:t>Thinking about the environment in which your IoT devices will be placed, is there anything that could impact your ability to install the sensors or their ability to function? Is it rural</w:t>
            </w:r>
            <w:r w:rsidR="00104F15" w:rsidRPr="00AC41E0">
              <w:rPr>
                <w:rFonts w:eastAsia="Calibri" w:cs="Arial"/>
                <w:szCs w:val="22"/>
              </w:rPr>
              <w:t xml:space="preserve"> or </w:t>
            </w:r>
            <w:r w:rsidRPr="00AC41E0">
              <w:rPr>
                <w:rFonts w:eastAsia="Calibri" w:cs="Arial"/>
                <w:szCs w:val="22"/>
              </w:rPr>
              <w:t>far from any network connection? Is i</w:t>
            </w:r>
            <w:r w:rsidR="00791AE4" w:rsidRPr="00AC41E0">
              <w:rPr>
                <w:rFonts w:eastAsia="Calibri" w:cs="Arial"/>
                <w:szCs w:val="22"/>
              </w:rPr>
              <w:t>t i</w:t>
            </w:r>
            <w:r w:rsidRPr="00AC41E0">
              <w:rPr>
                <w:rFonts w:eastAsia="Calibri" w:cs="Arial"/>
                <w:szCs w:val="22"/>
              </w:rPr>
              <w:t xml:space="preserve">n a coastal area that may be affected by </w:t>
            </w:r>
            <w:r w:rsidR="00676B1F" w:rsidRPr="00AC41E0">
              <w:rPr>
                <w:rFonts w:eastAsia="Calibri" w:cs="Arial"/>
                <w:szCs w:val="22"/>
              </w:rPr>
              <w:t xml:space="preserve">the </w:t>
            </w:r>
            <w:r w:rsidRPr="00AC41E0">
              <w:rPr>
                <w:rFonts w:eastAsia="Calibri" w:cs="Arial"/>
                <w:szCs w:val="22"/>
              </w:rPr>
              <w:t>tide? Is it in the middle of the city on pylons that you ca</w:t>
            </w:r>
            <w:r w:rsidR="006C37DD" w:rsidRPr="00AC41E0">
              <w:rPr>
                <w:rFonts w:eastAsia="Calibri" w:cs="Arial"/>
                <w:szCs w:val="22"/>
              </w:rPr>
              <w:t>nnot</w:t>
            </w:r>
            <w:r w:rsidRPr="00AC41E0">
              <w:rPr>
                <w:rFonts w:eastAsia="Calibri" w:cs="Arial"/>
                <w:szCs w:val="22"/>
              </w:rPr>
              <w:t xml:space="preserve"> access? </w:t>
            </w:r>
            <w:r w:rsidR="00306B41" w:rsidRPr="00AC41E0">
              <w:rPr>
                <w:rFonts w:eastAsia="Calibri" w:cs="Arial"/>
                <w:szCs w:val="22"/>
              </w:rPr>
              <w:t xml:space="preserve"> Is it in a fire-prone area? I</w:t>
            </w:r>
            <w:r w:rsidR="00B70918" w:rsidRPr="00AC41E0">
              <w:rPr>
                <w:rFonts w:eastAsia="Calibri" w:cs="Arial"/>
                <w:szCs w:val="22"/>
              </w:rPr>
              <w:t>s</w:t>
            </w:r>
            <w:r w:rsidR="00306B41" w:rsidRPr="00AC41E0">
              <w:rPr>
                <w:rFonts w:eastAsia="Calibri" w:cs="Arial"/>
                <w:szCs w:val="22"/>
              </w:rPr>
              <w:t xml:space="preserve"> it underground</w:t>
            </w:r>
            <w:r w:rsidR="00FF2F68" w:rsidRPr="00AC41E0">
              <w:rPr>
                <w:rFonts w:eastAsia="Calibri" w:cs="Arial"/>
                <w:szCs w:val="22"/>
              </w:rPr>
              <w:t xml:space="preserve"> (in which case there may be signal loss)</w:t>
            </w:r>
            <w:r w:rsidR="00306B41" w:rsidRPr="00AC41E0">
              <w:rPr>
                <w:rFonts w:eastAsia="Calibri" w:cs="Arial"/>
                <w:szCs w:val="22"/>
              </w:rPr>
              <w:t>?</w:t>
            </w:r>
          </w:p>
        </w:tc>
      </w:tr>
      <w:tr w:rsidR="002308DF" w:rsidRPr="00AC41E0" w14:paraId="7B8ECE7C" w14:textId="77777777" w:rsidTr="4E49D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vMerge/>
          </w:tcPr>
          <w:p w14:paraId="0E3CD9B2" w14:textId="5BDD3949" w:rsidR="0029742C" w:rsidRPr="00AC41E0" w:rsidRDefault="0029742C" w:rsidP="001729B5">
            <w:pPr>
              <w:pStyle w:val="DCSbodytext"/>
              <w:ind w:left="0"/>
              <w:rPr>
                <w:rFonts w:cs="Arial"/>
                <w:szCs w:val="22"/>
              </w:rPr>
            </w:pPr>
          </w:p>
        </w:tc>
        <w:tc>
          <w:tcPr>
            <w:tcW w:w="1932" w:type="dxa"/>
          </w:tcPr>
          <w:p w14:paraId="00D1F3D7" w14:textId="77777777" w:rsidR="0029742C" w:rsidRPr="00AC41E0" w:rsidRDefault="0029742C" w:rsidP="009974AB">
            <w:pPr>
              <w:pStyle w:val="DCSbodytext"/>
              <w:ind w:left="0"/>
              <w:cnfStyle w:val="000000100000" w:firstRow="0" w:lastRow="0" w:firstColumn="0" w:lastColumn="0" w:oddVBand="0" w:evenVBand="0" w:oddHBand="1" w:evenHBand="0" w:firstRowFirstColumn="0" w:firstRowLastColumn="0" w:lastRowFirstColumn="0" w:lastRowLastColumn="0"/>
              <w:rPr>
                <w:rStyle w:val="Strong"/>
                <w:rFonts w:cs="Arial"/>
                <w:b w:val="0"/>
                <w:szCs w:val="22"/>
              </w:rPr>
            </w:pPr>
            <w:r w:rsidRPr="00AC41E0">
              <w:rPr>
                <w:rStyle w:val="Strong"/>
                <w:rFonts w:cs="Arial"/>
                <w:b w:val="0"/>
                <w:szCs w:val="22"/>
              </w:rPr>
              <w:t>Will you be able to connect to a network?</w:t>
            </w:r>
          </w:p>
          <w:p w14:paraId="4F783A62" w14:textId="77777777" w:rsidR="0029742C" w:rsidRPr="00AC41E0" w:rsidRDefault="0029742C" w:rsidP="001729B5">
            <w:pPr>
              <w:pStyle w:val="DCSbodytext"/>
              <w:ind w:left="0"/>
              <w:cnfStyle w:val="000000100000" w:firstRow="0" w:lastRow="0" w:firstColumn="0" w:lastColumn="0" w:oddVBand="0" w:evenVBand="0" w:oddHBand="1" w:evenHBand="0" w:firstRowFirstColumn="0" w:firstRowLastColumn="0" w:lastRowFirstColumn="0" w:lastRowLastColumn="0"/>
              <w:rPr>
                <w:rFonts w:cs="Arial"/>
                <w:szCs w:val="22"/>
              </w:rPr>
            </w:pPr>
          </w:p>
        </w:tc>
        <w:tc>
          <w:tcPr>
            <w:tcW w:w="0" w:type="dxa"/>
          </w:tcPr>
          <w:p w14:paraId="5264AEB2" w14:textId="20EF3A32" w:rsidR="0029742C" w:rsidRPr="00AC41E0" w:rsidRDefault="0029742C" w:rsidP="009974AB">
            <w:pPr>
              <w:pStyle w:val="DCSbodytext"/>
              <w:ind w:left="0"/>
              <w:cnfStyle w:val="000000100000" w:firstRow="0" w:lastRow="0" w:firstColumn="0" w:lastColumn="0" w:oddVBand="0" w:evenVBand="0" w:oddHBand="1" w:evenHBand="0" w:firstRowFirstColumn="0" w:firstRowLastColumn="0" w:lastRowFirstColumn="0" w:lastRowLastColumn="0"/>
              <w:rPr>
                <w:rFonts w:cs="Arial"/>
                <w:szCs w:val="22"/>
              </w:rPr>
            </w:pPr>
            <w:r w:rsidRPr="00AC41E0">
              <w:rPr>
                <w:rFonts w:eastAsia="Calibri" w:cs="Arial"/>
                <w:szCs w:val="22"/>
              </w:rPr>
              <w:t>IoT devices work by transmitting information that is collected by the device to a hub that then responds to the information. Devices need to be connected to a network to be able to do so. This can be a challenge in areas where no network access currently exists</w:t>
            </w:r>
            <w:r w:rsidR="006F5939" w:rsidRPr="00AC41E0">
              <w:rPr>
                <w:rFonts w:eastAsia="Calibri" w:cs="Arial"/>
                <w:szCs w:val="22"/>
              </w:rPr>
              <w:t xml:space="preserve"> or signal strength is weak</w:t>
            </w:r>
            <w:r w:rsidRPr="00AC41E0">
              <w:rPr>
                <w:rFonts w:eastAsia="Calibri" w:cs="Arial"/>
                <w:szCs w:val="22"/>
              </w:rPr>
              <w:t>, and you may need to install additional technical devices to access a network</w:t>
            </w:r>
            <w:r w:rsidR="001E31D9" w:rsidRPr="00AC41E0">
              <w:rPr>
                <w:rFonts w:eastAsia="Calibri" w:cs="Arial"/>
                <w:szCs w:val="22"/>
              </w:rPr>
              <w:t>. This may be the case</w:t>
            </w:r>
            <w:r w:rsidR="00826BE0" w:rsidRPr="00AC41E0">
              <w:rPr>
                <w:rFonts w:eastAsia="Calibri" w:cs="Arial"/>
                <w:szCs w:val="22"/>
              </w:rPr>
              <w:t xml:space="preserve">, for </w:t>
            </w:r>
            <w:r w:rsidR="00826BE0" w:rsidRPr="00AC41E0">
              <w:rPr>
                <w:rFonts w:eastAsia="Calibri" w:cs="Arial"/>
                <w:szCs w:val="22"/>
              </w:rPr>
              <w:lastRenderedPageBreak/>
              <w:t>example,</w:t>
            </w:r>
            <w:r w:rsidR="001E31D9" w:rsidRPr="00AC41E0">
              <w:rPr>
                <w:rFonts w:eastAsia="Calibri" w:cs="Arial"/>
                <w:szCs w:val="22"/>
              </w:rPr>
              <w:t xml:space="preserve"> </w:t>
            </w:r>
            <w:r w:rsidR="00826BE0" w:rsidRPr="00AC41E0">
              <w:rPr>
                <w:rFonts w:eastAsia="Calibri" w:cs="Arial"/>
                <w:szCs w:val="22"/>
              </w:rPr>
              <w:t xml:space="preserve">in </w:t>
            </w:r>
            <w:r w:rsidR="001E31D9" w:rsidRPr="00AC41E0">
              <w:rPr>
                <w:rFonts w:eastAsia="Calibri" w:cs="Arial"/>
                <w:szCs w:val="22"/>
              </w:rPr>
              <w:t>some</w:t>
            </w:r>
            <w:r w:rsidRPr="00AC41E0">
              <w:rPr>
                <w:rFonts w:eastAsia="Calibri" w:cs="Arial"/>
                <w:szCs w:val="22"/>
              </w:rPr>
              <w:t xml:space="preserve"> rural and remote areas</w:t>
            </w:r>
            <w:r w:rsidR="00826BE0" w:rsidRPr="00AC41E0">
              <w:rPr>
                <w:rFonts w:eastAsia="Calibri" w:cs="Arial"/>
                <w:szCs w:val="22"/>
              </w:rPr>
              <w:t xml:space="preserve"> or underground</w:t>
            </w:r>
            <w:r w:rsidRPr="00AC41E0">
              <w:rPr>
                <w:rFonts w:eastAsia="Calibri" w:cs="Arial"/>
                <w:szCs w:val="22"/>
              </w:rPr>
              <w:t>.</w:t>
            </w:r>
          </w:p>
        </w:tc>
      </w:tr>
      <w:tr w:rsidR="002308DF" w:rsidRPr="00AC41E0" w14:paraId="69AAD75A" w14:textId="77777777" w:rsidTr="4E49D50C">
        <w:tc>
          <w:tcPr>
            <w:cnfStyle w:val="001000000000" w:firstRow="0" w:lastRow="0" w:firstColumn="1" w:lastColumn="0" w:oddVBand="0" w:evenVBand="0" w:oddHBand="0" w:evenHBand="0" w:firstRowFirstColumn="0" w:firstRowLastColumn="0" w:lastRowFirstColumn="0" w:lastRowLastColumn="0"/>
            <w:tcW w:w="1740" w:type="dxa"/>
            <w:vMerge/>
          </w:tcPr>
          <w:p w14:paraId="30945380" w14:textId="28956CAF" w:rsidR="0029742C" w:rsidRPr="00AC41E0" w:rsidRDefault="0029742C" w:rsidP="001729B5">
            <w:pPr>
              <w:pStyle w:val="DCSbodytext"/>
              <w:ind w:left="0"/>
              <w:rPr>
                <w:rFonts w:cs="Arial"/>
                <w:szCs w:val="22"/>
              </w:rPr>
            </w:pPr>
          </w:p>
        </w:tc>
        <w:tc>
          <w:tcPr>
            <w:tcW w:w="1932" w:type="dxa"/>
            <w:shd w:val="clear" w:color="auto" w:fill="DBE5F1" w:themeFill="accent1" w:themeFillTint="33"/>
          </w:tcPr>
          <w:p w14:paraId="45541111" w14:textId="149864D6" w:rsidR="0029742C" w:rsidRPr="00AC41E0" w:rsidRDefault="0029742C" w:rsidP="009974AB">
            <w:pPr>
              <w:pStyle w:val="DCSbodytext"/>
              <w:ind w:left="0"/>
              <w:cnfStyle w:val="000000000000" w:firstRow="0" w:lastRow="0" w:firstColumn="0" w:lastColumn="0" w:oddVBand="0" w:evenVBand="0" w:oddHBand="0" w:evenHBand="0" w:firstRowFirstColumn="0" w:firstRowLastColumn="0" w:lastRowFirstColumn="0" w:lastRowLastColumn="0"/>
              <w:rPr>
                <w:rFonts w:cs="Arial"/>
                <w:szCs w:val="22"/>
              </w:rPr>
            </w:pPr>
            <w:r w:rsidRPr="00AC41E0">
              <w:rPr>
                <w:rStyle w:val="Strong"/>
                <w:rFonts w:cs="Arial"/>
                <w:b w:val="0"/>
                <w:szCs w:val="22"/>
              </w:rPr>
              <w:t>Do you own or have access to the infrastructure/land where the IoT solution will be installed?</w:t>
            </w:r>
          </w:p>
        </w:tc>
        <w:tc>
          <w:tcPr>
            <w:tcW w:w="0" w:type="dxa"/>
            <w:shd w:val="clear" w:color="auto" w:fill="DBE5F1" w:themeFill="accent1" w:themeFillTint="33"/>
          </w:tcPr>
          <w:p w14:paraId="451FA286" w14:textId="6D9BA1BE" w:rsidR="0029742C" w:rsidRPr="00AC41E0" w:rsidRDefault="0029742C" w:rsidP="009974AB">
            <w:pPr>
              <w:pStyle w:val="DCSbodytext"/>
              <w:ind w:left="0"/>
              <w:cnfStyle w:val="000000000000" w:firstRow="0" w:lastRow="0" w:firstColumn="0" w:lastColumn="0" w:oddVBand="0" w:evenVBand="0" w:oddHBand="0" w:evenHBand="0" w:firstRowFirstColumn="0" w:firstRowLastColumn="0" w:lastRowFirstColumn="0" w:lastRowLastColumn="0"/>
              <w:rPr>
                <w:rFonts w:cs="Arial"/>
                <w:szCs w:val="22"/>
              </w:rPr>
            </w:pPr>
            <w:r w:rsidRPr="00AC41E0">
              <w:rPr>
                <w:rFonts w:eastAsia="Calibri" w:cs="Arial"/>
                <w:szCs w:val="22"/>
              </w:rPr>
              <w:t xml:space="preserve">Do you have </w:t>
            </w:r>
            <w:r w:rsidR="0058136F" w:rsidRPr="00AC41E0">
              <w:rPr>
                <w:rFonts w:eastAsia="Calibri" w:cs="Arial"/>
                <w:szCs w:val="22"/>
              </w:rPr>
              <w:t xml:space="preserve">the </w:t>
            </w:r>
            <w:r w:rsidRPr="00AC41E0">
              <w:rPr>
                <w:rFonts w:eastAsia="Calibri" w:cs="Arial"/>
                <w:szCs w:val="22"/>
              </w:rPr>
              <w:t>authority/access to the right infrastructure (</w:t>
            </w:r>
            <w:r w:rsidR="00315BAF" w:rsidRPr="00AC41E0">
              <w:rPr>
                <w:rFonts w:eastAsia="Calibri" w:cs="Arial"/>
                <w:szCs w:val="22"/>
              </w:rPr>
              <w:t>e.g.</w:t>
            </w:r>
            <w:r w:rsidRPr="00AC41E0">
              <w:rPr>
                <w:rFonts w:eastAsia="Calibri" w:cs="Arial"/>
                <w:szCs w:val="22"/>
              </w:rPr>
              <w:t xml:space="preserve"> buildings, telegraph poles, networks) and land that </w:t>
            </w:r>
            <w:r w:rsidR="00510D17" w:rsidRPr="00AC41E0">
              <w:rPr>
                <w:rFonts w:eastAsia="Calibri" w:cs="Arial"/>
                <w:szCs w:val="22"/>
              </w:rPr>
              <w:t xml:space="preserve">is </w:t>
            </w:r>
            <w:r w:rsidRPr="00AC41E0">
              <w:rPr>
                <w:rFonts w:eastAsia="Calibri" w:cs="Arial"/>
                <w:szCs w:val="22"/>
              </w:rPr>
              <w:t>necessary to implement the IoT solution?</w:t>
            </w:r>
          </w:p>
        </w:tc>
      </w:tr>
      <w:tr w:rsidR="002068CE" w:rsidRPr="00AC41E0" w14:paraId="06F61958" w14:textId="77777777" w:rsidTr="4E49D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vMerge w:val="restart"/>
            <w:shd w:val="clear" w:color="auto" w:fill="FFFFFF" w:themeFill="background1"/>
          </w:tcPr>
          <w:p w14:paraId="56E8B449" w14:textId="77777777" w:rsidR="0029742C" w:rsidRPr="00AC41E0" w:rsidRDefault="0029742C" w:rsidP="001729B5">
            <w:pPr>
              <w:pStyle w:val="DCSbodytext"/>
              <w:ind w:left="0"/>
              <w:rPr>
                <w:rFonts w:cs="Arial"/>
                <w:bCs w:val="0"/>
                <w:szCs w:val="22"/>
              </w:rPr>
            </w:pPr>
            <w:r w:rsidRPr="00AC41E0">
              <w:rPr>
                <w:rFonts w:cs="Arial"/>
                <w:szCs w:val="22"/>
              </w:rPr>
              <w:t>Resources</w:t>
            </w:r>
          </w:p>
          <w:p w14:paraId="5A148E61" w14:textId="468F782F" w:rsidR="0029742C" w:rsidRPr="00AC41E0" w:rsidRDefault="0029742C" w:rsidP="00A260D2">
            <w:pPr>
              <w:pStyle w:val="DCSbodytext"/>
              <w:ind w:left="0"/>
              <w:rPr>
                <w:rFonts w:cs="Arial"/>
                <w:szCs w:val="22"/>
              </w:rPr>
            </w:pPr>
          </w:p>
        </w:tc>
        <w:tc>
          <w:tcPr>
            <w:tcW w:w="1932" w:type="dxa"/>
            <w:shd w:val="clear" w:color="auto" w:fill="FFFFFF" w:themeFill="background1"/>
          </w:tcPr>
          <w:p w14:paraId="61A714A6" w14:textId="64FE0DBC" w:rsidR="0029742C" w:rsidRPr="00AC41E0" w:rsidRDefault="0029742C" w:rsidP="009974AB">
            <w:pPr>
              <w:pStyle w:val="DCSbodytext"/>
              <w:ind w:left="0"/>
              <w:cnfStyle w:val="000000100000" w:firstRow="0" w:lastRow="0" w:firstColumn="0" w:lastColumn="0" w:oddVBand="0" w:evenVBand="0" w:oddHBand="1" w:evenHBand="0" w:firstRowFirstColumn="0" w:firstRowLastColumn="0" w:lastRowFirstColumn="0" w:lastRowLastColumn="0"/>
              <w:rPr>
                <w:rFonts w:cs="Arial"/>
                <w:szCs w:val="22"/>
              </w:rPr>
            </w:pPr>
            <w:r w:rsidRPr="00AC41E0">
              <w:rPr>
                <w:rStyle w:val="Strong"/>
                <w:rFonts w:cs="Arial"/>
                <w:b w:val="0"/>
                <w:szCs w:val="22"/>
              </w:rPr>
              <w:t>Do you have access to the technical expertise that may be required to set up and run an IoT solution?</w:t>
            </w:r>
          </w:p>
        </w:tc>
        <w:tc>
          <w:tcPr>
            <w:tcW w:w="0" w:type="dxa"/>
            <w:shd w:val="clear" w:color="auto" w:fill="FFFFFF" w:themeFill="background1"/>
          </w:tcPr>
          <w:p w14:paraId="61D01658" w14:textId="11C8CB16" w:rsidR="0029742C" w:rsidRPr="00AC41E0" w:rsidRDefault="0029742C" w:rsidP="009974AB">
            <w:pPr>
              <w:pStyle w:val="DCSbodytext"/>
              <w:ind w:left="0"/>
              <w:cnfStyle w:val="000000100000" w:firstRow="0" w:lastRow="0" w:firstColumn="0" w:lastColumn="0" w:oddVBand="0" w:evenVBand="0" w:oddHBand="1" w:evenHBand="0" w:firstRowFirstColumn="0" w:firstRowLastColumn="0" w:lastRowFirstColumn="0" w:lastRowLastColumn="0"/>
              <w:rPr>
                <w:rFonts w:cs="Arial"/>
                <w:szCs w:val="22"/>
              </w:rPr>
            </w:pPr>
            <w:r w:rsidRPr="00AC41E0">
              <w:rPr>
                <w:rFonts w:eastAsia="Calibri" w:cs="Arial"/>
                <w:szCs w:val="22"/>
              </w:rPr>
              <w:t xml:space="preserve">Depending on your project needs, the perfect IoT solution may or may not exist. If it does not, do you have access to the technical expertise required to build your own IoT solution or </w:t>
            </w:r>
            <w:r w:rsidR="00251776" w:rsidRPr="00AC41E0">
              <w:rPr>
                <w:rFonts w:eastAsia="Calibri" w:cs="Arial"/>
                <w:szCs w:val="22"/>
              </w:rPr>
              <w:t>work</w:t>
            </w:r>
            <w:r w:rsidRPr="00AC41E0">
              <w:rPr>
                <w:rFonts w:eastAsia="Calibri" w:cs="Arial"/>
                <w:szCs w:val="22"/>
              </w:rPr>
              <w:t xml:space="preserve"> with a </w:t>
            </w:r>
            <w:r w:rsidR="00374CED" w:rsidRPr="00AC41E0">
              <w:t xml:space="preserve">service provider </w:t>
            </w:r>
            <w:r w:rsidRPr="00AC41E0">
              <w:rPr>
                <w:rFonts w:eastAsia="Calibri" w:cs="Arial"/>
                <w:szCs w:val="22"/>
              </w:rPr>
              <w:t>to build a solution for you?</w:t>
            </w:r>
          </w:p>
        </w:tc>
      </w:tr>
      <w:tr w:rsidR="002308DF" w:rsidRPr="00AC41E0" w14:paraId="24B9D40A" w14:textId="77777777" w:rsidTr="4E49D50C">
        <w:tc>
          <w:tcPr>
            <w:cnfStyle w:val="001000000000" w:firstRow="0" w:lastRow="0" w:firstColumn="1" w:lastColumn="0" w:oddVBand="0" w:evenVBand="0" w:oddHBand="0" w:evenHBand="0" w:firstRowFirstColumn="0" w:firstRowLastColumn="0" w:lastRowFirstColumn="0" w:lastRowLastColumn="0"/>
            <w:tcW w:w="1740" w:type="dxa"/>
            <w:vMerge/>
          </w:tcPr>
          <w:p w14:paraId="2A37039C" w14:textId="3C6911BC" w:rsidR="0029742C" w:rsidRPr="00AC41E0" w:rsidRDefault="0029742C" w:rsidP="00A260D2">
            <w:pPr>
              <w:pStyle w:val="DCSbodytext"/>
              <w:ind w:left="0"/>
              <w:rPr>
                <w:rFonts w:cs="Arial"/>
                <w:szCs w:val="22"/>
              </w:rPr>
            </w:pPr>
          </w:p>
        </w:tc>
        <w:tc>
          <w:tcPr>
            <w:tcW w:w="1932" w:type="dxa"/>
            <w:shd w:val="clear" w:color="auto" w:fill="FFFFFF" w:themeFill="background1"/>
          </w:tcPr>
          <w:p w14:paraId="1B924BD2" w14:textId="24F38226" w:rsidR="0029742C" w:rsidRPr="00AC41E0" w:rsidRDefault="0029742C" w:rsidP="00A260D2">
            <w:pPr>
              <w:pStyle w:val="DCSbodytext"/>
              <w:ind w:left="0"/>
              <w:cnfStyle w:val="000000000000" w:firstRow="0" w:lastRow="0" w:firstColumn="0" w:lastColumn="0" w:oddVBand="0" w:evenVBand="0" w:oddHBand="0" w:evenHBand="0" w:firstRowFirstColumn="0" w:firstRowLastColumn="0" w:lastRowFirstColumn="0" w:lastRowLastColumn="0"/>
              <w:rPr>
                <w:rFonts w:cs="Arial"/>
                <w:bCs/>
                <w:szCs w:val="22"/>
              </w:rPr>
            </w:pPr>
            <w:r w:rsidRPr="00AC41E0">
              <w:rPr>
                <w:rStyle w:val="Strong"/>
                <w:rFonts w:cs="Arial"/>
                <w:b w:val="0"/>
                <w:szCs w:val="22"/>
              </w:rPr>
              <w:t xml:space="preserve">Who will maintain the IoT devices and system? </w:t>
            </w:r>
          </w:p>
        </w:tc>
        <w:tc>
          <w:tcPr>
            <w:tcW w:w="0" w:type="dxa"/>
            <w:shd w:val="clear" w:color="auto" w:fill="FFFFFF" w:themeFill="background1"/>
          </w:tcPr>
          <w:p w14:paraId="56736A17" w14:textId="573977A1" w:rsidR="0029742C" w:rsidRPr="00AC41E0" w:rsidRDefault="0029742C" w:rsidP="00A260D2">
            <w:pPr>
              <w:pStyle w:val="DCSbodytext"/>
              <w:ind w:left="0"/>
              <w:cnfStyle w:val="000000000000" w:firstRow="0" w:lastRow="0" w:firstColumn="0" w:lastColumn="0" w:oddVBand="0" w:evenVBand="0" w:oddHBand="0" w:evenHBand="0" w:firstRowFirstColumn="0" w:firstRowLastColumn="0" w:lastRowFirstColumn="0" w:lastRowLastColumn="0"/>
              <w:rPr>
                <w:rFonts w:cs="Arial"/>
                <w:szCs w:val="22"/>
              </w:rPr>
            </w:pPr>
            <w:r w:rsidRPr="00AC41E0">
              <w:rPr>
                <w:rFonts w:eastAsia="Calibri" w:cs="Arial"/>
                <w:szCs w:val="22"/>
              </w:rPr>
              <w:t xml:space="preserve">Do you have adequate </w:t>
            </w:r>
            <w:r w:rsidR="00A939BE" w:rsidRPr="00AC41E0">
              <w:rPr>
                <w:rFonts w:eastAsia="Calibri" w:cs="Arial"/>
                <w:szCs w:val="22"/>
              </w:rPr>
              <w:t xml:space="preserve">human </w:t>
            </w:r>
            <w:r w:rsidRPr="00AC41E0">
              <w:rPr>
                <w:rFonts w:eastAsia="Calibri" w:cs="Arial"/>
                <w:szCs w:val="22"/>
              </w:rPr>
              <w:t xml:space="preserve">resources to maintain the IoT solution and associated data? If a device needs maintenance, will you be able to respond? Who will maintain the datasets the IoT solution produces? </w:t>
            </w:r>
          </w:p>
        </w:tc>
      </w:tr>
      <w:tr w:rsidR="002068CE" w:rsidRPr="00AC41E0" w14:paraId="723D624C" w14:textId="77777777" w:rsidTr="4E49D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vMerge/>
          </w:tcPr>
          <w:p w14:paraId="08085BC1" w14:textId="125CF341" w:rsidR="0029742C" w:rsidRPr="00AC41E0" w:rsidRDefault="0029742C" w:rsidP="00A260D2">
            <w:pPr>
              <w:pStyle w:val="DCSbodytext"/>
              <w:ind w:left="0"/>
              <w:rPr>
                <w:rFonts w:cs="Arial"/>
                <w:szCs w:val="22"/>
              </w:rPr>
            </w:pPr>
          </w:p>
        </w:tc>
        <w:tc>
          <w:tcPr>
            <w:tcW w:w="1932" w:type="dxa"/>
            <w:shd w:val="clear" w:color="auto" w:fill="FFFFFF" w:themeFill="background1"/>
          </w:tcPr>
          <w:p w14:paraId="43B49F9A" w14:textId="101FE3CE" w:rsidR="0029742C" w:rsidRPr="00AC41E0" w:rsidRDefault="0029742C" w:rsidP="00A260D2">
            <w:pPr>
              <w:pStyle w:val="DCSbodytext"/>
              <w:ind w:left="0"/>
              <w:cnfStyle w:val="000000100000" w:firstRow="0" w:lastRow="0" w:firstColumn="0" w:lastColumn="0" w:oddVBand="0" w:evenVBand="0" w:oddHBand="1" w:evenHBand="0" w:firstRowFirstColumn="0" w:firstRowLastColumn="0" w:lastRowFirstColumn="0" w:lastRowLastColumn="0"/>
              <w:rPr>
                <w:rFonts w:cs="Arial"/>
                <w:szCs w:val="22"/>
              </w:rPr>
            </w:pPr>
            <w:r w:rsidRPr="00AC41E0">
              <w:rPr>
                <w:rStyle w:val="Strong"/>
                <w:rFonts w:cs="Arial"/>
                <w:b w:val="0"/>
                <w:szCs w:val="22"/>
              </w:rPr>
              <w:t xml:space="preserve">Do you have the budget for the whole-of-life requirements for IoT? </w:t>
            </w:r>
          </w:p>
        </w:tc>
        <w:tc>
          <w:tcPr>
            <w:tcW w:w="0" w:type="dxa"/>
            <w:shd w:val="clear" w:color="auto" w:fill="FFFFFF" w:themeFill="background1"/>
          </w:tcPr>
          <w:p w14:paraId="035BC266" w14:textId="52AF340D" w:rsidR="0029742C" w:rsidRPr="00AC41E0" w:rsidRDefault="0029742C" w:rsidP="00A260D2">
            <w:pPr>
              <w:pStyle w:val="DCSbodytext"/>
              <w:ind w:left="0"/>
              <w:cnfStyle w:val="000000100000" w:firstRow="0" w:lastRow="0" w:firstColumn="0" w:lastColumn="0" w:oddVBand="0" w:evenVBand="0" w:oddHBand="1" w:evenHBand="0" w:firstRowFirstColumn="0" w:firstRowLastColumn="0" w:lastRowFirstColumn="0" w:lastRowLastColumn="0"/>
              <w:rPr>
                <w:rFonts w:cs="Arial"/>
                <w:szCs w:val="22"/>
              </w:rPr>
            </w:pPr>
            <w:r w:rsidRPr="00AC41E0">
              <w:rPr>
                <w:rFonts w:eastAsia="Calibri" w:cs="Arial"/>
                <w:szCs w:val="22"/>
              </w:rPr>
              <w:t>IoT-enabled projects do not end once the sensors have been purchased and installed</w:t>
            </w:r>
            <w:r w:rsidR="00A939BE" w:rsidRPr="00AC41E0">
              <w:rPr>
                <w:rFonts w:eastAsia="Calibri" w:cs="Arial"/>
                <w:szCs w:val="22"/>
              </w:rPr>
              <w:t>. D</w:t>
            </w:r>
            <w:r w:rsidRPr="00AC41E0">
              <w:rPr>
                <w:rFonts w:eastAsia="Calibri" w:cs="Arial"/>
                <w:szCs w:val="22"/>
              </w:rPr>
              <w:t xml:space="preserve">evices require ongoing maintenance, as does data and information that is collected. </w:t>
            </w:r>
          </w:p>
        </w:tc>
      </w:tr>
      <w:tr w:rsidR="002068CE" w:rsidRPr="00AC41E0" w14:paraId="768FA619" w14:textId="77777777" w:rsidTr="4E49D50C">
        <w:tc>
          <w:tcPr>
            <w:cnfStyle w:val="001000000000" w:firstRow="0" w:lastRow="0" w:firstColumn="1" w:lastColumn="0" w:oddVBand="0" w:evenVBand="0" w:oddHBand="0" w:evenHBand="0" w:firstRowFirstColumn="0" w:firstRowLastColumn="0" w:lastRowFirstColumn="0" w:lastRowLastColumn="0"/>
            <w:tcW w:w="1740" w:type="dxa"/>
            <w:vMerge w:val="restart"/>
            <w:shd w:val="clear" w:color="auto" w:fill="DBE5F1" w:themeFill="accent1" w:themeFillTint="33"/>
          </w:tcPr>
          <w:p w14:paraId="0542AF22" w14:textId="77777777" w:rsidR="0029742C" w:rsidRPr="00AC41E0" w:rsidRDefault="0029742C" w:rsidP="00F33137">
            <w:pPr>
              <w:pStyle w:val="DCSbodytext"/>
              <w:ind w:left="0"/>
            </w:pPr>
            <w:r w:rsidRPr="00AC41E0">
              <w:t>Systems and processes</w:t>
            </w:r>
          </w:p>
          <w:p w14:paraId="37F0F3FF" w14:textId="338FCC4B" w:rsidR="0029742C" w:rsidRPr="00AC41E0" w:rsidRDefault="0029742C" w:rsidP="0029742C">
            <w:pPr>
              <w:pStyle w:val="DCSbodytext"/>
              <w:ind w:left="0"/>
              <w:rPr>
                <w:rFonts w:cs="Arial"/>
                <w:szCs w:val="22"/>
              </w:rPr>
            </w:pPr>
          </w:p>
        </w:tc>
        <w:tc>
          <w:tcPr>
            <w:tcW w:w="1932" w:type="dxa"/>
            <w:shd w:val="clear" w:color="auto" w:fill="DBE5F1" w:themeFill="accent1" w:themeFillTint="33"/>
          </w:tcPr>
          <w:p w14:paraId="31CD572D" w14:textId="5A2D30E8" w:rsidR="0029742C" w:rsidRPr="00AC41E0" w:rsidRDefault="0029742C" w:rsidP="001729B5">
            <w:pPr>
              <w:pStyle w:val="DCSbodytext"/>
              <w:ind w:left="0"/>
              <w:cnfStyle w:val="000000000000" w:firstRow="0" w:lastRow="0" w:firstColumn="0" w:lastColumn="0" w:oddVBand="0" w:evenVBand="0" w:oddHBand="0" w:evenHBand="0" w:firstRowFirstColumn="0" w:firstRowLastColumn="0" w:lastRowFirstColumn="0" w:lastRowLastColumn="0"/>
              <w:rPr>
                <w:rFonts w:cs="Arial"/>
                <w:bCs/>
                <w:szCs w:val="22"/>
              </w:rPr>
            </w:pPr>
            <w:r w:rsidRPr="00AC41E0">
              <w:rPr>
                <w:rStyle w:val="Strong"/>
                <w:rFonts w:cs="Arial"/>
                <w:b w:val="0"/>
                <w:szCs w:val="22"/>
              </w:rPr>
              <w:t xml:space="preserve">How will your IoT solution interact with or impact on current </w:t>
            </w:r>
            <w:r w:rsidR="00E74CFE" w:rsidRPr="00AC41E0">
              <w:rPr>
                <w:rStyle w:val="Strong"/>
                <w:rFonts w:cs="Arial"/>
                <w:b w:val="0"/>
                <w:szCs w:val="22"/>
              </w:rPr>
              <w:t>a</w:t>
            </w:r>
            <w:r w:rsidR="00E74CFE" w:rsidRPr="00AC41E0">
              <w:rPr>
                <w:rStyle w:val="Strong"/>
                <w:rFonts w:cs="Arial"/>
                <w:b w:val="0"/>
              </w:rPr>
              <w:t xml:space="preserve">nd future </w:t>
            </w:r>
            <w:r w:rsidRPr="00AC41E0">
              <w:rPr>
                <w:rStyle w:val="Strong"/>
                <w:rFonts w:cs="Arial"/>
                <w:b w:val="0"/>
                <w:szCs w:val="22"/>
              </w:rPr>
              <w:t xml:space="preserve">systems and processes? </w:t>
            </w:r>
          </w:p>
        </w:tc>
        <w:tc>
          <w:tcPr>
            <w:tcW w:w="0" w:type="dxa"/>
            <w:shd w:val="clear" w:color="auto" w:fill="DBE5F1" w:themeFill="accent1" w:themeFillTint="33"/>
          </w:tcPr>
          <w:p w14:paraId="549365D0" w14:textId="77777777" w:rsidR="0029742C" w:rsidRPr="00AC41E0" w:rsidRDefault="0029742C" w:rsidP="009974AB">
            <w:pPr>
              <w:pStyle w:val="DCSbodytext"/>
              <w:ind w:left="0"/>
              <w:cnfStyle w:val="000000000000" w:firstRow="0" w:lastRow="0" w:firstColumn="0" w:lastColumn="0" w:oddVBand="0" w:evenVBand="0" w:oddHBand="0" w:evenHBand="0" w:firstRowFirstColumn="0" w:firstRowLastColumn="0" w:lastRowFirstColumn="0" w:lastRowLastColumn="0"/>
              <w:rPr>
                <w:rFonts w:eastAsia="Calibri" w:cs="Arial"/>
                <w:szCs w:val="22"/>
              </w:rPr>
            </w:pPr>
            <w:r w:rsidRPr="00AC41E0">
              <w:rPr>
                <w:rFonts w:eastAsia="Calibri" w:cs="Arial"/>
                <w:szCs w:val="22"/>
              </w:rPr>
              <w:t xml:space="preserve">An IoT solution is not a standalone process </w:t>
            </w:r>
            <w:r w:rsidR="006308EC" w:rsidRPr="00AC41E0">
              <w:rPr>
                <w:rFonts w:eastAsia="Calibri" w:cs="Arial"/>
                <w:szCs w:val="22"/>
              </w:rPr>
              <w:t>nor</w:t>
            </w:r>
            <w:r w:rsidRPr="00AC41E0">
              <w:rPr>
                <w:rFonts w:eastAsia="Calibri" w:cs="Arial"/>
                <w:szCs w:val="22"/>
              </w:rPr>
              <w:t xml:space="preserve"> </w:t>
            </w:r>
            <w:r w:rsidR="00510D17" w:rsidRPr="00AC41E0">
              <w:rPr>
                <w:rFonts w:eastAsia="Calibri" w:cs="Arial"/>
                <w:szCs w:val="22"/>
              </w:rPr>
              <w:t xml:space="preserve">a </w:t>
            </w:r>
            <w:r w:rsidRPr="00AC41E0">
              <w:rPr>
                <w:rFonts w:eastAsia="Calibri" w:cs="Arial"/>
                <w:szCs w:val="22"/>
              </w:rPr>
              <w:t>product</w:t>
            </w:r>
            <w:r w:rsidR="00A939BE" w:rsidRPr="00AC41E0">
              <w:rPr>
                <w:rFonts w:eastAsia="Calibri" w:cs="Arial"/>
                <w:szCs w:val="22"/>
              </w:rPr>
              <w:t>. I</w:t>
            </w:r>
            <w:r w:rsidRPr="00AC41E0">
              <w:rPr>
                <w:rFonts w:eastAsia="Calibri" w:cs="Arial"/>
                <w:szCs w:val="22"/>
              </w:rPr>
              <w:t xml:space="preserve">t will either become a part of your current systems or it will interact with them. This includes ICT, organisational, </w:t>
            </w:r>
            <w:r w:rsidRPr="00AC41E0">
              <w:rPr>
                <w:rFonts w:eastAsia="Calibri" w:cs="Arial"/>
                <w:szCs w:val="22"/>
              </w:rPr>
              <w:lastRenderedPageBreak/>
              <w:t>operational and financial systems and processes.</w:t>
            </w:r>
          </w:p>
          <w:p w14:paraId="2D963583" w14:textId="27895692" w:rsidR="00E74CFE" w:rsidRPr="00E46FB0" w:rsidRDefault="00E74CFE" w:rsidP="009974AB">
            <w:pPr>
              <w:pStyle w:val="DCSbodytext"/>
              <w:ind w:left="0"/>
              <w:cnfStyle w:val="000000000000" w:firstRow="0" w:lastRow="0" w:firstColumn="0" w:lastColumn="0" w:oddVBand="0" w:evenVBand="0" w:oddHBand="0" w:evenHBand="0" w:firstRowFirstColumn="0" w:firstRowLastColumn="0" w:lastRowFirstColumn="0" w:lastRowLastColumn="0"/>
              <w:rPr>
                <w:rFonts w:eastAsia="Calibri"/>
                <w:szCs w:val="22"/>
              </w:rPr>
            </w:pPr>
            <w:r w:rsidRPr="00AC41E0">
              <w:rPr>
                <w:rFonts w:eastAsia="Calibri"/>
                <w:szCs w:val="22"/>
              </w:rPr>
              <w:t>It is also important to</w:t>
            </w:r>
            <w:r w:rsidR="00B85570" w:rsidRPr="00AC41E0">
              <w:rPr>
                <w:rFonts w:eastAsia="Calibri"/>
                <w:szCs w:val="22"/>
              </w:rPr>
              <w:t xml:space="preserve"> </w:t>
            </w:r>
            <w:r w:rsidR="00995DF3" w:rsidRPr="00AC41E0">
              <w:rPr>
                <w:rFonts w:eastAsia="Calibri"/>
                <w:szCs w:val="22"/>
              </w:rPr>
              <w:t xml:space="preserve">plan for the rapid evolution of technology. This means </w:t>
            </w:r>
            <w:r w:rsidR="0036165D" w:rsidRPr="00AC41E0">
              <w:rPr>
                <w:rFonts w:eastAsia="Calibri"/>
                <w:szCs w:val="22"/>
              </w:rPr>
              <w:t xml:space="preserve">IoT solutions should be as </w:t>
            </w:r>
            <w:r w:rsidR="00052554" w:rsidRPr="00AC41E0">
              <w:rPr>
                <w:rFonts w:eastAsia="Calibri"/>
                <w:szCs w:val="22"/>
              </w:rPr>
              <w:t xml:space="preserve">technology </w:t>
            </w:r>
            <w:r w:rsidR="0036165D" w:rsidRPr="00AC41E0">
              <w:rPr>
                <w:rFonts w:eastAsia="Calibri"/>
                <w:szCs w:val="22"/>
              </w:rPr>
              <w:t xml:space="preserve">agnostic as possible to minimise the need for costly re-integrations and re-writes </w:t>
            </w:r>
            <w:r w:rsidR="008978BE" w:rsidRPr="00AC41E0">
              <w:rPr>
                <w:rFonts w:eastAsia="Calibri"/>
                <w:szCs w:val="22"/>
              </w:rPr>
              <w:t>when new tech</w:t>
            </w:r>
            <w:r w:rsidR="006F4BDB" w:rsidRPr="00AC41E0">
              <w:rPr>
                <w:rFonts w:eastAsia="Calibri"/>
                <w:szCs w:val="22"/>
              </w:rPr>
              <w:t>nol</w:t>
            </w:r>
            <w:r w:rsidR="00605C3D" w:rsidRPr="00AC41E0">
              <w:rPr>
                <w:rFonts w:eastAsia="Calibri"/>
                <w:szCs w:val="22"/>
              </w:rPr>
              <w:t xml:space="preserve">ogies </w:t>
            </w:r>
            <w:r w:rsidR="005555DF" w:rsidRPr="00AC41E0">
              <w:rPr>
                <w:rFonts w:eastAsia="Calibri"/>
                <w:szCs w:val="22"/>
              </w:rPr>
              <w:t>require</w:t>
            </w:r>
            <w:r w:rsidR="00605C3D" w:rsidRPr="00AC41E0">
              <w:rPr>
                <w:rFonts w:eastAsia="Calibri"/>
                <w:szCs w:val="22"/>
              </w:rPr>
              <w:t xml:space="preserve"> re</w:t>
            </w:r>
            <w:r w:rsidR="00406281" w:rsidRPr="00AC41E0">
              <w:rPr>
                <w:rFonts w:eastAsia="Calibri"/>
                <w:szCs w:val="22"/>
              </w:rPr>
              <w:t>-</w:t>
            </w:r>
            <w:r w:rsidR="005555DF" w:rsidRPr="00AC41E0">
              <w:rPr>
                <w:rFonts w:eastAsia="Calibri"/>
                <w:szCs w:val="22"/>
              </w:rPr>
              <w:t>fit</w:t>
            </w:r>
            <w:r w:rsidR="00605C3D" w:rsidRPr="00AC41E0">
              <w:rPr>
                <w:rFonts w:eastAsia="Calibri"/>
                <w:szCs w:val="22"/>
              </w:rPr>
              <w:t xml:space="preserve"> of old technology</w:t>
            </w:r>
            <w:r w:rsidR="003D20D7" w:rsidRPr="00E46FB0">
              <w:rPr>
                <w:rFonts w:eastAsia="Calibri"/>
                <w:szCs w:val="22"/>
              </w:rPr>
              <w:t xml:space="preserve"> </w:t>
            </w:r>
          </w:p>
        </w:tc>
      </w:tr>
      <w:tr w:rsidR="002308DF" w:rsidRPr="00AC41E0" w14:paraId="1E05926A" w14:textId="77777777" w:rsidTr="4E49D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vMerge/>
          </w:tcPr>
          <w:p w14:paraId="7FE4002B" w14:textId="54B3C615" w:rsidR="0029742C" w:rsidRPr="00AC41E0" w:rsidRDefault="0029742C" w:rsidP="00A260D2">
            <w:pPr>
              <w:pStyle w:val="DCSbodytext"/>
              <w:ind w:left="0"/>
              <w:rPr>
                <w:rFonts w:cs="Arial"/>
                <w:szCs w:val="22"/>
              </w:rPr>
            </w:pPr>
          </w:p>
        </w:tc>
        <w:tc>
          <w:tcPr>
            <w:tcW w:w="1932" w:type="dxa"/>
          </w:tcPr>
          <w:p w14:paraId="68E771D2" w14:textId="5B1B5C6E" w:rsidR="0029742C" w:rsidRPr="00AC41E0" w:rsidRDefault="0029742C" w:rsidP="00A260D2">
            <w:pPr>
              <w:pStyle w:val="DCSbodytext"/>
              <w:ind w:left="0"/>
              <w:cnfStyle w:val="000000100000" w:firstRow="0" w:lastRow="0" w:firstColumn="0" w:lastColumn="0" w:oddVBand="0" w:evenVBand="0" w:oddHBand="1" w:evenHBand="0" w:firstRowFirstColumn="0" w:firstRowLastColumn="0" w:lastRowFirstColumn="0" w:lastRowLastColumn="0"/>
              <w:rPr>
                <w:rFonts w:cs="Arial"/>
                <w:szCs w:val="22"/>
              </w:rPr>
            </w:pPr>
            <w:r w:rsidRPr="00AC41E0">
              <w:rPr>
                <w:rStyle w:val="Strong"/>
                <w:rFonts w:cs="Arial"/>
                <w:b w:val="0"/>
                <w:szCs w:val="22"/>
              </w:rPr>
              <w:t xml:space="preserve">Can you integrate the new IoT system into your existing system? </w:t>
            </w:r>
          </w:p>
        </w:tc>
        <w:tc>
          <w:tcPr>
            <w:tcW w:w="0" w:type="dxa"/>
          </w:tcPr>
          <w:p w14:paraId="12067D67" w14:textId="4A74861C" w:rsidR="0029742C" w:rsidRPr="00AC41E0" w:rsidRDefault="0029742C" w:rsidP="00A260D2">
            <w:pPr>
              <w:pStyle w:val="DCSbodytext"/>
              <w:ind w:left="0"/>
              <w:cnfStyle w:val="000000100000" w:firstRow="0" w:lastRow="0" w:firstColumn="0" w:lastColumn="0" w:oddVBand="0" w:evenVBand="0" w:oddHBand="1" w:evenHBand="0" w:firstRowFirstColumn="0" w:firstRowLastColumn="0" w:lastRowFirstColumn="0" w:lastRowLastColumn="0"/>
              <w:rPr>
                <w:rFonts w:cs="Arial"/>
                <w:szCs w:val="22"/>
              </w:rPr>
            </w:pPr>
            <w:r w:rsidRPr="00AC41E0">
              <w:rPr>
                <w:rFonts w:eastAsia="Calibri" w:cs="Arial"/>
                <w:szCs w:val="22"/>
              </w:rPr>
              <w:t xml:space="preserve">Will there be any issues with an IoT solution being implemented and integrated into your current systems? </w:t>
            </w:r>
          </w:p>
        </w:tc>
      </w:tr>
      <w:tr w:rsidR="002308DF" w:rsidRPr="00AC41E0" w14:paraId="05EDD8C3" w14:textId="77777777" w:rsidTr="4E49D50C">
        <w:tc>
          <w:tcPr>
            <w:cnfStyle w:val="001000000000" w:firstRow="0" w:lastRow="0" w:firstColumn="1" w:lastColumn="0" w:oddVBand="0" w:evenVBand="0" w:oddHBand="0" w:evenHBand="0" w:firstRowFirstColumn="0" w:firstRowLastColumn="0" w:lastRowFirstColumn="0" w:lastRowLastColumn="0"/>
            <w:tcW w:w="1740" w:type="dxa"/>
            <w:vMerge/>
          </w:tcPr>
          <w:p w14:paraId="56CEB69C" w14:textId="1E924E32" w:rsidR="0029742C" w:rsidRPr="00AC41E0" w:rsidRDefault="0029742C" w:rsidP="00A260D2">
            <w:pPr>
              <w:pStyle w:val="DCSbodytext"/>
              <w:ind w:left="0"/>
              <w:rPr>
                <w:rFonts w:cs="Arial"/>
                <w:szCs w:val="22"/>
              </w:rPr>
            </w:pPr>
          </w:p>
        </w:tc>
        <w:tc>
          <w:tcPr>
            <w:tcW w:w="1932" w:type="dxa"/>
            <w:shd w:val="clear" w:color="auto" w:fill="DBE5F1" w:themeFill="accent1" w:themeFillTint="33"/>
          </w:tcPr>
          <w:p w14:paraId="53407129" w14:textId="378C7A31" w:rsidR="0029742C" w:rsidRPr="00AC41E0" w:rsidRDefault="0029742C" w:rsidP="00A260D2">
            <w:pPr>
              <w:pStyle w:val="DCSbodytext"/>
              <w:ind w:left="0"/>
              <w:cnfStyle w:val="000000000000" w:firstRow="0" w:lastRow="0" w:firstColumn="0" w:lastColumn="0" w:oddVBand="0" w:evenVBand="0" w:oddHBand="0" w:evenHBand="0" w:firstRowFirstColumn="0" w:firstRowLastColumn="0" w:lastRowFirstColumn="0" w:lastRowLastColumn="0"/>
              <w:rPr>
                <w:rFonts w:cs="Arial"/>
                <w:bCs/>
                <w:szCs w:val="22"/>
              </w:rPr>
            </w:pPr>
            <w:r w:rsidRPr="00AC41E0">
              <w:rPr>
                <w:rStyle w:val="Strong"/>
                <w:rFonts w:cs="Arial"/>
                <w:b w:val="0"/>
                <w:szCs w:val="22"/>
              </w:rPr>
              <w:t xml:space="preserve">Is human intervention still required in the process? </w:t>
            </w:r>
          </w:p>
        </w:tc>
        <w:tc>
          <w:tcPr>
            <w:tcW w:w="0" w:type="dxa"/>
            <w:shd w:val="clear" w:color="auto" w:fill="DBE5F1" w:themeFill="accent1" w:themeFillTint="33"/>
          </w:tcPr>
          <w:p w14:paraId="6A4220B6" w14:textId="087D36C3" w:rsidR="0029742C" w:rsidRPr="00AC41E0" w:rsidRDefault="0029742C" w:rsidP="00A260D2">
            <w:pPr>
              <w:pStyle w:val="DCSbodytext"/>
              <w:ind w:left="0"/>
              <w:cnfStyle w:val="000000000000" w:firstRow="0" w:lastRow="0" w:firstColumn="0" w:lastColumn="0" w:oddVBand="0" w:evenVBand="0" w:oddHBand="0" w:evenHBand="0" w:firstRowFirstColumn="0" w:firstRowLastColumn="0" w:lastRowFirstColumn="0" w:lastRowLastColumn="0"/>
              <w:rPr>
                <w:rFonts w:cs="Arial"/>
                <w:szCs w:val="22"/>
              </w:rPr>
            </w:pPr>
            <w:r w:rsidRPr="00AC41E0">
              <w:rPr>
                <w:rFonts w:cs="Arial"/>
                <w:szCs w:val="22"/>
              </w:rPr>
              <w:t xml:space="preserve">If you install IoT devices, will you still require staff to attend the location for information collecting or other purposes? Think about whether installing an IoT solution makes a positive impact on the process and reduces the time required for employees to deliver the outcome. </w:t>
            </w:r>
          </w:p>
        </w:tc>
      </w:tr>
      <w:tr w:rsidR="002068CE" w:rsidRPr="00AC41E0" w14:paraId="22C00FDB" w14:textId="77777777" w:rsidTr="4E49D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vMerge w:val="restart"/>
            <w:shd w:val="clear" w:color="auto" w:fill="FFFFFF" w:themeFill="background1"/>
          </w:tcPr>
          <w:p w14:paraId="0B23CEFC" w14:textId="77777777" w:rsidR="0029742C" w:rsidRPr="00AC41E0" w:rsidRDefault="0029742C" w:rsidP="001729B5">
            <w:pPr>
              <w:pStyle w:val="DCSbodytext"/>
              <w:ind w:left="0"/>
              <w:rPr>
                <w:rFonts w:cs="Arial"/>
                <w:bCs w:val="0"/>
                <w:szCs w:val="22"/>
              </w:rPr>
            </w:pPr>
            <w:r w:rsidRPr="00AC41E0">
              <w:rPr>
                <w:rFonts w:cs="Arial"/>
                <w:szCs w:val="22"/>
              </w:rPr>
              <w:t>Risk</w:t>
            </w:r>
          </w:p>
          <w:p w14:paraId="10A160DF" w14:textId="538C078A" w:rsidR="0029742C" w:rsidRPr="00AC41E0" w:rsidRDefault="0029742C" w:rsidP="00A260D2">
            <w:pPr>
              <w:pStyle w:val="DCSbodytext"/>
              <w:ind w:left="0"/>
              <w:rPr>
                <w:rFonts w:cs="Arial"/>
                <w:szCs w:val="22"/>
              </w:rPr>
            </w:pPr>
          </w:p>
        </w:tc>
        <w:tc>
          <w:tcPr>
            <w:tcW w:w="1932" w:type="dxa"/>
            <w:shd w:val="clear" w:color="auto" w:fill="FFFFFF" w:themeFill="background1"/>
          </w:tcPr>
          <w:p w14:paraId="1A0E0F0D" w14:textId="5F42FDDD" w:rsidR="0029742C" w:rsidRPr="00AC41E0" w:rsidRDefault="0029742C" w:rsidP="001729B5">
            <w:pPr>
              <w:pStyle w:val="DCSbodytext"/>
              <w:ind w:left="0"/>
              <w:cnfStyle w:val="000000100000" w:firstRow="0" w:lastRow="0" w:firstColumn="0" w:lastColumn="0" w:oddVBand="0" w:evenVBand="0" w:oddHBand="1" w:evenHBand="0" w:firstRowFirstColumn="0" w:firstRowLastColumn="0" w:lastRowFirstColumn="0" w:lastRowLastColumn="0"/>
              <w:rPr>
                <w:rFonts w:cs="Arial"/>
                <w:szCs w:val="22"/>
              </w:rPr>
            </w:pPr>
            <w:r w:rsidRPr="00AC41E0">
              <w:rPr>
                <w:rStyle w:val="Strong"/>
                <w:rFonts w:cs="Arial"/>
                <w:b w:val="0"/>
                <w:bCs w:val="0"/>
                <w:szCs w:val="22"/>
              </w:rPr>
              <w:t xml:space="preserve">How critical is the system that you are planning on </w:t>
            </w:r>
            <w:r w:rsidR="00BA3344" w:rsidRPr="00AC41E0">
              <w:rPr>
                <w:rStyle w:val="Strong"/>
                <w:rFonts w:cs="Arial"/>
                <w:b w:val="0"/>
                <w:bCs w:val="0"/>
                <w:szCs w:val="22"/>
              </w:rPr>
              <w:t>u</w:t>
            </w:r>
            <w:r w:rsidR="00BA3344" w:rsidRPr="00AC41E0">
              <w:rPr>
                <w:rStyle w:val="Strong"/>
                <w:b w:val="0"/>
                <w:szCs w:val="22"/>
              </w:rPr>
              <w:t>sing</w:t>
            </w:r>
            <w:r w:rsidR="00BA3344" w:rsidRPr="00AC41E0">
              <w:rPr>
                <w:rStyle w:val="Strong"/>
                <w:rFonts w:cs="Arial"/>
                <w:b w:val="0"/>
                <w:bCs w:val="0"/>
                <w:szCs w:val="22"/>
              </w:rPr>
              <w:t xml:space="preserve"> </w:t>
            </w:r>
            <w:r w:rsidRPr="00AC41E0">
              <w:rPr>
                <w:rStyle w:val="Strong"/>
                <w:rFonts w:cs="Arial"/>
                <w:b w:val="0"/>
                <w:bCs w:val="0"/>
                <w:szCs w:val="22"/>
              </w:rPr>
              <w:t xml:space="preserve">IoT for? </w:t>
            </w:r>
          </w:p>
        </w:tc>
        <w:tc>
          <w:tcPr>
            <w:tcW w:w="0" w:type="dxa"/>
            <w:shd w:val="clear" w:color="auto" w:fill="FFFFFF" w:themeFill="background1"/>
          </w:tcPr>
          <w:p w14:paraId="28641681" w14:textId="5494924D" w:rsidR="0029742C" w:rsidRPr="00AC41E0" w:rsidRDefault="0029742C" w:rsidP="009974AB">
            <w:pPr>
              <w:pStyle w:val="DCSbodytext"/>
              <w:ind w:left="0"/>
              <w:cnfStyle w:val="000000100000" w:firstRow="0" w:lastRow="0" w:firstColumn="0" w:lastColumn="0" w:oddVBand="0" w:evenVBand="0" w:oddHBand="1" w:evenHBand="0" w:firstRowFirstColumn="0" w:firstRowLastColumn="0" w:lastRowFirstColumn="0" w:lastRowLastColumn="0"/>
              <w:rPr>
                <w:rFonts w:cs="Arial"/>
                <w:szCs w:val="22"/>
              </w:rPr>
            </w:pPr>
            <w:r w:rsidRPr="00AC41E0">
              <w:rPr>
                <w:rFonts w:eastAsia="Calibri" w:cs="Arial"/>
                <w:szCs w:val="22"/>
              </w:rPr>
              <w:t xml:space="preserve">If there is a network interruption or repairs are needed </w:t>
            </w:r>
            <w:r w:rsidR="00510D17" w:rsidRPr="00AC41E0">
              <w:rPr>
                <w:rFonts w:eastAsia="Calibri" w:cs="Arial"/>
                <w:szCs w:val="22"/>
              </w:rPr>
              <w:t xml:space="preserve">for </w:t>
            </w:r>
            <w:r w:rsidRPr="00AC41E0">
              <w:rPr>
                <w:rFonts w:eastAsia="Calibri" w:cs="Arial"/>
                <w:szCs w:val="22"/>
              </w:rPr>
              <w:t xml:space="preserve">the IoT device, will the disruption cause serious negative consequences? Will it cause other systems to fail? If the system and information </w:t>
            </w:r>
            <w:r w:rsidR="00510D17" w:rsidRPr="00AC41E0">
              <w:rPr>
                <w:rFonts w:eastAsia="Calibri" w:cs="Arial"/>
                <w:szCs w:val="22"/>
              </w:rPr>
              <w:t xml:space="preserve">are </w:t>
            </w:r>
            <w:r w:rsidRPr="00AC41E0">
              <w:rPr>
                <w:rFonts w:eastAsia="Calibri" w:cs="Arial"/>
                <w:szCs w:val="22"/>
              </w:rPr>
              <w:t>hacked, will critical information be at risk?</w:t>
            </w:r>
          </w:p>
        </w:tc>
      </w:tr>
      <w:tr w:rsidR="002308DF" w:rsidRPr="00AC41E0" w14:paraId="29D15497" w14:textId="77777777" w:rsidTr="4E49D50C">
        <w:tc>
          <w:tcPr>
            <w:cnfStyle w:val="001000000000" w:firstRow="0" w:lastRow="0" w:firstColumn="1" w:lastColumn="0" w:oddVBand="0" w:evenVBand="0" w:oddHBand="0" w:evenHBand="0" w:firstRowFirstColumn="0" w:firstRowLastColumn="0" w:lastRowFirstColumn="0" w:lastRowLastColumn="0"/>
            <w:tcW w:w="1740" w:type="dxa"/>
            <w:vMerge/>
          </w:tcPr>
          <w:p w14:paraId="3D2D18DA" w14:textId="1099934C" w:rsidR="0029742C" w:rsidRPr="00AC41E0" w:rsidRDefault="0029742C" w:rsidP="00A260D2">
            <w:pPr>
              <w:pStyle w:val="DCSbodytext"/>
              <w:ind w:left="0"/>
              <w:rPr>
                <w:rFonts w:cs="Arial"/>
                <w:szCs w:val="22"/>
              </w:rPr>
            </w:pPr>
          </w:p>
        </w:tc>
        <w:tc>
          <w:tcPr>
            <w:tcW w:w="1932" w:type="dxa"/>
            <w:shd w:val="clear" w:color="auto" w:fill="FFFFFF" w:themeFill="background1"/>
          </w:tcPr>
          <w:p w14:paraId="061F4A4D" w14:textId="2B5B3021" w:rsidR="0029742C" w:rsidRPr="00AC41E0" w:rsidRDefault="0029742C" w:rsidP="00A260D2">
            <w:pPr>
              <w:pStyle w:val="DCSbodytext"/>
              <w:ind w:left="0"/>
              <w:cnfStyle w:val="000000000000" w:firstRow="0" w:lastRow="0" w:firstColumn="0" w:lastColumn="0" w:oddVBand="0" w:evenVBand="0" w:oddHBand="0" w:evenHBand="0" w:firstRowFirstColumn="0" w:firstRowLastColumn="0" w:lastRowFirstColumn="0" w:lastRowLastColumn="0"/>
              <w:rPr>
                <w:rFonts w:cs="Arial"/>
                <w:szCs w:val="22"/>
              </w:rPr>
            </w:pPr>
            <w:r w:rsidRPr="00AC41E0">
              <w:rPr>
                <w:rStyle w:val="Strong"/>
                <w:rFonts w:cs="Arial"/>
                <w:b w:val="0"/>
                <w:bCs w:val="0"/>
                <w:szCs w:val="22"/>
              </w:rPr>
              <w:t>How sensitive is the data you need to collect?</w:t>
            </w:r>
          </w:p>
        </w:tc>
        <w:tc>
          <w:tcPr>
            <w:tcW w:w="0" w:type="dxa"/>
            <w:shd w:val="clear" w:color="auto" w:fill="FFFFFF" w:themeFill="background1"/>
          </w:tcPr>
          <w:p w14:paraId="79721D0C" w14:textId="64E6DADB" w:rsidR="0029742C" w:rsidRPr="00AC41E0" w:rsidRDefault="0029742C" w:rsidP="00A260D2">
            <w:pPr>
              <w:pStyle w:val="DCSbodytext"/>
              <w:ind w:left="0"/>
              <w:cnfStyle w:val="000000000000" w:firstRow="0" w:lastRow="0" w:firstColumn="0" w:lastColumn="0" w:oddVBand="0" w:evenVBand="0" w:oddHBand="0" w:evenHBand="0" w:firstRowFirstColumn="0" w:firstRowLastColumn="0" w:lastRowFirstColumn="0" w:lastRowLastColumn="0"/>
              <w:rPr>
                <w:rFonts w:cs="Arial"/>
                <w:szCs w:val="22"/>
              </w:rPr>
            </w:pPr>
            <w:r w:rsidRPr="00AC41E0">
              <w:rPr>
                <w:rFonts w:eastAsia="Calibri" w:cs="Arial"/>
                <w:szCs w:val="22"/>
              </w:rPr>
              <w:t xml:space="preserve">Will device encryption be enough to protect the data you are collecting, or are you </w:t>
            </w:r>
            <w:r w:rsidRPr="00AC41E0">
              <w:rPr>
                <w:rFonts w:eastAsia="Calibri" w:cs="Arial"/>
                <w:szCs w:val="22"/>
              </w:rPr>
              <w:lastRenderedPageBreak/>
              <w:t>working in a sensitive area where certain information should not be collected and transmitted by IoT devices?</w:t>
            </w:r>
          </w:p>
        </w:tc>
      </w:tr>
      <w:tr w:rsidR="002068CE" w:rsidRPr="00AC41E0" w14:paraId="2815C9DF" w14:textId="77777777" w:rsidTr="4E49D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vMerge/>
          </w:tcPr>
          <w:p w14:paraId="5EA6E8D0" w14:textId="5D013CF3" w:rsidR="0029742C" w:rsidRPr="00AC41E0" w:rsidRDefault="0029742C" w:rsidP="00A260D2">
            <w:pPr>
              <w:pStyle w:val="DCSbodytext"/>
              <w:ind w:left="0"/>
              <w:rPr>
                <w:rFonts w:cs="Arial"/>
                <w:szCs w:val="22"/>
              </w:rPr>
            </w:pPr>
          </w:p>
        </w:tc>
        <w:tc>
          <w:tcPr>
            <w:tcW w:w="1932" w:type="dxa"/>
            <w:shd w:val="clear" w:color="auto" w:fill="FFFFFF" w:themeFill="background1"/>
          </w:tcPr>
          <w:p w14:paraId="443E6A19" w14:textId="79447DC0" w:rsidR="0029742C" w:rsidRPr="00AC41E0" w:rsidRDefault="0029742C" w:rsidP="00A260D2">
            <w:pPr>
              <w:pStyle w:val="DCSbodytext"/>
              <w:ind w:left="0"/>
              <w:cnfStyle w:val="000000100000" w:firstRow="0" w:lastRow="0" w:firstColumn="0" w:lastColumn="0" w:oddVBand="0" w:evenVBand="0" w:oddHBand="1" w:evenHBand="0" w:firstRowFirstColumn="0" w:firstRowLastColumn="0" w:lastRowFirstColumn="0" w:lastRowLastColumn="0"/>
              <w:rPr>
                <w:rFonts w:cs="Arial"/>
                <w:szCs w:val="22"/>
              </w:rPr>
            </w:pPr>
            <w:r w:rsidRPr="00AC41E0">
              <w:rPr>
                <w:rFonts w:eastAsia="Calibri" w:cs="Arial"/>
                <w:szCs w:val="22"/>
              </w:rPr>
              <w:t xml:space="preserve">Do you know how to make decisions about how to appropriately share your data and protect any personal or sensitive information? </w:t>
            </w:r>
          </w:p>
        </w:tc>
        <w:tc>
          <w:tcPr>
            <w:tcW w:w="0" w:type="dxa"/>
            <w:shd w:val="clear" w:color="auto" w:fill="FFFFFF" w:themeFill="background1"/>
          </w:tcPr>
          <w:p w14:paraId="2979288F" w14:textId="5771C9D1" w:rsidR="0029742C" w:rsidRPr="00AC41E0" w:rsidRDefault="0029742C" w:rsidP="00A260D2">
            <w:pPr>
              <w:pStyle w:val="DCSbodytext"/>
              <w:ind w:left="0"/>
              <w:cnfStyle w:val="000000100000" w:firstRow="0" w:lastRow="0" w:firstColumn="0" w:lastColumn="0" w:oddVBand="0" w:evenVBand="0" w:oddHBand="1" w:evenHBand="0" w:firstRowFirstColumn="0" w:firstRowLastColumn="0" w:lastRowFirstColumn="0" w:lastRowLastColumn="0"/>
              <w:rPr>
                <w:rFonts w:cs="Arial"/>
                <w:szCs w:val="22"/>
              </w:rPr>
            </w:pPr>
            <w:r w:rsidRPr="00AC41E0">
              <w:rPr>
                <w:rFonts w:eastAsia="Calibri" w:cs="Arial"/>
                <w:szCs w:val="22"/>
              </w:rPr>
              <w:t xml:space="preserve">Data gathered for </w:t>
            </w:r>
            <w:r w:rsidR="00E30CB3" w:rsidRPr="00AC41E0">
              <w:rPr>
                <w:rFonts w:eastAsia="Calibri" w:cs="Arial"/>
                <w:szCs w:val="22"/>
              </w:rPr>
              <w:t xml:space="preserve">a </w:t>
            </w:r>
            <w:r w:rsidRPr="00AC41E0">
              <w:rPr>
                <w:rFonts w:eastAsia="Calibri" w:cs="Arial"/>
                <w:szCs w:val="22"/>
              </w:rPr>
              <w:t xml:space="preserve">project may contain sensitive information. You need to </w:t>
            </w:r>
            <w:r w:rsidR="004E49F2" w:rsidRPr="00AC41E0">
              <w:rPr>
                <w:rFonts w:eastAsia="Calibri" w:cs="Arial"/>
                <w:szCs w:val="22"/>
              </w:rPr>
              <w:t>k</w:t>
            </w:r>
            <w:r w:rsidR="004E49F2" w:rsidRPr="00AC41E0">
              <w:rPr>
                <w:rFonts w:eastAsia="Calibri" w:cs="Arial"/>
              </w:rPr>
              <w:t>now</w:t>
            </w:r>
            <w:r w:rsidR="004E49F2" w:rsidRPr="00AC41E0">
              <w:rPr>
                <w:rFonts w:eastAsia="Calibri" w:cs="Arial"/>
                <w:szCs w:val="22"/>
              </w:rPr>
              <w:t xml:space="preserve"> </w:t>
            </w:r>
            <w:r w:rsidRPr="00AC41E0">
              <w:rPr>
                <w:rFonts w:eastAsia="Calibri" w:cs="Arial"/>
                <w:szCs w:val="22"/>
              </w:rPr>
              <w:t>how to preserve privacy and trust while sharing data with others.</w:t>
            </w:r>
          </w:p>
        </w:tc>
      </w:tr>
    </w:tbl>
    <w:p w14:paraId="0B239819" w14:textId="6F8EA10A" w:rsidR="00D36746" w:rsidRPr="00AC41E0" w:rsidRDefault="00D36746" w:rsidP="001729B5">
      <w:pPr>
        <w:pStyle w:val="DCSbodytext"/>
        <w:rPr>
          <w:rFonts w:cs="Arial"/>
        </w:rPr>
      </w:pPr>
    </w:p>
    <w:p w14:paraId="5B394CCF" w14:textId="760607DD" w:rsidR="00660813" w:rsidRPr="00AC41E0" w:rsidRDefault="00660813">
      <w:pPr>
        <w:rPr>
          <w:rFonts w:ascii="Arial" w:hAnsi="Arial"/>
          <w:sz w:val="22"/>
          <w:lang w:eastAsia="en-US"/>
        </w:rPr>
      </w:pPr>
      <w:r w:rsidRPr="00AC41E0">
        <w:br w:type="page"/>
      </w:r>
    </w:p>
    <w:p w14:paraId="275252B6" w14:textId="77777777" w:rsidR="00CD5A7C" w:rsidRPr="00AC41E0" w:rsidRDefault="00CD5A7C" w:rsidP="00CD5A7C">
      <w:pPr>
        <w:pStyle w:val="DCSbodytext"/>
        <w:ind w:left="0"/>
        <w:rPr>
          <w:b/>
        </w:rPr>
        <w:sectPr w:rsidR="00CD5A7C" w:rsidRPr="00AC41E0" w:rsidSect="003F2365">
          <w:pgSz w:w="16838" w:h="11906" w:orient="landscape"/>
          <w:pgMar w:top="1134" w:right="1418" w:bottom="1134" w:left="1134" w:header="851" w:footer="425" w:gutter="0"/>
          <w:cols w:space="708"/>
          <w:titlePg/>
          <w:docGrid w:linePitch="360"/>
        </w:sectPr>
      </w:pPr>
    </w:p>
    <w:tbl>
      <w:tblPr>
        <w:tblStyle w:val="TableGrid"/>
        <w:tblW w:w="8788" w:type="dxa"/>
        <w:tblInd w:w="842" w:type="dxa"/>
        <w:shd w:val="clear" w:color="auto" w:fill="D9D9D9" w:themeFill="background1" w:themeFillShade="D9"/>
        <w:tblLook w:val="04A0" w:firstRow="1" w:lastRow="0" w:firstColumn="1" w:lastColumn="0" w:noHBand="0" w:noVBand="1"/>
      </w:tblPr>
      <w:tblGrid>
        <w:gridCol w:w="8788"/>
      </w:tblGrid>
      <w:tr w:rsidR="002A1681" w:rsidRPr="00AC41E0" w14:paraId="37143B71" w14:textId="77777777" w:rsidTr="00CD5A7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449124" w14:textId="274BF066" w:rsidR="002A1681" w:rsidRPr="00AC41E0" w:rsidRDefault="002A1681" w:rsidP="00217741">
            <w:pPr>
              <w:pStyle w:val="DCSbodytext"/>
              <w:ind w:left="0"/>
              <w:jc w:val="center"/>
              <w:rPr>
                <w:b/>
              </w:rPr>
            </w:pPr>
            <w:r w:rsidRPr="00AC41E0">
              <w:rPr>
                <w:b/>
              </w:rPr>
              <w:lastRenderedPageBreak/>
              <w:t>Case Study – Sydney Water’s digital metering trial</w:t>
            </w:r>
          </w:p>
          <w:p w14:paraId="2180FA28" w14:textId="2F13EEAD" w:rsidR="002A1681" w:rsidRPr="00AC41E0" w:rsidRDefault="002A1681" w:rsidP="00BA085F">
            <w:pPr>
              <w:pStyle w:val="DCSbodytext"/>
              <w:spacing w:after="120"/>
              <w:ind w:left="0"/>
            </w:pPr>
            <w:r w:rsidRPr="00AC41E0">
              <w:t>Sydney Water is trialling digital metering to test the technical reliability, connectivity</w:t>
            </w:r>
            <w:r w:rsidR="00510D17" w:rsidRPr="00AC41E0">
              <w:t>,</w:t>
            </w:r>
            <w:r w:rsidRPr="00AC41E0">
              <w:t xml:space="preserve"> and handling of different digital metering solutions for non-mission critical monitoring activities. </w:t>
            </w:r>
          </w:p>
          <w:p w14:paraId="6C098F78" w14:textId="5F2F19B8" w:rsidR="002A1681" w:rsidRPr="00AC41E0" w:rsidRDefault="002A1681" w:rsidP="00BA085F">
            <w:pPr>
              <w:pStyle w:val="DCSbodytext"/>
              <w:spacing w:after="120"/>
              <w:ind w:left="0"/>
            </w:pPr>
            <w:r w:rsidRPr="00AC41E0">
              <w:t xml:space="preserve">Sydney Water explored various technologies </w:t>
            </w:r>
            <w:r w:rsidR="00B07EA2" w:rsidRPr="00AC41E0">
              <w:t>in the first phase of the trial</w:t>
            </w:r>
            <w:r w:rsidRPr="00AC41E0">
              <w:t>:</w:t>
            </w:r>
          </w:p>
          <w:p w14:paraId="45D1DE9D" w14:textId="77777777" w:rsidR="002A1681" w:rsidRPr="00AC41E0" w:rsidRDefault="002A1681" w:rsidP="00BA085F">
            <w:pPr>
              <w:pStyle w:val="DCSbodytext"/>
              <w:numPr>
                <w:ilvl w:val="0"/>
                <w:numId w:val="172"/>
              </w:numPr>
              <w:spacing w:after="120"/>
            </w:pPr>
            <w:r w:rsidRPr="00AC41E0">
              <w:t>retrofits for mechanical meters</w:t>
            </w:r>
          </w:p>
          <w:p w14:paraId="1F55F5CB" w14:textId="77777777" w:rsidR="002A1681" w:rsidRPr="00AC41E0" w:rsidRDefault="002A1681" w:rsidP="00BA085F">
            <w:pPr>
              <w:pStyle w:val="DCSbodytext"/>
              <w:numPr>
                <w:ilvl w:val="0"/>
                <w:numId w:val="172"/>
              </w:numPr>
              <w:spacing w:after="120"/>
            </w:pPr>
            <w:r w:rsidRPr="00AC41E0">
              <w:t>digital/smart meters</w:t>
            </w:r>
          </w:p>
          <w:p w14:paraId="3FC32E89" w14:textId="77777777" w:rsidR="002A1681" w:rsidRPr="00AC41E0" w:rsidRDefault="002A1681" w:rsidP="00BA085F">
            <w:pPr>
              <w:pStyle w:val="DCSbodytext"/>
              <w:numPr>
                <w:ilvl w:val="0"/>
                <w:numId w:val="172"/>
              </w:numPr>
              <w:spacing w:after="120"/>
            </w:pPr>
            <w:r w:rsidRPr="00AC41E0">
              <w:t>Smart Meters with integrated pressure and temperature sensors</w:t>
            </w:r>
          </w:p>
          <w:p w14:paraId="3DDD03AE" w14:textId="77777777" w:rsidR="002A1681" w:rsidRPr="00AC41E0" w:rsidRDefault="002A1681" w:rsidP="00BA085F">
            <w:pPr>
              <w:pStyle w:val="DCSbodytext"/>
              <w:numPr>
                <w:ilvl w:val="0"/>
                <w:numId w:val="172"/>
              </w:numPr>
              <w:ind w:left="357" w:hanging="357"/>
            </w:pPr>
            <w:r w:rsidRPr="00AC41E0">
              <w:t>80 digital meters fitted to residential and commercial sites.</w:t>
            </w:r>
          </w:p>
          <w:p w14:paraId="6DE27A2B" w14:textId="3D50D16C" w:rsidR="00CE2646" w:rsidRPr="00AC41E0" w:rsidRDefault="009C5332" w:rsidP="00913639">
            <w:pPr>
              <w:rPr>
                <w:rFonts w:ascii="Arial" w:hAnsi="Arial"/>
                <w:sz w:val="22"/>
                <w:lang w:eastAsia="en-US"/>
              </w:rPr>
            </w:pPr>
            <w:r w:rsidRPr="00AC41E0">
              <w:rPr>
                <w:rFonts w:ascii="Arial" w:hAnsi="Arial"/>
                <w:sz w:val="22"/>
                <w:lang w:eastAsia="en-US"/>
              </w:rPr>
              <w:t>Sydney Water deployed a</w:t>
            </w:r>
            <w:r w:rsidR="003D22EC" w:rsidRPr="00AC41E0">
              <w:rPr>
                <w:rFonts w:ascii="Arial" w:hAnsi="Arial"/>
                <w:sz w:val="22"/>
                <w:lang w:eastAsia="en-US"/>
              </w:rPr>
              <w:t>round 1500 sensors</w:t>
            </w:r>
            <w:r w:rsidR="000C37ED" w:rsidRPr="00AC41E0">
              <w:rPr>
                <w:rFonts w:ascii="Arial" w:hAnsi="Arial"/>
                <w:sz w:val="22"/>
                <w:lang w:eastAsia="en-US"/>
              </w:rPr>
              <w:t xml:space="preserve"> </w:t>
            </w:r>
            <w:r w:rsidRPr="00AC41E0">
              <w:rPr>
                <w:rFonts w:ascii="Arial" w:hAnsi="Arial"/>
                <w:sz w:val="22"/>
                <w:lang w:eastAsia="en-US"/>
              </w:rPr>
              <w:t>into the field</w:t>
            </w:r>
            <w:r w:rsidR="00871956" w:rsidRPr="00AC41E0">
              <w:rPr>
                <w:rFonts w:ascii="Arial" w:hAnsi="Arial"/>
                <w:sz w:val="22"/>
                <w:lang w:eastAsia="en-US"/>
              </w:rPr>
              <w:t>, i</w:t>
            </w:r>
            <w:r w:rsidR="008E7C6E" w:rsidRPr="00AC41E0">
              <w:rPr>
                <w:rFonts w:ascii="Arial" w:hAnsi="Arial"/>
                <w:sz w:val="22"/>
                <w:lang w:eastAsia="en-US"/>
              </w:rPr>
              <w:t>ncluding sewer level sensors in high-risk areas and digital flow meters on customer properties.</w:t>
            </w:r>
            <w:r w:rsidR="00F92DC5" w:rsidRPr="00AC41E0">
              <w:rPr>
                <w:rFonts w:ascii="Arial" w:hAnsi="Arial"/>
                <w:sz w:val="22"/>
                <w:lang w:eastAsia="en-US"/>
              </w:rPr>
              <w:t xml:space="preserve"> </w:t>
            </w:r>
            <w:r w:rsidR="00CE2646" w:rsidRPr="00AC41E0">
              <w:rPr>
                <w:rFonts w:ascii="Arial" w:hAnsi="Arial"/>
                <w:sz w:val="22"/>
                <w:lang w:eastAsia="en-US"/>
              </w:rPr>
              <w:t xml:space="preserve">The trials showed some early benefits; for example, the system detected a number of blockages in sewers which </w:t>
            </w:r>
            <w:r w:rsidR="0050158E" w:rsidRPr="00AC41E0">
              <w:rPr>
                <w:rFonts w:ascii="Arial" w:hAnsi="Arial"/>
                <w:sz w:val="22"/>
                <w:lang w:eastAsia="en-US"/>
              </w:rPr>
              <w:t>Sydney Water</w:t>
            </w:r>
            <w:r w:rsidR="00CE2646" w:rsidRPr="00AC41E0">
              <w:rPr>
                <w:rFonts w:ascii="Arial" w:hAnsi="Arial"/>
                <w:sz w:val="22"/>
                <w:lang w:eastAsia="en-US"/>
              </w:rPr>
              <w:t xml:space="preserve"> crews could clear before customers or the environment were impacted.</w:t>
            </w:r>
          </w:p>
          <w:p w14:paraId="5403318A" w14:textId="77777777" w:rsidR="00CE2646" w:rsidRPr="00AC41E0" w:rsidRDefault="00CE2646" w:rsidP="00913639">
            <w:pPr>
              <w:rPr>
                <w:rFonts w:ascii="Arial" w:hAnsi="Arial"/>
                <w:sz w:val="22"/>
                <w:lang w:eastAsia="en-US"/>
              </w:rPr>
            </w:pPr>
          </w:p>
          <w:p w14:paraId="5EC2F2E7" w14:textId="711C14FE" w:rsidR="00E8303A" w:rsidRPr="00AC41E0" w:rsidRDefault="00F92DC5" w:rsidP="00FA05D2">
            <w:r w:rsidRPr="00AC41E0">
              <w:rPr>
                <w:rFonts w:ascii="Arial" w:hAnsi="Arial"/>
                <w:sz w:val="22"/>
                <w:lang w:eastAsia="en-US"/>
              </w:rPr>
              <w:t>As at June 2020</w:t>
            </w:r>
            <w:r w:rsidR="00C720E6" w:rsidRPr="00AC41E0">
              <w:rPr>
                <w:rFonts w:ascii="Arial" w:hAnsi="Arial"/>
                <w:sz w:val="22"/>
                <w:lang w:eastAsia="en-US"/>
              </w:rPr>
              <w:t xml:space="preserve">, </w:t>
            </w:r>
            <w:r w:rsidR="008A7605" w:rsidRPr="00AC41E0">
              <w:rPr>
                <w:rFonts w:ascii="Arial" w:hAnsi="Arial"/>
                <w:sz w:val="22"/>
                <w:lang w:eastAsia="en-US"/>
              </w:rPr>
              <w:t>the next phase of the trial will deploy</w:t>
            </w:r>
            <w:r w:rsidR="006B3674" w:rsidRPr="00AC41E0">
              <w:rPr>
                <w:rFonts w:ascii="Arial" w:hAnsi="Arial"/>
                <w:sz w:val="22"/>
                <w:lang w:eastAsia="en-US"/>
              </w:rPr>
              <w:t xml:space="preserve"> </w:t>
            </w:r>
            <w:r w:rsidR="00B37575" w:rsidRPr="00AC41E0">
              <w:rPr>
                <w:rFonts w:ascii="Arial" w:hAnsi="Arial"/>
                <w:sz w:val="22"/>
                <w:lang w:eastAsia="en-US"/>
              </w:rPr>
              <w:t>‘</w:t>
            </w:r>
            <w:r w:rsidR="00871B77" w:rsidRPr="00AC41E0">
              <w:rPr>
                <w:rFonts w:ascii="Arial" w:hAnsi="Arial"/>
                <w:sz w:val="22"/>
                <w:lang w:eastAsia="en-US"/>
              </w:rPr>
              <w:t>thousands</w:t>
            </w:r>
            <w:r w:rsidR="00B37575" w:rsidRPr="00AC41E0">
              <w:rPr>
                <w:rFonts w:ascii="Arial" w:hAnsi="Arial"/>
                <w:sz w:val="22"/>
                <w:lang w:eastAsia="en-US"/>
              </w:rPr>
              <w:t>’</w:t>
            </w:r>
            <w:r w:rsidR="00871B77" w:rsidRPr="00AC41E0">
              <w:rPr>
                <w:rFonts w:ascii="Arial" w:hAnsi="Arial"/>
                <w:sz w:val="22"/>
                <w:lang w:eastAsia="en-US"/>
              </w:rPr>
              <w:t xml:space="preserve"> mor</w:t>
            </w:r>
            <w:r w:rsidR="00B37575" w:rsidRPr="00AC41E0">
              <w:rPr>
                <w:rFonts w:ascii="Arial" w:hAnsi="Arial"/>
                <w:sz w:val="22"/>
                <w:lang w:eastAsia="en-US"/>
              </w:rPr>
              <w:t>e</w:t>
            </w:r>
            <w:r w:rsidR="008C1E89" w:rsidRPr="00AC41E0">
              <w:rPr>
                <w:rFonts w:ascii="Arial" w:hAnsi="Arial"/>
                <w:sz w:val="22"/>
                <w:lang w:eastAsia="en-US"/>
              </w:rPr>
              <w:t xml:space="preserve"> of the sensors</w:t>
            </w:r>
            <w:r w:rsidR="00144AD7" w:rsidRPr="00AC41E0">
              <w:rPr>
                <w:rFonts w:ascii="Arial" w:hAnsi="Arial"/>
                <w:sz w:val="22"/>
                <w:lang w:eastAsia="en-US"/>
              </w:rPr>
              <w:t xml:space="preserve"> to </w:t>
            </w:r>
            <w:r w:rsidR="002A1681" w:rsidRPr="00AC41E0">
              <w:rPr>
                <w:rFonts w:ascii="Arial" w:hAnsi="Arial"/>
                <w:sz w:val="22"/>
                <w:lang w:eastAsia="en-US"/>
              </w:rPr>
              <w:t>l gather more robust insights on how digital metering can support Sydney Water’s objectives of general water consumption reduction, asset investment deferral and reduction of system losses and network leakage.</w:t>
            </w:r>
            <w:r w:rsidR="00913639" w:rsidRPr="00AC41E0">
              <w:rPr>
                <w:rFonts w:ascii="Arial" w:hAnsi="Arial"/>
                <w:sz w:val="22"/>
                <w:lang w:eastAsia="en-US"/>
              </w:rPr>
              <w:t xml:space="preserve"> </w:t>
            </w:r>
          </w:p>
          <w:p w14:paraId="62E2EFBE" w14:textId="7F78F7AF" w:rsidR="00E8303A" w:rsidRPr="00AC41E0" w:rsidRDefault="00E8303A" w:rsidP="00FA05D2"/>
        </w:tc>
      </w:tr>
    </w:tbl>
    <w:p w14:paraId="4AB41B5B" w14:textId="77777777" w:rsidR="00217741" w:rsidRPr="00AC41E0" w:rsidRDefault="00217741" w:rsidP="002A1681">
      <w:pPr>
        <w:pStyle w:val="DCSbodytext"/>
        <w:spacing w:after="0"/>
      </w:pPr>
    </w:p>
    <w:p w14:paraId="10045BE6" w14:textId="2C93AF55" w:rsidR="00CF2A62" w:rsidRPr="00AC41E0" w:rsidRDefault="005A6A8F" w:rsidP="00BC5438">
      <w:pPr>
        <w:pStyle w:val="Heading2"/>
        <w:tabs>
          <w:tab w:val="clear" w:pos="5188"/>
          <w:tab w:val="num" w:pos="794"/>
        </w:tabs>
        <w:ind w:left="851"/>
      </w:pPr>
      <w:bookmarkStart w:id="389" w:name="_Skills_and_expertise"/>
      <w:bookmarkStart w:id="390" w:name="_Toc65760480"/>
      <w:bookmarkEnd w:id="389"/>
      <w:r w:rsidRPr="00AC41E0">
        <w:t>Skills and expertise</w:t>
      </w:r>
      <w:bookmarkEnd w:id="390"/>
    </w:p>
    <w:p w14:paraId="1946418F" w14:textId="27B6B4A5" w:rsidR="00174587" w:rsidRPr="00AC41E0" w:rsidRDefault="00174587" w:rsidP="0022369F">
      <w:pPr>
        <w:pStyle w:val="DCSbodytext"/>
        <w:rPr>
          <w:lang w:eastAsia="en-AU"/>
        </w:rPr>
      </w:pPr>
      <w:r w:rsidRPr="00AC41E0">
        <w:rPr>
          <w:lang w:eastAsia="en-AU"/>
        </w:rPr>
        <w:t xml:space="preserve">This chapter </w:t>
      </w:r>
      <w:r w:rsidR="00815EB6" w:rsidRPr="00AC41E0">
        <w:rPr>
          <w:lang w:eastAsia="en-AU"/>
        </w:rPr>
        <w:t xml:space="preserve">will help </w:t>
      </w:r>
      <w:r w:rsidRPr="00AC41E0">
        <w:rPr>
          <w:lang w:eastAsia="en-AU"/>
        </w:rPr>
        <w:t xml:space="preserve">you consider what skills and expertise your project team may need at different points </w:t>
      </w:r>
      <w:r w:rsidR="00332FB5" w:rsidRPr="00AC41E0">
        <w:rPr>
          <w:lang w:eastAsia="en-AU"/>
        </w:rPr>
        <w:t>in the</w:t>
      </w:r>
      <w:r w:rsidR="00815EB6" w:rsidRPr="00AC41E0">
        <w:rPr>
          <w:lang w:eastAsia="en-AU"/>
        </w:rPr>
        <w:t xml:space="preserve"> lifecycle of your</w:t>
      </w:r>
      <w:r w:rsidRPr="00AC41E0">
        <w:rPr>
          <w:lang w:eastAsia="en-AU"/>
        </w:rPr>
        <w:t xml:space="preserve"> </w:t>
      </w:r>
      <w:r w:rsidR="003D5E9D" w:rsidRPr="00AC41E0">
        <w:rPr>
          <w:lang w:eastAsia="en-AU"/>
        </w:rPr>
        <w:t>IoT-enabled project</w:t>
      </w:r>
      <w:r w:rsidR="00815EB6" w:rsidRPr="00AC41E0">
        <w:rPr>
          <w:lang w:eastAsia="en-AU"/>
        </w:rPr>
        <w:t xml:space="preserve">. It provides advice </w:t>
      </w:r>
      <w:r w:rsidRPr="00AC41E0">
        <w:rPr>
          <w:lang w:eastAsia="en-AU"/>
        </w:rPr>
        <w:t>on ways to address any gaps</w:t>
      </w:r>
      <w:r w:rsidR="0028490A" w:rsidRPr="00AC41E0">
        <w:t>.</w:t>
      </w:r>
    </w:p>
    <w:p w14:paraId="5261198C" w14:textId="0E340521" w:rsidR="005A6A8F" w:rsidRPr="00AC41E0" w:rsidRDefault="00DB596B" w:rsidP="005A6A8F">
      <w:pPr>
        <w:pStyle w:val="Heading3"/>
        <w:rPr>
          <w:rFonts w:ascii="Arial" w:hAnsi="Arial"/>
        </w:rPr>
      </w:pPr>
      <w:bookmarkStart w:id="391" w:name="_Toc65760481"/>
      <w:r w:rsidRPr="00AC41E0">
        <w:rPr>
          <w:rFonts w:ascii="Arial" w:hAnsi="Arial"/>
        </w:rPr>
        <w:t>S</w:t>
      </w:r>
      <w:r w:rsidR="00A66A46" w:rsidRPr="00AC41E0">
        <w:rPr>
          <w:rFonts w:ascii="Arial" w:hAnsi="Arial"/>
        </w:rPr>
        <w:t>kills and expertise required to roll out an IoT</w:t>
      </w:r>
      <w:r w:rsidR="00B75419" w:rsidRPr="00AC41E0">
        <w:rPr>
          <w:rFonts w:ascii="Arial" w:hAnsi="Arial"/>
        </w:rPr>
        <w:t>-enabled</w:t>
      </w:r>
      <w:r w:rsidR="00A66A46" w:rsidRPr="00AC41E0">
        <w:rPr>
          <w:rFonts w:ascii="Arial" w:hAnsi="Arial"/>
        </w:rPr>
        <w:t xml:space="preserve"> project</w:t>
      </w:r>
      <w:bookmarkEnd w:id="391"/>
    </w:p>
    <w:p w14:paraId="71008337" w14:textId="6F3FDD32" w:rsidR="00504980" w:rsidRPr="00AC41E0" w:rsidRDefault="00504980" w:rsidP="00504980">
      <w:pPr>
        <w:pStyle w:val="DCSbodytext"/>
      </w:pPr>
      <w:r w:rsidRPr="00AC41E0">
        <w:t>When thinking about resources and skills</w:t>
      </w:r>
      <w:r w:rsidR="002224A2" w:rsidRPr="00AC41E0">
        <w:t xml:space="preserve"> you need to consider</w:t>
      </w:r>
      <w:r w:rsidRPr="00AC41E0">
        <w:t xml:space="preserve"> whole of life resourcing needs. Whole of life resources include the time and labour required to plan for, deliver, maintain and assess your project. </w:t>
      </w:r>
    </w:p>
    <w:p w14:paraId="3BB6CCF1" w14:textId="361D145F" w:rsidR="00504980" w:rsidRPr="00AC41E0" w:rsidRDefault="00504980" w:rsidP="00504980">
      <w:pPr>
        <w:pStyle w:val="DCSbodytext"/>
      </w:pPr>
      <w:r w:rsidRPr="00AC41E0">
        <w:t xml:space="preserve">The specific skillset required for your </w:t>
      </w:r>
      <w:r w:rsidR="003D5E9D" w:rsidRPr="00AC41E0">
        <w:t>project</w:t>
      </w:r>
      <w:r w:rsidRPr="00AC41E0">
        <w:t xml:space="preserve"> will depend on your knowledge and experience, the type of IoT solution you are implementing, what you intend to do with the data</w:t>
      </w:r>
      <w:r w:rsidR="006A28C5" w:rsidRPr="00AC41E0">
        <w:t xml:space="preserve"> collected</w:t>
      </w:r>
      <w:r w:rsidRPr="00AC41E0">
        <w:t xml:space="preserve">, and whether devices exist that meet your needs.  </w:t>
      </w:r>
    </w:p>
    <w:p w14:paraId="6EE10C0B" w14:textId="14A33F01" w:rsidR="00504980" w:rsidRPr="00AC41E0" w:rsidRDefault="00504980" w:rsidP="00664CAD">
      <w:pPr>
        <w:pStyle w:val="DCSbodytext"/>
        <w:spacing w:after="120"/>
      </w:pPr>
      <w:r w:rsidRPr="00AC41E0">
        <w:t xml:space="preserve">Implementing your </w:t>
      </w:r>
      <w:r w:rsidR="003D5E9D" w:rsidRPr="00AC41E0">
        <w:t>project</w:t>
      </w:r>
      <w:r w:rsidRPr="00AC41E0">
        <w:t xml:space="preserve"> may require a broad spectrum of skills in areas including, but not limited to:</w:t>
      </w:r>
    </w:p>
    <w:p w14:paraId="4A9801AC" w14:textId="79FE9AF8" w:rsidR="00504980" w:rsidRPr="00AC41E0" w:rsidRDefault="00504980" w:rsidP="00003096">
      <w:pPr>
        <w:pStyle w:val="DCSbodytext"/>
        <w:numPr>
          <w:ilvl w:val="0"/>
          <w:numId w:val="162"/>
        </w:numPr>
        <w:spacing w:after="120"/>
      </w:pPr>
      <w:r w:rsidRPr="00AC41E0">
        <w:rPr>
          <w:i/>
        </w:rPr>
        <w:t>Data</w:t>
      </w:r>
      <w:r w:rsidR="00391037" w:rsidRPr="00AC41E0">
        <w:t xml:space="preserve">: </w:t>
      </w:r>
      <w:r w:rsidR="00B0500C" w:rsidRPr="00AC41E0">
        <w:t>T</w:t>
      </w:r>
      <w:r w:rsidRPr="00AC41E0">
        <w:t>o assist with determining your data requirements and ensure they are met. The collection, processing, analysis, presentation and interpretation of IoT data and insights requires a range of specialist skills. Key roles include:</w:t>
      </w:r>
    </w:p>
    <w:p w14:paraId="4485111B" w14:textId="77777777" w:rsidR="00504980" w:rsidRPr="00AC41E0" w:rsidRDefault="00504980" w:rsidP="00003096">
      <w:pPr>
        <w:pStyle w:val="DCSbodytext"/>
        <w:numPr>
          <w:ilvl w:val="1"/>
          <w:numId w:val="162"/>
        </w:numPr>
        <w:spacing w:after="120"/>
        <w:ind w:left="1560" w:hanging="426"/>
      </w:pPr>
      <w:r w:rsidRPr="00AC41E0">
        <w:t>Business domain experts</w:t>
      </w:r>
    </w:p>
    <w:p w14:paraId="3FEE08AF" w14:textId="75D26214" w:rsidR="00504980" w:rsidRPr="00AC41E0" w:rsidRDefault="00504980" w:rsidP="00003096">
      <w:pPr>
        <w:pStyle w:val="DCSbodytext"/>
        <w:numPr>
          <w:ilvl w:val="1"/>
          <w:numId w:val="162"/>
        </w:numPr>
        <w:spacing w:after="120"/>
        <w:ind w:left="1560" w:hanging="426"/>
      </w:pPr>
      <w:r w:rsidRPr="00AC41E0">
        <w:t>Data architects, engineers, analysts, scientists, visualisers</w:t>
      </w:r>
      <w:r w:rsidR="00510D17" w:rsidRPr="00AC41E0">
        <w:t>,</w:t>
      </w:r>
      <w:r w:rsidRPr="00AC41E0">
        <w:t xml:space="preserve"> and storytellers</w:t>
      </w:r>
    </w:p>
    <w:p w14:paraId="29CFED2E" w14:textId="23097DE5" w:rsidR="00504980" w:rsidRPr="00AC41E0" w:rsidRDefault="00504980" w:rsidP="00003096">
      <w:pPr>
        <w:pStyle w:val="DCSbodytext"/>
        <w:numPr>
          <w:ilvl w:val="0"/>
          <w:numId w:val="162"/>
        </w:numPr>
        <w:spacing w:after="120"/>
      </w:pPr>
      <w:r w:rsidRPr="00AC41E0">
        <w:rPr>
          <w:i/>
        </w:rPr>
        <w:lastRenderedPageBreak/>
        <w:t>Cyber security</w:t>
      </w:r>
      <w:r w:rsidR="00B0500C" w:rsidRPr="00AC41E0">
        <w:rPr>
          <w:i/>
        </w:rPr>
        <w:t xml:space="preserve">: </w:t>
      </w:r>
      <w:r w:rsidR="00B0500C" w:rsidRPr="00AC41E0">
        <w:t>T</w:t>
      </w:r>
      <w:r w:rsidRPr="00AC41E0">
        <w:t xml:space="preserve">o </w:t>
      </w:r>
      <w:r w:rsidR="00F126FE" w:rsidRPr="00AC41E0">
        <w:t>verify</w:t>
      </w:r>
      <w:r w:rsidRPr="00AC41E0">
        <w:t xml:space="preserve"> that your IoT solution is safe and secure</w:t>
      </w:r>
    </w:p>
    <w:p w14:paraId="28CABBC1" w14:textId="784F4D79" w:rsidR="00504980" w:rsidRPr="00AC41E0" w:rsidRDefault="00504980" w:rsidP="00003096">
      <w:pPr>
        <w:pStyle w:val="DCSbodytext"/>
        <w:numPr>
          <w:ilvl w:val="0"/>
          <w:numId w:val="162"/>
        </w:numPr>
        <w:spacing w:after="120"/>
      </w:pPr>
      <w:r w:rsidRPr="00AC41E0">
        <w:rPr>
          <w:i/>
        </w:rPr>
        <w:t>Privacy</w:t>
      </w:r>
      <w:r w:rsidR="00B0500C" w:rsidRPr="00AC41E0">
        <w:rPr>
          <w:i/>
        </w:rPr>
        <w:t>:</w:t>
      </w:r>
      <w:r w:rsidRPr="00AC41E0">
        <w:t xml:space="preserve"> </w:t>
      </w:r>
      <w:r w:rsidR="00B0500C" w:rsidRPr="00AC41E0">
        <w:t>T</w:t>
      </w:r>
      <w:r w:rsidRPr="00AC41E0">
        <w:t>o help ensure that your IoT solution is compliant with privacy legislation</w:t>
      </w:r>
    </w:p>
    <w:p w14:paraId="04919DE1" w14:textId="4FD8E2D1" w:rsidR="00504980" w:rsidRPr="00AC41E0" w:rsidRDefault="00504980" w:rsidP="00003096">
      <w:pPr>
        <w:pStyle w:val="DCSbodytext"/>
        <w:numPr>
          <w:ilvl w:val="0"/>
          <w:numId w:val="162"/>
        </w:numPr>
        <w:spacing w:after="120"/>
      </w:pPr>
      <w:r w:rsidRPr="00AC41E0">
        <w:rPr>
          <w:i/>
        </w:rPr>
        <w:t>Legal</w:t>
      </w:r>
      <w:r w:rsidR="00B0500C" w:rsidRPr="00AC41E0">
        <w:t>: T</w:t>
      </w:r>
      <w:r w:rsidRPr="00AC41E0">
        <w:t xml:space="preserve">o </w:t>
      </w:r>
      <w:r w:rsidR="00025BC7" w:rsidRPr="00AC41E0">
        <w:t xml:space="preserve">check </w:t>
      </w:r>
      <w:r w:rsidRPr="00AC41E0">
        <w:t>that all legislative obligations are met</w:t>
      </w:r>
    </w:p>
    <w:p w14:paraId="61626E25" w14:textId="4E825919" w:rsidR="00504980" w:rsidRPr="00AC41E0" w:rsidRDefault="00504980" w:rsidP="00003096">
      <w:pPr>
        <w:pStyle w:val="DCSbodytext"/>
        <w:numPr>
          <w:ilvl w:val="0"/>
          <w:numId w:val="162"/>
        </w:numPr>
        <w:spacing w:after="120"/>
      </w:pPr>
      <w:r w:rsidRPr="00AC41E0">
        <w:rPr>
          <w:i/>
        </w:rPr>
        <w:t>Procurement</w:t>
      </w:r>
      <w:r w:rsidR="00B0500C" w:rsidRPr="00AC41E0">
        <w:rPr>
          <w:i/>
        </w:rPr>
        <w:t>:</w:t>
      </w:r>
      <w:r w:rsidR="00B0500C" w:rsidRPr="00AC41E0">
        <w:t xml:space="preserve"> T</w:t>
      </w:r>
      <w:r w:rsidRPr="00AC41E0">
        <w:t>o assist with procuring the elements of the IoT ecosystem</w:t>
      </w:r>
    </w:p>
    <w:p w14:paraId="18285E21" w14:textId="2BD1BF8F" w:rsidR="00504980" w:rsidRPr="00AC41E0" w:rsidRDefault="00504980" w:rsidP="00003096">
      <w:pPr>
        <w:pStyle w:val="DCSbodytext"/>
        <w:numPr>
          <w:ilvl w:val="0"/>
          <w:numId w:val="162"/>
        </w:numPr>
        <w:spacing w:after="120"/>
      </w:pPr>
      <w:r w:rsidRPr="00AC41E0">
        <w:rPr>
          <w:i/>
        </w:rPr>
        <w:t>Finance</w:t>
      </w:r>
      <w:r w:rsidR="00B0500C" w:rsidRPr="00AC41E0">
        <w:rPr>
          <w:i/>
        </w:rPr>
        <w:t>:</w:t>
      </w:r>
      <w:r w:rsidR="00B0500C" w:rsidRPr="00AC41E0">
        <w:t xml:space="preserve"> T</w:t>
      </w:r>
      <w:r w:rsidRPr="00AC41E0">
        <w:t>o assist with cost</w:t>
      </w:r>
      <w:r w:rsidR="00585157" w:rsidRPr="00AC41E0">
        <w:t>-</w:t>
      </w:r>
      <w:r w:rsidRPr="00AC41E0">
        <w:t>benefit analysis, budgeting, economic evaluation and audit</w:t>
      </w:r>
    </w:p>
    <w:p w14:paraId="5FAFE5E9" w14:textId="28AE8CD2" w:rsidR="00504980" w:rsidRPr="00AC41E0" w:rsidRDefault="00504980" w:rsidP="00003096">
      <w:pPr>
        <w:pStyle w:val="DCSbodytext"/>
        <w:numPr>
          <w:ilvl w:val="0"/>
          <w:numId w:val="162"/>
        </w:numPr>
        <w:spacing w:after="120"/>
      </w:pPr>
      <w:r w:rsidRPr="00AC41E0">
        <w:rPr>
          <w:i/>
        </w:rPr>
        <w:t>Evaluation and audit</w:t>
      </w:r>
      <w:r w:rsidR="00B0500C" w:rsidRPr="00AC41E0">
        <w:rPr>
          <w:i/>
        </w:rPr>
        <w:t>:</w:t>
      </w:r>
      <w:r w:rsidRPr="00AC41E0">
        <w:t xml:space="preserve"> </w:t>
      </w:r>
      <w:r w:rsidR="00B0500C" w:rsidRPr="00AC41E0">
        <w:t>T</w:t>
      </w:r>
      <w:r w:rsidRPr="00AC41E0">
        <w:t>o conduct an independent evaluation and/or audit, or to assist with doing so</w:t>
      </w:r>
    </w:p>
    <w:p w14:paraId="6A0147D2" w14:textId="59B822CD" w:rsidR="00151289" w:rsidRPr="00AC41E0" w:rsidRDefault="00151289" w:rsidP="00003096">
      <w:pPr>
        <w:pStyle w:val="DCSbodytext"/>
        <w:numPr>
          <w:ilvl w:val="0"/>
          <w:numId w:val="162"/>
        </w:numPr>
        <w:spacing w:after="120"/>
        <w:ind w:left="1151" w:hanging="357"/>
      </w:pPr>
      <w:r w:rsidRPr="00AC41E0">
        <w:rPr>
          <w:i/>
        </w:rPr>
        <w:t>Field installation and maintenance staff</w:t>
      </w:r>
      <w:r w:rsidRPr="00AC41E0">
        <w:t xml:space="preserve">: </w:t>
      </w:r>
      <w:r w:rsidR="000862AE" w:rsidRPr="00AC41E0">
        <w:t>T</w:t>
      </w:r>
      <w:r w:rsidRPr="00AC41E0">
        <w:t>o install and maintain sensors and/or network equipment</w:t>
      </w:r>
    </w:p>
    <w:p w14:paraId="7A14183F" w14:textId="70948003" w:rsidR="00504980" w:rsidRPr="00AC41E0" w:rsidRDefault="00504980" w:rsidP="00003096">
      <w:pPr>
        <w:pStyle w:val="DCSbodytext"/>
        <w:numPr>
          <w:ilvl w:val="0"/>
          <w:numId w:val="162"/>
        </w:numPr>
        <w:spacing w:after="120"/>
      </w:pPr>
      <w:r w:rsidRPr="00AC41E0">
        <w:rPr>
          <w:i/>
        </w:rPr>
        <w:t>Technology skills</w:t>
      </w:r>
      <w:r w:rsidR="00B0500C" w:rsidRPr="00AC41E0">
        <w:rPr>
          <w:i/>
        </w:rPr>
        <w:t xml:space="preserve">: </w:t>
      </w:r>
      <w:r w:rsidR="00B0500C" w:rsidRPr="00AC41E0">
        <w:t>O</w:t>
      </w:r>
      <w:r w:rsidRPr="00AC41E0">
        <w:t>btaining specialist technology input will ensure that necessary infrastructure and tools are in place to support your project requirements, such as data modelling and processing, secure information transmission and storage, and integration and analytics</w:t>
      </w:r>
      <w:r w:rsidR="001C1026" w:rsidRPr="00AC41E0">
        <w:t>.</w:t>
      </w:r>
      <w:r w:rsidR="00612683" w:rsidRPr="00AC41E0">
        <w:t xml:space="preserve"> Specialist skills are useful for:</w:t>
      </w:r>
    </w:p>
    <w:p w14:paraId="6FF32BB5" w14:textId="0D80147B" w:rsidR="00504980" w:rsidRPr="00AC41E0" w:rsidRDefault="00504980" w:rsidP="00003096">
      <w:pPr>
        <w:pStyle w:val="DCSbodytext"/>
        <w:numPr>
          <w:ilvl w:val="1"/>
          <w:numId w:val="162"/>
        </w:numPr>
        <w:spacing w:after="120"/>
        <w:ind w:left="1560" w:hanging="426"/>
      </w:pPr>
      <w:r w:rsidRPr="00AC41E0">
        <w:t>Hardware interfacing</w:t>
      </w:r>
      <w:r w:rsidR="00770DD4" w:rsidRPr="00AC41E0">
        <w:t>: t</w:t>
      </w:r>
      <w:r w:rsidRPr="00AC41E0">
        <w:t xml:space="preserve">o </w:t>
      </w:r>
      <w:r w:rsidR="00B4667B" w:rsidRPr="00AC41E0">
        <w:t>interface sensors and tra</w:t>
      </w:r>
      <w:r w:rsidR="006A1299" w:rsidRPr="00AC41E0">
        <w:t>nsmitters</w:t>
      </w:r>
    </w:p>
    <w:p w14:paraId="5EE0C4A6" w14:textId="059E6244" w:rsidR="00504980" w:rsidRPr="00AC41E0" w:rsidRDefault="00504980" w:rsidP="00003096">
      <w:pPr>
        <w:pStyle w:val="DCSbodytext"/>
        <w:numPr>
          <w:ilvl w:val="1"/>
          <w:numId w:val="162"/>
        </w:numPr>
        <w:spacing w:after="120"/>
        <w:ind w:left="1560" w:hanging="426"/>
      </w:pPr>
      <w:r w:rsidRPr="00AC41E0">
        <w:t>IP networking</w:t>
      </w:r>
      <w:r w:rsidR="00770DD4" w:rsidRPr="00AC41E0">
        <w:t xml:space="preserve">: </w:t>
      </w:r>
      <w:r w:rsidRPr="00AC41E0">
        <w:t xml:space="preserve">to set up the network used to communicate information </w:t>
      </w:r>
    </w:p>
    <w:p w14:paraId="6FE504EB" w14:textId="282C8B4B" w:rsidR="00504980" w:rsidRPr="00AC41E0" w:rsidRDefault="00504980" w:rsidP="00003096">
      <w:pPr>
        <w:pStyle w:val="DCSbodytext"/>
        <w:numPr>
          <w:ilvl w:val="1"/>
          <w:numId w:val="162"/>
        </w:numPr>
        <w:spacing w:after="120"/>
        <w:ind w:left="1560" w:hanging="426"/>
      </w:pPr>
      <w:r w:rsidRPr="00AC41E0">
        <w:t>UI/UX design</w:t>
      </w:r>
      <w:r w:rsidR="00770DD4" w:rsidRPr="00AC41E0">
        <w:t xml:space="preserve">: </w:t>
      </w:r>
      <w:r w:rsidRPr="00AC41E0">
        <w:t xml:space="preserve">to design the interfaces between the IoT device and the user </w:t>
      </w:r>
    </w:p>
    <w:p w14:paraId="3FFAABCC" w14:textId="6F1DE748" w:rsidR="00504980" w:rsidRPr="00AC41E0" w:rsidRDefault="00504980" w:rsidP="00003096">
      <w:pPr>
        <w:pStyle w:val="DCSbodytext"/>
        <w:numPr>
          <w:ilvl w:val="1"/>
          <w:numId w:val="162"/>
        </w:numPr>
        <w:spacing w:after="120"/>
        <w:ind w:left="1560" w:hanging="426"/>
      </w:pPr>
      <w:r w:rsidRPr="00AC41E0">
        <w:t>Reference architecture</w:t>
      </w:r>
      <w:r w:rsidR="00770DD4" w:rsidRPr="00AC41E0">
        <w:t xml:space="preserve">: </w:t>
      </w:r>
      <w:r w:rsidRPr="00AC41E0">
        <w:t xml:space="preserve">to set up the architecture for the IoT solution and ensure that your IoT solution fits within the broader organisational architecture </w:t>
      </w:r>
    </w:p>
    <w:p w14:paraId="40EE3FD8" w14:textId="081F0DD5" w:rsidR="006A1299" w:rsidRPr="00AC41E0" w:rsidRDefault="00504980" w:rsidP="00003096">
      <w:pPr>
        <w:pStyle w:val="DCSbodytext"/>
        <w:numPr>
          <w:ilvl w:val="1"/>
          <w:numId w:val="162"/>
        </w:numPr>
        <w:ind w:left="1560" w:hanging="426"/>
      </w:pPr>
      <w:r w:rsidRPr="00AC41E0">
        <w:t xml:space="preserve">Machine learning and </w:t>
      </w:r>
      <w:r w:rsidR="00770DD4" w:rsidRPr="00AC41E0">
        <w:t>artificial intelligence:</w:t>
      </w:r>
      <w:r w:rsidRPr="00AC41E0">
        <w:t xml:space="preserve"> to work with the data received</w:t>
      </w:r>
    </w:p>
    <w:p w14:paraId="0E9D97D7" w14:textId="081BEF3D" w:rsidR="00504980" w:rsidRPr="00AC41E0" w:rsidRDefault="006A1299" w:rsidP="00003096">
      <w:pPr>
        <w:pStyle w:val="DCSbodytext"/>
        <w:numPr>
          <w:ilvl w:val="1"/>
          <w:numId w:val="162"/>
        </w:numPr>
        <w:ind w:left="1560" w:hanging="426"/>
      </w:pPr>
      <w:r w:rsidRPr="00AC41E0">
        <w:t xml:space="preserve">System configuration: </w:t>
      </w:r>
      <w:r w:rsidR="004A3A8A" w:rsidRPr="00AC41E0">
        <w:t>t</w:t>
      </w:r>
      <w:r w:rsidRPr="00AC41E0">
        <w:t>o program and configure IoT devices at all levels of the ecosystem</w:t>
      </w:r>
      <w:r w:rsidR="00E1578E" w:rsidRPr="00AC41E0">
        <w:t>.</w:t>
      </w:r>
    </w:p>
    <w:p w14:paraId="4ED6C7B4" w14:textId="7DA2496B" w:rsidR="00504980" w:rsidRPr="00AC41E0" w:rsidRDefault="005F386B" w:rsidP="00F33137">
      <w:pPr>
        <w:pStyle w:val="DCSbodytext"/>
        <w:ind w:left="1701"/>
        <w:rPr>
          <w:i/>
        </w:rPr>
      </w:pPr>
      <w:r w:rsidRPr="00E46FB0">
        <w:rPr>
          <w:i/>
          <w:noProof/>
        </w:rPr>
        <w:drawing>
          <wp:anchor distT="0" distB="0" distL="114300" distR="114300" simplePos="0" relativeHeight="251658270" behindDoc="1" locked="0" layoutInCell="1" allowOverlap="1" wp14:anchorId="1EF1033F" wp14:editId="1E02A272">
            <wp:simplePos x="0" y="0"/>
            <wp:positionH relativeFrom="margin">
              <wp:posOffset>567805</wp:posOffset>
            </wp:positionH>
            <wp:positionV relativeFrom="paragraph">
              <wp:posOffset>44161</wp:posOffset>
            </wp:positionV>
            <wp:extent cx="450850" cy="450850"/>
            <wp:effectExtent l="0" t="0" r="0" b="6350"/>
            <wp:wrapTight wrapText="bothSides">
              <wp:wrapPolygon edited="0">
                <wp:start x="8214" y="0"/>
                <wp:lineTo x="1825" y="3651"/>
                <wp:lineTo x="0" y="9127"/>
                <wp:lineTo x="1825" y="15515"/>
                <wp:lineTo x="7301" y="20992"/>
                <wp:lineTo x="12777" y="20992"/>
                <wp:lineTo x="19166" y="15515"/>
                <wp:lineTo x="20079" y="10039"/>
                <wp:lineTo x="17341" y="3651"/>
                <wp:lineTo x="12777" y="0"/>
                <wp:lineTo x="8214" y="0"/>
              </wp:wrapPolygon>
            </wp:wrapTight>
            <wp:docPr id="531754503" name="Graphic 531754503"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r w:rsidRPr="00E46FB0">
        <w:rPr>
          <w:i/>
          <w:iCs/>
        </w:rPr>
        <w:t xml:space="preserve">Tip: </w:t>
      </w:r>
      <w:r w:rsidR="00504980" w:rsidRPr="00E46FB0">
        <w:rPr>
          <w:i/>
          <w:iCs/>
        </w:rPr>
        <w:t xml:space="preserve">IoT experts exist and </w:t>
      </w:r>
      <w:r w:rsidR="00670850" w:rsidRPr="00AC41E0">
        <w:rPr>
          <w:i/>
          <w:iCs/>
        </w:rPr>
        <w:t xml:space="preserve">may </w:t>
      </w:r>
      <w:r w:rsidR="00504980" w:rsidRPr="00AC41E0">
        <w:rPr>
          <w:i/>
          <w:iCs/>
        </w:rPr>
        <w:t xml:space="preserve">have a combination of the above skills. </w:t>
      </w:r>
      <w:r w:rsidR="0007578F" w:rsidRPr="00AC41E0">
        <w:rPr>
          <w:i/>
          <w:iCs/>
        </w:rPr>
        <w:t>If you have the resources, y</w:t>
      </w:r>
      <w:r w:rsidR="005C11A0" w:rsidRPr="00AC41E0">
        <w:rPr>
          <w:i/>
          <w:iCs/>
        </w:rPr>
        <w:t xml:space="preserve">ou may </w:t>
      </w:r>
      <w:r w:rsidR="0007578F" w:rsidRPr="00AC41E0">
        <w:rPr>
          <w:i/>
          <w:iCs/>
        </w:rPr>
        <w:t>choose to engage a specialist consultant who has the skills and experience you require</w:t>
      </w:r>
      <w:r w:rsidRPr="00AC41E0">
        <w:rPr>
          <w:i/>
          <w:iCs/>
        </w:rPr>
        <w:t xml:space="preserve">. Check </w:t>
      </w:r>
      <w:r w:rsidR="00E73324" w:rsidRPr="00AC41E0">
        <w:rPr>
          <w:i/>
          <w:iCs/>
        </w:rPr>
        <w:t>that they have the experience</w:t>
      </w:r>
      <w:r w:rsidR="009B3444" w:rsidRPr="00AC41E0">
        <w:rPr>
          <w:i/>
          <w:iCs/>
        </w:rPr>
        <w:t xml:space="preserve"> (prefer</w:t>
      </w:r>
      <w:r w:rsidR="00657D17" w:rsidRPr="00AC41E0">
        <w:rPr>
          <w:i/>
          <w:iCs/>
        </w:rPr>
        <w:t>a</w:t>
      </w:r>
      <w:r w:rsidR="009B3444" w:rsidRPr="00AC41E0">
        <w:rPr>
          <w:i/>
          <w:iCs/>
        </w:rPr>
        <w:t>bly in your subject area)</w:t>
      </w:r>
      <w:r w:rsidR="00E73324" w:rsidRPr="00AC41E0">
        <w:rPr>
          <w:i/>
          <w:iCs/>
        </w:rPr>
        <w:t xml:space="preserve">, good references and </w:t>
      </w:r>
      <w:r w:rsidRPr="00AC41E0">
        <w:rPr>
          <w:i/>
          <w:iCs/>
        </w:rPr>
        <w:t>a sound reputation.</w:t>
      </w:r>
    </w:p>
    <w:p w14:paraId="1362AE0B" w14:textId="2C128DC8" w:rsidR="00A66A46" w:rsidRPr="00AC41E0" w:rsidRDefault="00C47E25">
      <w:pPr>
        <w:pStyle w:val="Heading3"/>
        <w:rPr>
          <w:rFonts w:ascii="Arial" w:hAnsi="Arial"/>
        </w:rPr>
      </w:pPr>
      <w:bookmarkStart w:id="392" w:name="_Toc18336818"/>
      <w:bookmarkStart w:id="393" w:name="_Toc18338098"/>
      <w:bookmarkStart w:id="394" w:name="_Toc65760482"/>
      <w:bookmarkEnd w:id="392"/>
      <w:bookmarkEnd w:id="393"/>
      <w:r w:rsidRPr="00AC41E0">
        <w:rPr>
          <w:rFonts w:ascii="Arial" w:hAnsi="Arial"/>
        </w:rPr>
        <w:t>Engaging</w:t>
      </w:r>
      <w:r w:rsidR="00A66A46" w:rsidRPr="00AC41E0">
        <w:rPr>
          <w:rFonts w:ascii="Arial" w:hAnsi="Arial"/>
        </w:rPr>
        <w:t xml:space="preserve"> with experts</w:t>
      </w:r>
      <w:bookmarkEnd w:id="394"/>
    </w:p>
    <w:p w14:paraId="79878FF0" w14:textId="3293BE21" w:rsidR="00271E70" w:rsidRPr="00AC41E0" w:rsidRDefault="00AE1888" w:rsidP="00F33137">
      <w:pPr>
        <w:pStyle w:val="DCSbodytext"/>
      </w:pPr>
      <w:r w:rsidRPr="00AC41E0">
        <w:t xml:space="preserve">It is unlikely you will require all the skills </w:t>
      </w:r>
      <w:r w:rsidR="009A0C8F" w:rsidRPr="00AC41E0">
        <w:t xml:space="preserve">listed in this chapter throughout your entire </w:t>
      </w:r>
      <w:r w:rsidRPr="00AC41E0">
        <w:t xml:space="preserve">project. </w:t>
      </w:r>
      <w:r w:rsidR="00C67BA7" w:rsidRPr="00AC41E0">
        <w:t xml:space="preserve">If you do not have the relevant skills within your team, </w:t>
      </w:r>
      <w:r w:rsidRPr="00AC41E0">
        <w:t xml:space="preserve">you may wish to engage experts. </w:t>
      </w:r>
    </w:p>
    <w:p w14:paraId="25F4C42F" w14:textId="3E2F91EF" w:rsidR="00AE1888" w:rsidRPr="00AC41E0" w:rsidRDefault="001B436E">
      <w:pPr>
        <w:pStyle w:val="DCSbodytext"/>
      </w:pPr>
      <w:r w:rsidRPr="00AC41E0">
        <w:t>L</w:t>
      </w:r>
      <w:r w:rsidR="00AE1888" w:rsidRPr="00AC41E0">
        <w:t xml:space="preserve">ook within your </w:t>
      </w:r>
      <w:r w:rsidR="003A15C5" w:rsidRPr="00AC41E0">
        <w:t xml:space="preserve">organisation </w:t>
      </w:r>
      <w:r w:rsidR="00AE1888" w:rsidRPr="00AC41E0">
        <w:t>for internal expertise</w:t>
      </w:r>
      <w:r w:rsidR="00271E70" w:rsidRPr="00AC41E0">
        <w:t xml:space="preserve"> or </w:t>
      </w:r>
      <w:r w:rsidR="003A15C5" w:rsidRPr="00AC41E0">
        <w:t>l</w:t>
      </w:r>
      <w:r w:rsidR="00AE1888" w:rsidRPr="00AC41E0">
        <w:t xml:space="preserve">ook </w:t>
      </w:r>
      <w:r w:rsidR="002F3BE0" w:rsidRPr="00AC41E0">
        <w:t>more</w:t>
      </w:r>
      <w:r w:rsidR="00AE1888" w:rsidRPr="00AC41E0">
        <w:t xml:space="preserve"> </w:t>
      </w:r>
      <w:r w:rsidR="002F3BE0" w:rsidRPr="00AC41E0">
        <w:t>broadly</w:t>
      </w:r>
      <w:r w:rsidR="00AE1888" w:rsidRPr="00AC41E0">
        <w:t xml:space="preserve"> </w:t>
      </w:r>
      <w:r w:rsidR="004A7A82" w:rsidRPr="00AC41E0">
        <w:t xml:space="preserve">across </w:t>
      </w:r>
      <w:r w:rsidR="00510D17" w:rsidRPr="00AC41E0">
        <w:t xml:space="preserve">the </w:t>
      </w:r>
      <w:r w:rsidR="00AE1888" w:rsidRPr="00AC41E0">
        <w:t>NSW Government for expertise</w:t>
      </w:r>
      <w:r w:rsidR="0040406B" w:rsidRPr="00AC41E0">
        <w:t>.</w:t>
      </w:r>
      <w:r w:rsidR="00271E70" w:rsidRPr="00AC41E0">
        <w:t xml:space="preserve"> </w:t>
      </w:r>
      <w:r w:rsidR="00AE1888" w:rsidRPr="00AC41E0">
        <w:t>Engaging with experts should form part of your stakeholder engagement strategy (</w:t>
      </w:r>
      <w:r w:rsidR="00D30A20" w:rsidRPr="00AC41E0">
        <w:t xml:space="preserve">see </w:t>
      </w:r>
      <w:hyperlink w:anchor="_Stakeholder_engagement" w:history="1">
        <w:r w:rsidR="00D30A20" w:rsidRPr="00AC41E0">
          <w:rPr>
            <w:rStyle w:val="Hyperlink"/>
          </w:rPr>
          <w:t>Chapter 3.2</w:t>
        </w:r>
        <w:r w:rsidR="00AE1888" w:rsidRPr="00AC41E0">
          <w:rPr>
            <w:rStyle w:val="Hyperlink"/>
          </w:rPr>
          <w:t xml:space="preserve"> Stakeholder </w:t>
        </w:r>
        <w:r w:rsidR="00D30A20" w:rsidRPr="00AC41E0">
          <w:rPr>
            <w:rStyle w:val="Hyperlink"/>
          </w:rPr>
          <w:t>e</w:t>
        </w:r>
        <w:r w:rsidR="00AE1888" w:rsidRPr="00AC41E0">
          <w:rPr>
            <w:rStyle w:val="Hyperlink"/>
          </w:rPr>
          <w:t>ngagement</w:t>
        </w:r>
      </w:hyperlink>
      <w:r w:rsidR="00AE1888" w:rsidRPr="00E46FB0">
        <w:t>).</w:t>
      </w:r>
    </w:p>
    <w:p w14:paraId="5DAE5B9D" w14:textId="41FE4C33" w:rsidR="005E430C" w:rsidRPr="00AC41E0" w:rsidRDefault="00AE1888" w:rsidP="00AE1888">
      <w:pPr>
        <w:pStyle w:val="DCSbodytext"/>
      </w:pPr>
      <w:r w:rsidRPr="00AC41E0">
        <w:t xml:space="preserve">The NSW Department of Customer Service has a </w:t>
      </w:r>
      <w:hyperlink r:id="rId46" w:history="1">
        <w:r w:rsidR="00566EED" w:rsidRPr="00AC41E0">
          <w:rPr>
            <w:rStyle w:val="Hyperlink"/>
          </w:rPr>
          <w:t>Cyber Security team</w:t>
        </w:r>
      </w:hyperlink>
      <w:r w:rsidR="00566EED" w:rsidRPr="00E46FB0">
        <w:t xml:space="preserve"> </w:t>
      </w:r>
      <w:r w:rsidR="00566EED" w:rsidRPr="00AC41E0">
        <w:t xml:space="preserve">that can provide advice and guidance on managing the cyber security elements of your IoT system or solution. Similarly, the </w:t>
      </w:r>
      <w:hyperlink r:id="rId47" w:history="1">
        <w:r w:rsidR="005F2052" w:rsidRPr="00AC41E0">
          <w:rPr>
            <w:rStyle w:val="Hyperlink"/>
          </w:rPr>
          <w:t>Data and Analytics Centre Program and Practice team</w:t>
        </w:r>
      </w:hyperlink>
      <w:r w:rsidRPr="00E46FB0">
        <w:t xml:space="preserve"> can provide general guidance and advice on manag</w:t>
      </w:r>
      <w:r w:rsidR="001D1B46" w:rsidRPr="00AC41E0">
        <w:t>ing</w:t>
      </w:r>
      <w:r w:rsidRPr="00AC41E0">
        <w:t xml:space="preserve"> </w:t>
      </w:r>
      <w:r w:rsidR="007E692D" w:rsidRPr="00AC41E0">
        <w:t>your IoT-generated</w:t>
      </w:r>
      <w:r w:rsidR="005F2052" w:rsidRPr="00AC41E0">
        <w:t xml:space="preserve"> data</w:t>
      </w:r>
      <w:r w:rsidR="007E692D" w:rsidRPr="00AC41E0">
        <w:t xml:space="preserve">. </w:t>
      </w:r>
      <w:r w:rsidR="00566EED" w:rsidRPr="00AC41E0">
        <w:t xml:space="preserve">If your organisation has a data governance committee or group, notify them of your project. If not, consider establishing </w:t>
      </w:r>
      <w:r w:rsidR="00141C02" w:rsidRPr="00AC41E0">
        <w:t>one</w:t>
      </w:r>
      <w:r w:rsidR="00566EED" w:rsidRPr="00AC41E0">
        <w:t xml:space="preserve"> to ensure effective decision-making about data issues. </w:t>
      </w:r>
    </w:p>
    <w:p w14:paraId="4BF31277" w14:textId="378C0B70" w:rsidR="00AE1888" w:rsidRPr="00AC41E0" w:rsidRDefault="00BF6D35" w:rsidP="00F33137">
      <w:pPr>
        <w:pStyle w:val="DCSbodytext"/>
      </w:pPr>
      <w:r w:rsidRPr="00AC41E0">
        <w:lastRenderedPageBreak/>
        <w:t>Another way to engage wit</w:t>
      </w:r>
      <w:r w:rsidR="00AE1888" w:rsidRPr="00AC41E0">
        <w:t xml:space="preserve">h experts </w:t>
      </w:r>
      <w:r w:rsidRPr="00AC41E0">
        <w:t>is to join</w:t>
      </w:r>
      <w:r w:rsidR="00AE1888" w:rsidRPr="00AC41E0">
        <w:t xml:space="preserve"> a </w:t>
      </w:r>
      <w:r w:rsidR="00E05952" w:rsidRPr="00AC41E0">
        <w:t xml:space="preserve">NSW </w:t>
      </w:r>
      <w:r w:rsidR="003B7BC6" w:rsidRPr="00AC41E0">
        <w:t xml:space="preserve">Government </w:t>
      </w:r>
      <w:r w:rsidR="00AE1888" w:rsidRPr="00AC41E0">
        <w:t>Communit</w:t>
      </w:r>
      <w:r w:rsidR="002F3BE0" w:rsidRPr="00AC41E0">
        <w:t>y</w:t>
      </w:r>
      <w:r w:rsidR="00AE1888" w:rsidRPr="00AC41E0">
        <w:t xml:space="preserve"> of Practice (ComPrac). </w:t>
      </w:r>
      <w:hyperlink r:id="rId48" w:history="1">
        <w:r w:rsidR="006F3BFE" w:rsidRPr="00AC41E0">
          <w:rPr>
            <w:rStyle w:val="Hyperlink"/>
          </w:rPr>
          <w:t>Membership</w:t>
        </w:r>
      </w:hyperlink>
      <w:r w:rsidR="00734BE5" w:rsidRPr="00E46FB0">
        <w:t xml:space="preserve"> is free and open to all NSW Government employees</w:t>
      </w:r>
      <w:r w:rsidR="008C6111" w:rsidRPr="00AC41E0">
        <w:t>, and</w:t>
      </w:r>
      <w:r w:rsidR="00D05314" w:rsidRPr="00AC41E0">
        <w:t xml:space="preserve"> it</w:t>
      </w:r>
      <w:r w:rsidR="008C6111" w:rsidRPr="00AC41E0">
        <w:t xml:space="preserve"> provides </w:t>
      </w:r>
      <w:r w:rsidR="00734BE5" w:rsidRPr="00AC41E0">
        <w:t>access to free resources, events</w:t>
      </w:r>
      <w:r w:rsidR="007C0963" w:rsidRPr="00AC41E0">
        <w:t xml:space="preserve"> and</w:t>
      </w:r>
      <w:r w:rsidR="00734BE5" w:rsidRPr="00AC41E0">
        <w:t xml:space="preserve"> networking. </w:t>
      </w:r>
      <w:r w:rsidR="003B7BC6" w:rsidRPr="00AC41E0">
        <w:t>ComPracs</w:t>
      </w:r>
      <w:r w:rsidR="009E58CD" w:rsidRPr="00AC41E0">
        <w:t xml:space="preserve"> exist for</w:t>
      </w:r>
      <w:r w:rsidR="003C31DF" w:rsidRPr="00AC41E0">
        <w:t xml:space="preserve"> area</w:t>
      </w:r>
      <w:r w:rsidR="00AE1888" w:rsidRPr="00AC41E0">
        <w:t>s including</w:t>
      </w:r>
      <w:r w:rsidR="003B7BC6" w:rsidRPr="00AC41E0">
        <w:t xml:space="preserve"> p</w:t>
      </w:r>
      <w:r w:rsidR="00AE1888" w:rsidRPr="00AC41E0">
        <w:t>rocurement</w:t>
      </w:r>
      <w:r w:rsidR="003B7BC6" w:rsidRPr="00AC41E0">
        <w:t xml:space="preserve">, </w:t>
      </w:r>
      <w:r w:rsidR="003D5E9D" w:rsidRPr="00AC41E0">
        <w:t>f</w:t>
      </w:r>
      <w:r w:rsidR="00AE1888" w:rsidRPr="00AC41E0">
        <w:t>inance</w:t>
      </w:r>
      <w:r w:rsidR="003B7BC6" w:rsidRPr="00AC41E0">
        <w:t xml:space="preserve">, </w:t>
      </w:r>
      <w:r w:rsidR="003D5E9D" w:rsidRPr="00AC41E0">
        <w:t>c</w:t>
      </w:r>
      <w:r w:rsidR="00AE1888" w:rsidRPr="00AC41E0">
        <w:t>hange</w:t>
      </w:r>
      <w:r w:rsidR="003B7BC6" w:rsidRPr="00AC41E0">
        <w:t xml:space="preserve">, </w:t>
      </w:r>
      <w:r w:rsidR="00543F39" w:rsidRPr="00AC41E0">
        <w:t>c</w:t>
      </w:r>
      <w:r w:rsidR="00AE1888" w:rsidRPr="00AC41E0">
        <w:t xml:space="preserve">ustomer </w:t>
      </w:r>
      <w:r w:rsidR="00543F39" w:rsidRPr="00AC41E0">
        <w:t>e</w:t>
      </w:r>
      <w:r w:rsidR="00AE1888" w:rsidRPr="00AC41E0">
        <w:t>xperience</w:t>
      </w:r>
      <w:r w:rsidR="003D5E9D" w:rsidRPr="00AC41E0">
        <w:t xml:space="preserve"> (CX)</w:t>
      </w:r>
      <w:r w:rsidR="003B7BC6" w:rsidRPr="00AC41E0">
        <w:t xml:space="preserve">, </w:t>
      </w:r>
      <w:r w:rsidR="003D5E9D" w:rsidRPr="00AC41E0">
        <w:t>p</w:t>
      </w:r>
      <w:r w:rsidR="00AE1888" w:rsidRPr="00AC41E0">
        <w:t>olicy</w:t>
      </w:r>
      <w:r w:rsidR="003B7BC6" w:rsidRPr="00AC41E0">
        <w:t xml:space="preserve">, </w:t>
      </w:r>
      <w:r w:rsidR="00AE1888" w:rsidRPr="00AC41E0">
        <w:t>ICT</w:t>
      </w:r>
      <w:r w:rsidR="003B7BC6" w:rsidRPr="00AC41E0">
        <w:t xml:space="preserve">, </w:t>
      </w:r>
      <w:r w:rsidR="003D5E9D" w:rsidRPr="00AC41E0">
        <w:t>r</w:t>
      </w:r>
      <w:r w:rsidR="00AE1888" w:rsidRPr="00AC41E0">
        <w:t>ecords management</w:t>
      </w:r>
      <w:r w:rsidR="003B7BC6" w:rsidRPr="00AC41E0">
        <w:t xml:space="preserve">, and </w:t>
      </w:r>
      <w:r w:rsidR="003D5E9D" w:rsidRPr="00AC41E0">
        <w:t>c</w:t>
      </w:r>
      <w:r w:rsidR="00AE1888" w:rsidRPr="00AC41E0">
        <w:t>ommissioning and contestability</w:t>
      </w:r>
      <w:r w:rsidR="003D5E9D" w:rsidRPr="00AC41E0">
        <w:t>.</w:t>
      </w:r>
    </w:p>
    <w:p w14:paraId="745DA3AA" w14:textId="73995C81" w:rsidR="00AE1888" w:rsidRPr="00AC41E0" w:rsidRDefault="00AE1888" w:rsidP="00AE1888">
      <w:pPr>
        <w:pStyle w:val="DCSbodytext"/>
      </w:pPr>
      <w:r w:rsidRPr="00AC41E0">
        <w:t xml:space="preserve">You </w:t>
      </w:r>
      <w:r w:rsidR="00C413A2" w:rsidRPr="00AC41E0">
        <w:t xml:space="preserve">can </w:t>
      </w:r>
      <w:r w:rsidRPr="00AC41E0">
        <w:t xml:space="preserve">also reach out to other </w:t>
      </w:r>
      <w:r w:rsidR="00FE554D" w:rsidRPr="00AC41E0">
        <w:t>organisations</w:t>
      </w:r>
      <w:r w:rsidRPr="00AC41E0">
        <w:t xml:space="preserve"> that have experience with IoT to learn from their successes and challenges, within NSW and </w:t>
      </w:r>
      <w:r w:rsidR="00C808EB" w:rsidRPr="00AC41E0">
        <w:t xml:space="preserve">in </w:t>
      </w:r>
      <w:r w:rsidRPr="00AC41E0">
        <w:t>other states and countries. There may be opportunities to leverage the research and accumulated knowledge of academia through formal partnerships or informal advice to supplement your team’s skills and expertise.</w:t>
      </w:r>
    </w:p>
    <w:p w14:paraId="475C94B6" w14:textId="6D22EB93" w:rsidR="00AE1888" w:rsidRPr="00AC41E0" w:rsidRDefault="00AE1888" w:rsidP="00D67ED7">
      <w:pPr>
        <w:pStyle w:val="DCSbodytext"/>
        <w:spacing w:after="120"/>
      </w:pPr>
      <w:r w:rsidRPr="00AC41E0">
        <w:t>Industry associations and other organisations are also a valuable source of knowledge</w:t>
      </w:r>
      <w:r w:rsidR="009245B6" w:rsidRPr="00AC41E0">
        <w:t xml:space="preserve">. </w:t>
      </w:r>
      <w:r w:rsidR="001B436E" w:rsidRPr="00AC41E0">
        <w:t>O</w:t>
      </w:r>
      <w:r w:rsidR="00833980" w:rsidRPr="00AC41E0">
        <w:t>rganisations in the IoT space include</w:t>
      </w:r>
      <w:r w:rsidR="009245B6" w:rsidRPr="00AC41E0">
        <w:t xml:space="preserve">: </w:t>
      </w:r>
    </w:p>
    <w:p w14:paraId="45C1EFF2" w14:textId="77777777" w:rsidR="00AE1888" w:rsidRPr="00E46FB0" w:rsidRDefault="00084371" w:rsidP="00003096">
      <w:pPr>
        <w:pStyle w:val="DCSbodytext"/>
        <w:numPr>
          <w:ilvl w:val="0"/>
          <w:numId w:val="163"/>
        </w:numPr>
        <w:spacing w:after="120"/>
      </w:pPr>
      <w:hyperlink r:id="rId49" w:history="1">
        <w:r w:rsidR="00AE1888" w:rsidRPr="00AC41E0">
          <w:rPr>
            <w:rStyle w:val="Hyperlink"/>
          </w:rPr>
          <w:t>Internet of Things Alliance Australia (IoTAA)</w:t>
        </w:r>
      </w:hyperlink>
    </w:p>
    <w:p w14:paraId="3C1EEAFC" w14:textId="77777777" w:rsidR="00AE1888" w:rsidRPr="00E46FB0" w:rsidRDefault="00084371" w:rsidP="00003096">
      <w:pPr>
        <w:pStyle w:val="DCSbodytext"/>
        <w:numPr>
          <w:ilvl w:val="0"/>
          <w:numId w:val="163"/>
        </w:numPr>
        <w:spacing w:after="120"/>
      </w:pPr>
      <w:hyperlink r:id="rId50" w:history="1">
        <w:r w:rsidR="00AE1888" w:rsidRPr="00AC41E0">
          <w:rPr>
            <w:rStyle w:val="Hyperlink"/>
          </w:rPr>
          <w:t>OpenCities</w:t>
        </w:r>
      </w:hyperlink>
    </w:p>
    <w:p w14:paraId="092997BF" w14:textId="77777777" w:rsidR="00AE1888" w:rsidRPr="00E46FB0" w:rsidRDefault="00084371" w:rsidP="00003096">
      <w:pPr>
        <w:pStyle w:val="DCSbodytext"/>
        <w:numPr>
          <w:ilvl w:val="0"/>
          <w:numId w:val="163"/>
        </w:numPr>
        <w:spacing w:after="120"/>
      </w:pPr>
      <w:hyperlink r:id="rId51" w:history="1">
        <w:r w:rsidR="00AE1888" w:rsidRPr="00AC41E0">
          <w:rPr>
            <w:rStyle w:val="Hyperlink"/>
          </w:rPr>
          <w:t>Communications Alliance</w:t>
        </w:r>
      </w:hyperlink>
    </w:p>
    <w:p w14:paraId="1BAF37D5" w14:textId="77777777" w:rsidR="00AE1888" w:rsidRPr="00E46FB0" w:rsidRDefault="00084371" w:rsidP="00003096">
      <w:pPr>
        <w:pStyle w:val="DCSbodytext"/>
        <w:numPr>
          <w:ilvl w:val="0"/>
          <w:numId w:val="163"/>
        </w:numPr>
        <w:spacing w:after="120"/>
      </w:pPr>
      <w:hyperlink r:id="rId52" w:history="1">
        <w:r w:rsidR="00AE1888" w:rsidRPr="00AC41E0">
          <w:rPr>
            <w:rStyle w:val="Hyperlink"/>
          </w:rPr>
          <w:t>Design Futures Council</w:t>
        </w:r>
      </w:hyperlink>
    </w:p>
    <w:p w14:paraId="2BFD97C2" w14:textId="77777777" w:rsidR="00AE1888" w:rsidRPr="00E46FB0" w:rsidRDefault="00084371" w:rsidP="00003096">
      <w:pPr>
        <w:pStyle w:val="DCSbodytext"/>
        <w:numPr>
          <w:ilvl w:val="0"/>
          <w:numId w:val="163"/>
        </w:numPr>
        <w:spacing w:after="120"/>
      </w:pPr>
      <w:hyperlink r:id="rId53" w:history="1">
        <w:r w:rsidR="00AE1888" w:rsidRPr="00AC41E0">
          <w:rPr>
            <w:rStyle w:val="Hyperlink"/>
          </w:rPr>
          <w:t>Australian Smart Communities Association</w:t>
        </w:r>
      </w:hyperlink>
    </w:p>
    <w:p w14:paraId="3AB3BBDA" w14:textId="6AC17EAF" w:rsidR="00AE1888" w:rsidRPr="00AC41E0" w:rsidRDefault="00084371" w:rsidP="00003096">
      <w:pPr>
        <w:pStyle w:val="DCSbodytext"/>
        <w:numPr>
          <w:ilvl w:val="0"/>
          <w:numId w:val="163"/>
        </w:numPr>
      </w:pPr>
      <w:hyperlink r:id="rId54" w:history="1">
        <w:r w:rsidR="00AE1888" w:rsidRPr="00AC41E0">
          <w:rPr>
            <w:rStyle w:val="Hyperlink"/>
          </w:rPr>
          <w:t>Standards Australia</w:t>
        </w:r>
      </w:hyperlink>
      <w:r w:rsidR="0028490A" w:rsidRPr="00E46FB0">
        <w:t>.</w:t>
      </w:r>
    </w:p>
    <w:p w14:paraId="2F06CB3C" w14:textId="38C24DFF" w:rsidR="00A30899" w:rsidRPr="00E46FB0" w:rsidRDefault="00CF2A62" w:rsidP="00F75786">
      <w:pPr>
        <w:pStyle w:val="Heading1"/>
        <w:rPr>
          <w:rFonts w:ascii="Arial" w:hAnsi="Arial"/>
        </w:rPr>
      </w:pPr>
      <w:bookmarkStart w:id="395" w:name="_Toc16514550"/>
      <w:bookmarkStart w:id="396" w:name="_Toc16514743"/>
      <w:bookmarkStart w:id="397" w:name="_Toc16514936"/>
      <w:bookmarkStart w:id="398" w:name="_Toc16515128"/>
      <w:bookmarkStart w:id="399" w:name="_Toc16515320"/>
      <w:bookmarkStart w:id="400" w:name="_Toc16515514"/>
      <w:bookmarkStart w:id="401" w:name="_Toc16515708"/>
      <w:bookmarkStart w:id="402" w:name="_Toc16515950"/>
      <w:bookmarkStart w:id="403" w:name="_Toc16516421"/>
      <w:bookmarkStart w:id="404" w:name="_Toc16762195"/>
      <w:bookmarkStart w:id="405" w:name="_Toc16769974"/>
      <w:bookmarkStart w:id="406" w:name="_Toc16770168"/>
      <w:bookmarkStart w:id="407" w:name="_Toc16856076"/>
      <w:bookmarkStart w:id="408" w:name="_Toc16867845"/>
      <w:bookmarkStart w:id="409" w:name="_Toc17103518"/>
      <w:bookmarkStart w:id="410" w:name="_Toc17110165"/>
      <w:bookmarkStart w:id="411" w:name="_Toc17111292"/>
      <w:bookmarkStart w:id="412" w:name="_Toc17111492"/>
      <w:bookmarkStart w:id="413" w:name="_Toc17111891"/>
      <w:bookmarkStart w:id="414" w:name="_Toc17112091"/>
      <w:bookmarkStart w:id="415" w:name="_Toc17112292"/>
      <w:bookmarkStart w:id="416" w:name="_Toc17112494"/>
      <w:bookmarkStart w:id="417" w:name="_Toc17112692"/>
      <w:bookmarkStart w:id="418" w:name="_Toc17112890"/>
      <w:bookmarkStart w:id="419" w:name="_Toc17114389"/>
      <w:bookmarkStart w:id="420" w:name="_Toc17114586"/>
      <w:bookmarkStart w:id="421" w:name="_Toc17121143"/>
      <w:bookmarkStart w:id="422" w:name="_Toc17121340"/>
      <w:bookmarkStart w:id="423" w:name="_Toc17121537"/>
      <w:bookmarkStart w:id="424" w:name="_Toc17121732"/>
      <w:bookmarkStart w:id="425" w:name="_Toc17970555"/>
      <w:bookmarkStart w:id="426" w:name="_Toc17975554"/>
      <w:bookmarkStart w:id="427" w:name="_Toc17982621"/>
      <w:bookmarkStart w:id="428" w:name="_Toc17987937"/>
      <w:bookmarkStart w:id="429" w:name="_Toc17989349"/>
      <w:bookmarkStart w:id="430" w:name="_Toc17990411"/>
      <w:bookmarkStart w:id="431" w:name="_Toc65760483"/>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rsidRPr="00AC41E0">
        <w:rPr>
          <w:rFonts w:ascii="Arial" w:hAnsi="Arial"/>
        </w:rPr>
        <w:lastRenderedPageBreak/>
        <w:t>Project Planning</w:t>
      </w:r>
      <w:r w:rsidR="008E650E" w:rsidRPr="00E46FB0">
        <w:rPr>
          <w:rStyle w:val="FootnoteReference"/>
          <w:rFonts w:ascii="Arial" w:hAnsi="Arial"/>
          <w:noProof/>
        </w:rPr>
        <mc:AlternateContent>
          <mc:Choice Requires="wps">
            <w:drawing>
              <wp:inline distT="0" distB="0" distL="0" distR="0" wp14:anchorId="5151540C" wp14:editId="3812398F">
                <wp:extent cx="5478780" cy="7600950"/>
                <wp:effectExtent l="0" t="0" r="7620" b="0"/>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7600950"/>
                        </a:xfrm>
                        <a:prstGeom prst="rect">
                          <a:avLst/>
                        </a:prstGeom>
                        <a:solidFill>
                          <a:schemeClr val="accent5">
                            <a:lumMod val="40000"/>
                            <a:lumOff val="60000"/>
                          </a:schemeClr>
                        </a:solidFill>
                        <a:ln w="9525">
                          <a:noFill/>
                          <a:miter lim="800000"/>
                          <a:headEnd/>
                          <a:tailEnd/>
                        </a:ln>
                      </wps:spPr>
                      <wps:txbx>
                        <w:txbxContent>
                          <w:p w14:paraId="3CDFBE25" w14:textId="77777777" w:rsidR="004A5EF4" w:rsidRPr="00915E6A" w:rsidRDefault="004A5EF4" w:rsidP="008E650E">
                            <w:pPr>
                              <w:pStyle w:val="DCSbodytext"/>
                              <w:ind w:left="0"/>
                              <w:jc w:val="center"/>
                            </w:pPr>
                            <w:r w:rsidRPr="00915E6A">
                              <w:rPr>
                                <w:b/>
                              </w:rPr>
                              <w:t>Best practice considerations at this stage in a project</w:t>
                            </w:r>
                          </w:p>
                          <w:p w14:paraId="6E8E59BF" w14:textId="77777777" w:rsidR="004A5EF4" w:rsidRPr="00056E05" w:rsidRDefault="004A5EF4" w:rsidP="008E650E">
                            <w:pPr>
                              <w:pStyle w:val="DCSbodytext"/>
                              <w:numPr>
                                <w:ilvl w:val="0"/>
                                <w:numId w:val="166"/>
                              </w:numPr>
                            </w:pPr>
                            <w:r>
                              <w:t xml:space="preserve">Are there governance processes, including responsibilities, accountabilities and decision-making delegations appropriate to the stage of the project to manage, monitor and report on project progress and benefits realisation? </w:t>
                            </w:r>
                          </w:p>
                          <w:p w14:paraId="6615D917" w14:textId="77777777" w:rsidR="004A5EF4" w:rsidRDefault="004A5EF4" w:rsidP="008E650E">
                            <w:pPr>
                              <w:pStyle w:val="DCSbodytext"/>
                              <w:numPr>
                                <w:ilvl w:val="0"/>
                                <w:numId w:val="166"/>
                              </w:numPr>
                            </w:pPr>
                            <w:r>
                              <w:t xml:space="preserve">Do you have access to the </w:t>
                            </w:r>
                            <w:r w:rsidRPr="009B5BDB">
                              <w:t xml:space="preserve">resources </w:t>
                            </w:r>
                            <w:r>
                              <w:t>required</w:t>
                            </w:r>
                            <w:r w:rsidRPr="009B5BDB">
                              <w:t xml:space="preserve"> with</w:t>
                            </w:r>
                            <w:r>
                              <w:t xml:space="preserve"> </w:t>
                            </w:r>
                            <w:r w:rsidRPr="009B5BDB">
                              <w:t>the appropriate skills and experience (such as commissioning, transitioning, operations, cyber, data, privacy</w:t>
                            </w:r>
                            <w:r>
                              <w:t xml:space="preserve"> etc</w:t>
                            </w:r>
                            <w:r w:rsidRPr="009B5BDB">
                              <w:t>)</w:t>
                            </w:r>
                            <w:r>
                              <w:t>?</w:t>
                            </w:r>
                          </w:p>
                          <w:p w14:paraId="6F3625FD" w14:textId="77777777" w:rsidR="004A5EF4" w:rsidRDefault="004A5EF4" w:rsidP="008E650E">
                            <w:pPr>
                              <w:pStyle w:val="DCSbodytext"/>
                              <w:numPr>
                                <w:ilvl w:val="0"/>
                                <w:numId w:val="166"/>
                              </w:numPr>
                            </w:pPr>
                            <w:r w:rsidRPr="00446B9B">
                              <w:t>What are the long-term broader asset network and service integration requirements, and have they been articulated and appropriately captured through the option assessment process?</w:t>
                            </w:r>
                          </w:p>
                          <w:p w14:paraId="0B5C4490" w14:textId="77777777" w:rsidR="004A5EF4" w:rsidRDefault="004A5EF4" w:rsidP="008E650E">
                            <w:pPr>
                              <w:pStyle w:val="DCSbodytext"/>
                              <w:numPr>
                                <w:ilvl w:val="0"/>
                                <w:numId w:val="166"/>
                              </w:numPr>
                            </w:pPr>
                            <w:r w:rsidRPr="009943A5">
                              <w:t>Has the impact of the proposed project on staff, other people (including the community), existing infrastructure and processes been evaluated and documented?</w:t>
                            </w:r>
                          </w:p>
                          <w:p w14:paraId="6DBF0048" w14:textId="77777777" w:rsidR="004A5EF4" w:rsidRPr="000E050F" w:rsidRDefault="004A5EF4" w:rsidP="008E650E">
                            <w:pPr>
                              <w:pStyle w:val="DCSbodytext"/>
                              <w:numPr>
                                <w:ilvl w:val="0"/>
                                <w:numId w:val="166"/>
                              </w:numPr>
                            </w:pPr>
                            <w:r w:rsidRPr="00176323">
                              <w:t>Do you understand how your current network will interact with the proposed solution? Have you considered the costs?</w:t>
                            </w:r>
                          </w:p>
                          <w:p w14:paraId="537ABE4B" w14:textId="77777777" w:rsidR="004A5EF4" w:rsidRDefault="004A5EF4" w:rsidP="008E650E">
                            <w:pPr>
                              <w:pStyle w:val="DCSbodytext"/>
                              <w:numPr>
                                <w:ilvl w:val="0"/>
                                <w:numId w:val="166"/>
                              </w:numPr>
                            </w:pPr>
                            <w:r>
                              <w:t xml:space="preserve">Are there plans for </w:t>
                            </w:r>
                            <w:r w:rsidRPr="00FB3BA0">
                              <w:t>stakeholder management, engagement and communication that ha</w:t>
                            </w:r>
                            <w:r>
                              <w:t>ve</w:t>
                            </w:r>
                            <w:r w:rsidRPr="00FB3BA0">
                              <w:t xml:space="preserve"> considered the influence of, and impact on, each stakeholder or stakeholder group?</w:t>
                            </w:r>
                          </w:p>
                          <w:p w14:paraId="26E33211" w14:textId="77777777" w:rsidR="004A5EF4" w:rsidRPr="00530C0A" w:rsidRDefault="004A5EF4" w:rsidP="008E650E">
                            <w:pPr>
                              <w:pStyle w:val="DCSbodytext"/>
                              <w:numPr>
                                <w:ilvl w:val="0"/>
                                <w:numId w:val="166"/>
                              </w:numPr>
                            </w:pPr>
                            <w:r w:rsidRPr="009C4D70">
                              <w:t>Have you identified current, anticipated and emerging risks and issues, and have you recorded them in a risk register that is up to date and monitored? Does this include a risk management plan that outlines ownership for risk mitigation?</w:t>
                            </w:r>
                          </w:p>
                          <w:p w14:paraId="75048273" w14:textId="77777777" w:rsidR="004A5EF4" w:rsidRPr="0053691F" w:rsidRDefault="004A5EF4" w:rsidP="008E650E">
                            <w:pPr>
                              <w:pStyle w:val="DCSbodytext"/>
                              <w:numPr>
                                <w:ilvl w:val="0"/>
                                <w:numId w:val="166"/>
                              </w:numPr>
                            </w:pPr>
                            <w:r w:rsidRPr="004E0E8E">
                              <w:t xml:space="preserve">What are the existing or high probability issues that could diminish the delivery of the </w:t>
                            </w:r>
                            <w:r>
                              <w:t>project</w:t>
                            </w:r>
                            <w:r w:rsidRPr="004E0E8E">
                              <w:t xml:space="preserve"> over time and how will they be mitigated?</w:t>
                            </w:r>
                          </w:p>
                          <w:p w14:paraId="490D7288" w14:textId="77777777" w:rsidR="004A5EF4" w:rsidRDefault="004A5EF4" w:rsidP="008E650E">
                            <w:pPr>
                              <w:pStyle w:val="DCSbodytext"/>
                              <w:numPr>
                                <w:ilvl w:val="0"/>
                                <w:numId w:val="166"/>
                              </w:numPr>
                            </w:pPr>
                            <w:r w:rsidRPr="004D3F83">
                              <w:t>Are there major risks to the project going live on-time, on-budget and to agreed scope? If yes, are these risks being managed?</w:t>
                            </w:r>
                          </w:p>
                          <w:p w14:paraId="23EFB5E2" w14:textId="77777777" w:rsidR="004A5EF4" w:rsidRDefault="004A5EF4" w:rsidP="008E650E">
                            <w:pPr>
                              <w:pStyle w:val="DCSbodytext"/>
                              <w:numPr>
                                <w:ilvl w:val="0"/>
                                <w:numId w:val="166"/>
                              </w:numPr>
                            </w:pPr>
                            <w:r w:rsidRPr="00622A09">
                              <w:t>Have key stakeholders been consulted in developing</w:t>
                            </w:r>
                            <w:r>
                              <w:t xml:space="preserve"> key project documents including</w:t>
                            </w:r>
                            <w:r w:rsidRPr="00622A09">
                              <w:t xml:space="preserve"> the risk management plan?</w:t>
                            </w:r>
                            <w:r>
                              <w:t xml:space="preserve"> </w:t>
                            </w:r>
                            <w:r w:rsidRPr="009F1735">
                              <w:t>Do the risk owners understand their responsibilities, in addition to the risk escalation process?</w:t>
                            </w:r>
                          </w:p>
                          <w:p w14:paraId="3E2156D9" w14:textId="77777777" w:rsidR="004A5EF4" w:rsidRPr="00510CD2" w:rsidRDefault="004A5EF4" w:rsidP="008E650E">
                            <w:pPr>
                              <w:pStyle w:val="DCSbodytext"/>
                              <w:numPr>
                                <w:ilvl w:val="0"/>
                                <w:numId w:val="166"/>
                              </w:numPr>
                            </w:pPr>
                            <w:r w:rsidRPr="001839FB">
                              <w:t xml:space="preserve">Can the organisation implement </w:t>
                            </w:r>
                            <w:r>
                              <w:t>any</w:t>
                            </w:r>
                            <w:r w:rsidRPr="001839FB">
                              <w:t xml:space="preserve"> new services </w:t>
                            </w:r>
                            <w:r>
                              <w:t xml:space="preserve">under the project </w:t>
                            </w:r>
                            <w:r w:rsidRPr="001839FB">
                              <w:t>and maintain existing services?</w:t>
                            </w:r>
                          </w:p>
                        </w:txbxContent>
                      </wps:txbx>
                      <wps:bodyPr rot="0" vert="horz" wrap="square" lIns="91440" tIns="45720" rIns="91440" bIns="45720" anchor="t" anchorCtr="0">
                        <a:noAutofit/>
                      </wps:bodyPr>
                    </wps:wsp>
                  </a:graphicData>
                </a:graphic>
              </wp:inline>
            </w:drawing>
          </mc:Choice>
          <mc:Fallback>
            <w:pict>
              <v:shape w14:anchorId="5151540C" id="_x0000_s1031" type="#_x0000_t202" style="width:431.4pt;height:5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" fillcolor="#b6dde8 [1304]" stroked="f">
                <v:textbox>
                  <w:txbxContent>
                    <w:p w14:paraId="3CDFBE25" w14:textId="77777777" w:rsidR="004A5EF4" w:rsidRPr="00915E6A" w:rsidRDefault="004A5EF4" w:rsidP="008E650E">
                      <w:pPr>
                        <w:pStyle w:val="DCSbodytext"/>
                        <w:ind w:left="0"/>
                        <w:jc w:val="center"/>
                      </w:pPr>
                      <w:r w:rsidRPr="00915E6A">
                        <w:rPr>
                          <w:b/>
                        </w:rPr>
                        <w:t>Best practice considerations at this stage in a project</w:t>
                      </w:r>
                    </w:p>
                    <w:p w14:paraId="6E8E59BF" w14:textId="77777777" w:rsidR="004A5EF4" w:rsidRPr="00056E05" w:rsidRDefault="004A5EF4" w:rsidP="008E650E">
                      <w:pPr>
                        <w:pStyle w:val="DCSbodytext"/>
                        <w:numPr>
                          <w:ilvl w:val="0"/>
                          <w:numId w:val="166"/>
                        </w:numPr>
                      </w:pPr>
                      <w:r>
                        <w:t xml:space="preserve">Are there governance processes, including responsibilities, accountabilities and decision-making delegations appropriate to the stage of the project to manage, monitor and report on project progress and benefits realisation? </w:t>
                      </w:r>
                    </w:p>
                    <w:p w14:paraId="6615D917" w14:textId="77777777" w:rsidR="004A5EF4" w:rsidRDefault="004A5EF4" w:rsidP="008E650E">
                      <w:pPr>
                        <w:pStyle w:val="DCSbodytext"/>
                        <w:numPr>
                          <w:ilvl w:val="0"/>
                          <w:numId w:val="166"/>
                        </w:numPr>
                      </w:pPr>
                      <w:r>
                        <w:t xml:space="preserve">Do you have access to the </w:t>
                      </w:r>
                      <w:r w:rsidRPr="009B5BDB">
                        <w:t xml:space="preserve">resources </w:t>
                      </w:r>
                      <w:r>
                        <w:t>required</w:t>
                      </w:r>
                      <w:r w:rsidRPr="009B5BDB">
                        <w:t xml:space="preserve"> with</w:t>
                      </w:r>
                      <w:r>
                        <w:t xml:space="preserve"> </w:t>
                      </w:r>
                      <w:r w:rsidRPr="009B5BDB">
                        <w:t>the appropriate skills and experience (such as commissioning, transitioning, operations, cyber, data, privacy</w:t>
                      </w:r>
                      <w:r>
                        <w:t xml:space="preserve"> etc</w:t>
                      </w:r>
                      <w:r w:rsidRPr="009B5BDB">
                        <w:t>)</w:t>
                      </w:r>
                      <w:r>
                        <w:t>?</w:t>
                      </w:r>
                    </w:p>
                    <w:p w14:paraId="6F3625FD" w14:textId="77777777" w:rsidR="004A5EF4" w:rsidRDefault="004A5EF4" w:rsidP="008E650E">
                      <w:pPr>
                        <w:pStyle w:val="DCSbodytext"/>
                        <w:numPr>
                          <w:ilvl w:val="0"/>
                          <w:numId w:val="166"/>
                        </w:numPr>
                      </w:pPr>
                      <w:r w:rsidRPr="00446B9B">
                        <w:t>What are the long-term broader asset network and service integration requirements, and have they been articulated and appropriately captured through the option assessment process?</w:t>
                      </w:r>
                    </w:p>
                    <w:p w14:paraId="0B5C4490" w14:textId="77777777" w:rsidR="004A5EF4" w:rsidRDefault="004A5EF4" w:rsidP="008E650E">
                      <w:pPr>
                        <w:pStyle w:val="DCSbodytext"/>
                        <w:numPr>
                          <w:ilvl w:val="0"/>
                          <w:numId w:val="166"/>
                        </w:numPr>
                      </w:pPr>
                      <w:r w:rsidRPr="009943A5">
                        <w:t>Has the impact of the proposed project on staff, other people (including the community), existing infrastructure and processes been evaluated and documented?</w:t>
                      </w:r>
                    </w:p>
                    <w:p w14:paraId="6DBF0048" w14:textId="77777777" w:rsidR="004A5EF4" w:rsidRPr="000E050F" w:rsidRDefault="004A5EF4" w:rsidP="008E650E">
                      <w:pPr>
                        <w:pStyle w:val="DCSbodytext"/>
                        <w:numPr>
                          <w:ilvl w:val="0"/>
                          <w:numId w:val="166"/>
                        </w:numPr>
                      </w:pPr>
                      <w:r w:rsidRPr="00176323">
                        <w:t>Do you understand how your current network will interact with the proposed solution? Have you considered the costs?</w:t>
                      </w:r>
                    </w:p>
                    <w:p w14:paraId="537ABE4B" w14:textId="77777777" w:rsidR="004A5EF4" w:rsidRDefault="004A5EF4" w:rsidP="008E650E">
                      <w:pPr>
                        <w:pStyle w:val="DCSbodytext"/>
                        <w:numPr>
                          <w:ilvl w:val="0"/>
                          <w:numId w:val="166"/>
                        </w:numPr>
                      </w:pPr>
                      <w:r>
                        <w:t xml:space="preserve">Are there plans for </w:t>
                      </w:r>
                      <w:r w:rsidRPr="00FB3BA0">
                        <w:t>stakeholder management, engagement and communication that ha</w:t>
                      </w:r>
                      <w:r>
                        <w:t>ve</w:t>
                      </w:r>
                      <w:r w:rsidRPr="00FB3BA0">
                        <w:t xml:space="preserve"> considered the influence of, and impact on, each stakeholder or stakeholder group?</w:t>
                      </w:r>
                    </w:p>
                    <w:p w14:paraId="26E33211" w14:textId="77777777" w:rsidR="004A5EF4" w:rsidRPr="00530C0A" w:rsidRDefault="004A5EF4" w:rsidP="008E650E">
                      <w:pPr>
                        <w:pStyle w:val="DCSbodytext"/>
                        <w:numPr>
                          <w:ilvl w:val="0"/>
                          <w:numId w:val="166"/>
                        </w:numPr>
                      </w:pPr>
                      <w:r w:rsidRPr="009C4D70">
                        <w:t>Have you identified current, anticipated and emerging risks and issues, and have you recorded them in a risk register that is up to date and monitored? Does this include a risk management plan that outlines ownership for risk mitigation?</w:t>
                      </w:r>
                    </w:p>
                    <w:p w14:paraId="75048273" w14:textId="77777777" w:rsidR="004A5EF4" w:rsidRPr="0053691F" w:rsidRDefault="004A5EF4" w:rsidP="008E650E">
                      <w:pPr>
                        <w:pStyle w:val="DCSbodytext"/>
                        <w:numPr>
                          <w:ilvl w:val="0"/>
                          <w:numId w:val="166"/>
                        </w:numPr>
                      </w:pPr>
                      <w:r w:rsidRPr="004E0E8E">
                        <w:t xml:space="preserve">What are the existing or high probability issues that could diminish the delivery of the </w:t>
                      </w:r>
                      <w:r>
                        <w:t>project</w:t>
                      </w:r>
                      <w:r w:rsidRPr="004E0E8E">
                        <w:t xml:space="preserve"> over time and how will they be mitigated?</w:t>
                      </w:r>
                    </w:p>
                    <w:p w14:paraId="490D7288" w14:textId="77777777" w:rsidR="004A5EF4" w:rsidRDefault="004A5EF4" w:rsidP="008E650E">
                      <w:pPr>
                        <w:pStyle w:val="DCSbodytext"/>
                        <w:numPr>
                          <w:ilvl w:val="0"/>
                          <w:numId w:val="166"/>
                        </w:numPr>
                      </w:pPr>
                      <w:r w:rsidRPr="004D3F83">
                        <w:t>Are there major risks to the project going live on-time, on-budget and to agreed scope? If yes, are these risks being managed?</w:t>
                      </w:r>
                    </w:p>
                    <w:p w14:paraId="23EFB5E2" w14:textId="77777777" w:rsidR="004A5EF4" w:rsidRDefault="004A5EF4" w:rsidP="008E650E">
                      <w:pPr>
                        <w:pStyle w:val="DCSbodytext"/>
                        <w:numPr>
                          <w:ilvl w:val="0"/>
                          <w:numId w:val="166"/>
                        </w:numPr>
                      </w:pPr>
                      <w:r w:rsidRPr="00622A09">
                        <w:t>Have key stakeholders been consulted in developing</w:t>
                      </w:r>
                      <w:r>
                        <w:t xml:space="preserve"> key project documents including</w:t>
                      </w:r>
                      <w:r w:rsidRPr="00622A09">
                        <w:t xml:space="preserve"> the risk management plan?</w:t>
                      </w:r>
                      <w:r>
                        <w:t xml:space="preserve"> </w:t>
                      </w:r>
                      <w:r w:rsidRPr="009F1735">
                        <w:t>Do the risk owners understand their responsibilities, in addition to the risk escalation process?</w:t>
                      </w:r>
                    </w:p>
                    <w:p w14:paraId="3E2156D9" w14:textId="77777777" w:rsidR="004A5EF4" w:rsidRPr="00510CD2" w:rsidRDefault="004A5EF4" w:rsidP="008E650E">
                      <w:pPr>
                        <w:pStyle w:val="DCSbodytext"/>
                        <w:numPr>
                          <w:ilvl w:val="0"/>
                          <w:numId w:val="166"/>
                        </w:numPr>
                      </w:pPr>
                      <w:r w:rsidRPr="001839FB">
                        <w:t xml:space="preserve">Can the organisation implement </w:t>
                      </w:r>
                      <w:r>
                        <w:t>any</w:t>
                      </w:r>
                      <w:r w:rsidRPr="001839FB">
                        <w:t xml:space="preserve"> new services </w:t>
                      </w:r>
                      <w:r>
                        <w:t xml:space="preserve">under the project </w:t>
                      </w:r>
                      <w:r w:rsidRPr="001839FB">
                        <w:t>and maintain existing services?</w:t>
                      </w:r>
                    </w:p>
                  </w:txbxContent>
                </v:textbox>
                <w10:anchorlock/>
              </v:shape>
            </w:pict>
          </mc:Fallback>
        </mc:AlternateContent>
      </w:r>
      <w:bookmarkEnd w:id="431"/>
    </w:p>
    <w:p w14:paraId="48653C91" w14:textId="6BACAA2C" w:rsidR="008C08C8" w:rsidRPr="00AC41E0" w:rsidRDefault="008C08C8" w:rsidP="0022369F">
      <w:pPr>
        <w:pStyle w:val="DCSbodytext"/>
        <w:rPr>
          <w:lang w:eastAsia="en-AU"/>
        </w:rPr>
      </w:pPr>
    </w:p>
    <w:p w14:paraId="2A212BE8" w14:textId="77777777" w:rsidR="001D3817" w:rsidRPr="00AC41E0" w:rsidRDefault="001D3817" w:rsidP="00D4137E">
      <w:pPr>
        <w:pStyle w:val="Heading2"/>
        <w:tabs>
          <w:tab w:val="num" w:pos="868"/>
        </w:tabs>
        <w:rPr>
          <w:rFonts w:ascii="Arial" w:hAnsi="Arial"/>
        </w:rPr>
        <w:sectPr w:rsidR="001D3817" w:rsidRPr="00AC41E0" w:rsidSect="004E07C9">
          <w:pgSz w:w="11906" w:h="16838"/>
          <w:pgMar w:top="1418" w:right="1134" w:bottom="1134" w:left="1134" w:header="851" w:footer="425" w:gutter="0"/>
          <w:cols w:space="708"/>
          <w:titlePg/>
          <w:docGrid w:linePitch="360"/>
        </w:sectPr>
      </w:pPr>
      <w:bookmarkStart w:id="432" w:name="_Toc14686243"/>
      <w:bookmarkStart w:id="433" w:name="_Toc14689977"/>
      <w:bookmarkStart w:id="434" w:name="_Toc14691943"/>
      <w:bookmarkStart w:id="435" w:name="_Toc14694013"/>
      <w:bookmarkStart w:id="436" w:name="_Toc14694160"/>
      <w:bookmarkStart w:id="437" w:name="_Toc14695728"/>
      <w:bookmarkStart w:id="438" w:name="_Toc14700937"/>
      <w:bookmarkStart w:id="439" w:name="_Toc14702913"/>
      <w:bookmarkStart w:id="440" w:name="_Toc14709752"/>
      <w:bookmarkStart w:id="441" w:name="_Toc14768629"/>
      <w:bookmarkStart w:id="442" w:name="_Toc14771089"/>
      <w:bookmarkStart w:id="443" w:name="_Toc14771272"/>
      <w:bookmarkStart w:id="444" w:name="_Toc14771657"/>
      <w:bookmarkStart w:id="445" w:name="_Toc14771868"/>
      <w:bookmarkStart w:id="446" w:name="_Toc14774470"/>
      <w:bookmarkStart w:id="447" w:name="_Toc14775534"/>
      <w:bookmarkStart w:id="448" w:name="_Toc14775697"/>
      <w:bookmarkStart w:id="449" w:name="_Toc14776290"/>
      <w:bookmarkStart w:id="450" w:name="_Toc14777908"/>
      <w:bookmarkStart w:id="451" w:name="_Toc14778054"/>
      <w:bookmarkStart w:id="452" w:name="_Risks_and_Obligations_1"/>
      <w:bookmarkStart w:id="453" w:name="_Data_needs_assessment"/>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3E63671B" w14:textId="1D82486C" w:rsidR="00D96821" w:rsidRPr="00AC41E0" w:rsidRDefault="00D96821" w:rsidP="000430E1">
      <w:pPr>
        <w:pStyle w:val="Heading2"/>
        <w:tabs>
          <w:tab w:val="clear" w:pos="5188"/>
          <w:tab w:val="num" w:pos="794"/>
        </w:tabs>
        <w:ind w:left="851"/>
        <w:rPr>
          <w:rFonts w:ascii="Arial" w:hAnsi="Arial"/>
        </w:rPr>
      </w:pPr>
      <w:bookmarkStart w:id="454" w:name="_Toc65760484"/>
      <w:r w:rsidRPr="00E46FB0">
        <w:rPr>
          <w:rFonts w:ascii="Arial" w:hAnsi="Arial"/>
        </w:rPr>
        <w:lastRenderedPageBreak/>
        <w:t>Project planning</w:t>
      </w:r>
      <w:bookmarkEnd w:id="454"/>
    </w:p>
    <w:p w14:paraId="5CECA4C9" w14:textId="47EB7809" w:rsidR="00DD3728" w:rsidRPr="00AC41E0" w:rsidRDefault="00DD3728" w:rsidP="00DD3728">
      <w:pPr>
        <w:pStyle w:val="Heading3"/>
        <w:rPr>
          <w:rFonts w:ascii="Arial" w:hAnsi="Arial"/>
        </w:rPr>
      </w:pPr>
      <w:bookmarkStart w:id="455" w:name="_Toc65760485"/>
      <w:r w:rsidRPr="00AC41E0">
        <w:rPr>
          <w:rFonts w:ascii="Arial" w:hAnsi="Arial"/>
        </w:rPr>
        <w:t>What is project planning and why is it important?</w:t>
      </w:r>
      <w:bookmarkEnd w:id="455"/>
    </w:p>
    <w:p w14:paraId="144E7070" w14:textId="224E3AC3" w:rsidR="00BE7BC4" w:rsidRPr="00AC41E0" w:rsidRDefault="00C16C8B" w:rsidP="00C16C8B">
      <w:pPr>
        <w:pStyle w:val="DCSbodytext"/>
      </w:pPr>
      <w:r w:rsidRPr="00AC41E0">
        <w:t xml:space="preserve">A project plan (sometimes called an implementation plan) </w:t>
      </w:r>
      <w:r w:rsidR="00334C27" w:rsidRPr="00AC41E0">
        <w:t>outlines</w:t>
      </w:r>
      <w:r w:rsidRPr="00AC41E0">
        <w:t xml:space="preserve"> how</w:t>
      </w:r>
      <w:r w:rsidR="00BE7BC4" w:rsidRPr="00AC41E0">
        <w:t xml:space="preserve"> you will </w:t>
      </w:r>
      <w:r w:rsidRPr="00AC41E0">
        <w:t xml:space="preserve">deliver your </w:t>
      </w:r>
      <w:r w:rsidR="003D5E9D" w:rsidRPr="00AC41E0">
        <w:t>project</w:t>
      </w:r>
      <w:r w:rsidRPr="00AC41E0">
        <w:t xml:space="preserve">. Developing a plan and understanding how each element of your </w:t>
      </w:r>
      <w:r w:rsidR="003D5E9D" w:rsidRPr="00AC41E0">
        <w:t>IoT-enabled project</w:t>
      </w:r>
      <w:r w:rsidRPr="00AC41E0">
        <w:t xml:space="preserve"> will be delivered</w:t>
      </w:r>
      <w:r w:rsidR="00776BF8" w:rsidRPr="00AC41E0">
        <w:t xml:space="preserve"> will</w:t>
      </w:r>
      <w:r w:rsidRPr="00AC41E0">
        <w:t xml:space="preserve"> help mitigate risks that c</w:t>
      </w:r>
      <w:r w:rsidR="00776BF8" w:rsidRPr="00AC41E0">
        <w:t>an</w:t>
      </w:r>
      <w:r w:rsidRPr="00AC41E0">
        <w:t xml:space="preserve"> undermine </w:t>
      </w:r>
      <w:r w:rsidR="009B63DC" w:rsidRPr="00AC41E0">
        <w:t>it</w:t>
      </w:r>
      <w:r w:rsidRPr="00AC41E0">
        <w:t xml:space="preserve">.  </w:t>
      </w:r>
    </w:p>
    <w:p w14:paraId="0E82E583" w14:textId="11370F40" w:rsidR="00881E46" w:rsidRPr="00AC41E0" w:rsidRDefault="00C16C8B" w:rsidP="00C16C8B">
      <w:pPr>
        <w:pStyle w:val="DCSbodytext"/>
      </w:pPr>
      <w:r w:rsidRPr="00AC41E0">
        <w:t xml:space="preserve">Given the newness and complexity of </w:t>
      </w:r>
      <w:r w:rsidR="003D5E9D" w:rsidRPr="00AC41E0">
        <w:t>IoT-enabled project</w:t>
      </w:r>
      <w:r w:rsidRPr="00AC41E0">
        <w:t xml:space="preserve">s and the number of </w:t>
      </w:r>
      <w:r w:rsidR="00BE7BC4" w:rsidRPr="00AC41E0">
        <w:t>factors</w:t>
      </w:r>
      <w:r w:rsidRPr="00AC41E0">
        <w:t xml:space="preserve"> that need to be considered </w:t>
      </w:r>
      <w:r w:rsidR="0098357D" w:rsidRPr="00AC41E0">
        <w:t>to deliver a s</w:t>
      </w:r>
      <w:r w:rsidRPr="00AC41E0">
        <w:t>uccessful project, it is important to plan u</w:t>
      </w:r>
      <w:r w:rsidR="00E5271B" w:rsidRPr="00AC41E0">
        <w:t>p</w:t>
      </w:r>
      <w:r w:rsidRPr="00AC41E0">
        <w:t>front.</w:t>
      </w:r>
    </w:p>
    <w:p w14:paraId="7D7A8B82" w14:textId="72B820AC" w:rsidR="00DD3728" w:rsidRPr="00AC41E0" w:rsidRDefault="003E63E3" w:rsidP="00DD3728">
      <w:pPr>
        <w:pStyle w:val="Heading3"/>
        <w:rPr>
          <w:rFonts w:ascii="Arial" w:hAnsi="Arial"/>
        </w:rPr>
      </w:pPr>
      <w:bookmarkStart w:id="456" w:name="_Toc65760486"/>
      <w:r w:rsidRPr="00AC41E0">
        <w:rPr>
          <w:rFonts w:ascii="Arial" w:hAnsi="Arial"/>
        </w:rPr>
        <w:t xml:space="preserve">Things to consider </w:t>
      </w:r>
      <w:r w:rsidR="00DD3728" w:rsidRPr="00AC41E0">
        <w:rPr>
          <w:rFonts w:ascii="Arial" w:hAnsi="Arial"/>
        </w:rPr>
        <w:t>when planning an IoT</w:t>
      </w:r>
      <w:r w:rsidR="00561DA8" w:rsidRPr="00AC41E0">
        <w:rPr>
          <w:rFonts w:ascii="Arial" w:hAnsi="Arial"/>
        </w:rPr>
        <w:t>-enabled</w:t>
      </w:r>
      <w:r w:rsidR="00DD3728" w:rsidRPr="00AC41E0">
        <w:rPr>
          <w:rFonts w:ascii="Arial" w:hAnsi="Arial"/>
        </w:rPr>
        <w:t xml:space="preserve"> project</w:t>
      </w:r>
      <w:bookmarkEnd w:id="456"/>
    </w:p>
    <w:p w14:paraId="32149D15" w14:textId="0850B50A" w:rsidR="008B1758" w:rsidRPr="00AC41E0" w:rsidRDefault="008108EB" w:rsidP="008B1758">
      <w:pPr>
        <w:pStyle w:val="DCSbodytext"/>
      </w:pPr>
      <w:r w:rsidRPr="00AC41E0">
        <w:t>Y</w:t>
      </w:r>
      <w:r w:rsidR="00214CB6" w:rsidRPr="00AC41E0">
        <w:t>ou need</w:t>
      </w:r>
      <w:r w:rsidR="008B1758" w:rsidRPr="00AC41E0">
        <w:t xml:space="preserve"> to understand and consider your organisation’s goals, strategic directions and your business problem</w:t>
      </w:r>
      <w:r w:rsidRPr="00AC41E0">
        <w:t xml:space="preserve"> prior to starting your IoT-enabled project</w:t>
      </w:r>
      <w:r w:rsidR="008B1758" w:rsidRPr="00AC41E0">
        <w:t>. It is worthwhile exploring if your project feeds into a larger portfolio or program of work, such as to ‘make your city smarter’</w:t>
      </w:r>
      <w:r w:rsidR="002C5CCB" w:rsidRPr="00AC41E0">
        <w:t xml:space="preserve">. This will help you to </w:t>
      </w:r>
      <w:r w:rsidR="00B2387B" w:rsidRPr="00AC41E0">
        <w:t>achieve</w:t>
      </w:r>
      <w:r w:rsidR="002C5CCB" w:rsidRPr="00AC41E0">
        <w:t xml:space="preserve"> alignment </w:t>
      </w:r>
      <w:r w:rsidR="00B2387B" w:rsidRPr="00AC41E0">
        <w:t>between your project and</w:t>
      </w:r>
      <w:r w:rsidR="002C5CCB" w:rsidRPr="00AC41E0">
        <w:t xml:space="preserve"> existing priorities</w:t>
      </w:r>
      <w:r w:rsidR="008B1758" w:rsidRPr="00AC41E0">
        <w:t xml:space="preserve">. </w:t>
      </w:r>
    </w:p>
    <w:p w14:paraId="5BDB0804" w14:textId="2BF989EB" w:rsidR="008B1758" w:rsidRPr="00AC41E0" w:rsidRDefault="006C273C" w:rsidP="008B1758">
      <w:pPr>
        <w:pStyle w:val="DCSbodytext"/>
      </w:pPr>
      <w:r w:rsidRPr="00AC41E0">
        <w:t>Take time to consider the needs of your</w:t>
      </w:r>
      <w:r w:rsidR="008B1758" w:rsidRPr="00AC41E0">
        <w:t xml:space="preserve"> user</w:t>
      </w:r>
      <w:r w:rsidRPr="00AC41E0">
        <w:t>s</w:t>
      </w:r>
      <w:r w:rsidR="008B1758" w:rsidRPr="00AC41E0">
        <w:t xml:space="preserve"> and customer</w:t>
      </w:r>
      <w:r w:rsidRPr="00AC41E0">
        <w:t>s</w:t>
      </w:r>
      <w:r w:rsidR="008B1758" w:rsidRPr="00AC41E0">
        <w:t xml:space="preserve">. Having customers at the centre of your </w:t>
      </w:r>
      <w:r w:rsidR="003D5E9D" w:rsidRPr="00AC41E0">
        <w:t>IoT-enabled project</w:t>
      </w:r>
      <w:r w:rsidR="008B1758" w:rsidRPr="00AC41E0">
        <w:t xml:space="preserve"> can </w:t>
      </w:r>
      <w:r w:rsidR="00545BF0" w:rsidRPr="00AC41E0">
        <w:t xml:space="preserve">provide </w:t>
      </w:r>
      <w:r w:rsidR="00786AC1" w:rsidRPr="00AC41E0">
        <w:t>a</w:t>
      </w:r>
      <w:r w:rsidR="00545BF0" w:rsidRPr="00AC41E0">
        <w:t xml:space="preserve"> focus </w:t>
      </w:r>
      <w:r w:rsidR="003E17F7" w:rsidRPr="00AC41E0">
        <w:t>for</w:t>
      </w:r>
      <w:r w:rsidR="00545BF0" w:rsidRPr="00AC41E0">
        <w:t xml:space="preserve"> prioritising issues and solutions</w:t>
      </w:r>
      <w:r w:rsidR="00C80A75" w:rsidRPr="00AC41E0">
        <w:t xml:space="preserve"> and ensur</w:t>
      </w:r>
      <w:r w:rsidR="00786AC1" w:rsidRPr="00AC41E0">
        <w:t>ing</w:t>
      </w:r>
      <w:r w:rsidR="00C80A75" w:rsidRPr="00AC41E0">
        <w:t xml:space="preserve"> that your project addresses what it is intended to</w:t>
      </w:r>
      <w:r w:rsidR="009D7982" w:rsidRPr="00AC41E0">
        <w:t xml:space="preserve"> ensure it is successful</w:t>
      </w:r>
      <w:r w:rsidR="00C80A75" w:rsidRPr="00AC41E0">
        <w:t xml:space="preserve">. </w:t>
      </w:r>
    </w:p>
    <w:p w14:paraId="7CCF760A" w14:textId="0587C1FF" w:rsidR="008B1758" w:rsidRPr="00AC41E0" w:rsidRDefault="008B1758" w:rsidP="008B1758">
      <w:pPr>
        <w:pStyle w:val="DCSbodytext"/>
      </w:pPr>
      <w:r w:rsidRPr="00AC41E0">
        <w:t xml:space="preserve">While there is no whole of government project planning policy, </w:t>
      </w:r>
      <w:r w:rsidR="00CB67F6" w:rsidRPr="00AC41E0">
        <w:t xml:space="preserve">organisations may have their own </w:t>
      </w:r>
      <w:r w:rsidRPr="00AC41E0">
        <w:t xml:space="preserve">project planning guidelines and/or a Project Management Office to assist with project planning and project management. </w:t>
      </w:r>
    </w:p>
    <w:p w14:paraId="6146E7EB" w14:textId="5680406E" w:rsidR="00DD3728" w:rsidRPr="00AC41E0" w:rsidRDefault="00DD3728" w:rsidP="00DD3728">
      <w:pPr>
        <w:pStyle w:val="Heading3"/>
        <w:rPr>
          <w:rFonts w:ascii="Arial" w:hAnsi="Arial"/>
        </w:rPr>
      </w:pPr>
      <w:bookmarkStart w:id="457" w:name="_Assigning_roles,_responsibilities"/>
      <w:bookmarkStart w:id="458" w:name="_Toc65760487"/>
      <w:bookmarkEnd w:id="457"/>
      <w:r w:rsidRPr="00AC41E0">
        <w:rPr>
          <w:rFonts w:ascii="Arial" w:hAnsi="Arial"/>
        </w:rPr>
        <w:t>Assigning roles, responsibilities and accountability</w:t>
      </w:r>
      <w:bookmarkEnd w:id="458"/>
    </w:p>
    <w:p w14:paraId="6AF16127" w14:textId="1B3DE93F" w:rsidR="004D6E14" w:rsidRPr="00AC41E0" w:rsidRDefault="00C9628D" w:rsidP="004D6E14">
      <w:pPr>
        <w:pStyle w:val="DCSbodytext"/>
      </w:pPr>
      <w:r w:rsidRPr="00AC41E0">
        <w:t>P</w:t>
      </w:r>
      <w:r w:rsidR="004D6E14" w:rsidRPr="00AC41E0">
        <w:t>roject</w:t>
      </w:r>
      <w:r w:rsidRPr="00AC41E0">
        <w:t>s require a</w:t>
      </w:r>
      <w:r w:rsidR="004D6E14" w:rsidRPr="00AC41E0">
        <w:t>dequate oversight and management to ensure</w:t>
      </w:r>
      <w:r w:rsidR="00504102" w:rsidRPr="00AC41E0">
        <w:t xml:space="preserve"> that</w:t>
      </w:r>
      <w:r w:rsidR="004D6E14" w:rsidRPr="00AC41E0">
        <w:t xml:space="preserve"> plans are followed, risks are minimised, decisions made remain relevant and benefits are maximised. The multifaceted nature of IoT means it is </w:t>
      </w:r>
      <w:r w:rsidR="00B96042" w:rsidRPr="00AC41E0">
        <w:t>essenti</w:t>
      </w:r>
      <w:r w:rsidR="005D2A1C" w:rsidRPr="00AC41E0">
        <w:t>a</w:t>
      </w:r>
      <w:r w:rsidR="00B96042" w:rsidRPr="00AC41E0">
        <w:t>l</w:t>
      </w:r>
      <w:r w:rsidR="004D6E14" w:rsidRPr="00AC41E0">
        <w:t xml:space="preserve"> that roles and responsibilities are assigned and understood for each aspect of your project, including data, cybersecurity, privacy, hardware, software applications</w:t>
      </w:r>
      <w:r w:rsidR="00510D17" w:rsidRPr="00AC41E0">
        <w:t>,</w:t>
      </w:r>
      <w:r w:rsidR="004D6E14" w:rsidRPr="00AC41E0">
        <w:t xml:space="preserve"> and system architecture. </w:t>
      </w:r>
    </w:p>
    <w:p w14:paraId="783C1F93" w14:textId="5DD6BDE3" w:rsidR="00DD3728" w:rsidRPr="00AC41E0" w:rsidRDefault="00DD3728" w:rsidP="00DD3728">
      <w:pPr>
        <w:pStyle w:val="Heading4"/>
        <w:rPr>
          <w:rFonts w:ascii="Arial" w:hAnsi="Arial"/>
        </w:rPr>
      </w:pPr>
      <w:r w:rsidRPr="00AC41E0">
        <w:rPr>
          <w:rFonts w:ascii="Arial" w:hAnsi="Arial"/>
        </w:rPr>
        <w:t>Responsibility for data</w:t>
      </w:r>
      <w:r w:rsidR="0021068E" w:rsidRPr="00AC41E0">
        <w:rPr>
          <w:rFonts w:ascii="Arial" w:hAnsi="Arial"/>
        </w:rPr>
        <w:t xml:space="preserve"> </w:t>
      </w:r>
    </w:p>
    <w:p w14:paraId="5EB9A873" w14:textId="732B04F0" w:rsidR="0021068E" w:rsidRPr="00AC41E0" w:rsidRDefault="00977326">
      <w:pPr>
        <w:pStyle w:val="DCSbodytext"/>
        <w:rPr>
          <w:rFonts w:cs="Arial"/>
        </w:rPr>
      </w:pPr>
      <w:r w:rsidRPr="00AC41E0">
        <w:rPr>
          <w:rFonts w:cs="Arial"/>
        </w:rPr>
        <w:t>Y</w:t>
      </w:r>
      <w:r w:rsidR="001A1889" w:rsidRPr="00AC41E0">
        <w:rPr>
          <w:rFonts w:cs="Arial"/>
        </w:rPr>
        <w:t xml:space="preserve">ou need to </w:t>
      </w:r>
      <w:r w:rsidR="004536B6" w:rsidRPr="00AC41E0">
        <w:rPr>
          <w:rFonts w:cs="Arial"/>
        </w:rPr>
        <w:t>make certain</w:t>
      </w:r>
      <w:r w:rsidR="0021068E" w:rsidRPr="00AC41E0">
        <w:rPr>
          <w:rFonts w:cs="Arial"/>
        </w:rPr>
        <w:t xml:space="preserve"> that clear responsibilities are allocated for </w:t>
      </w:r>
      <w:r w:rsidR="00846F4D" w:rsidRPr="00AC41E0">
        <w:rPr>
          <w:rFonts w:cs="Arial"/>
        </w:rPr>
        <w:t xml:space="preserve">IoT </w:t>
      </w:r>
      <w:r w:rsidR="0021068E" w:rsidRPr="00AC41E0">
        <w:rPr>
          <w:rFonts w:cs="Arial"/>
        </w:rPr>
        <w:t>data ownership and management</w:t>
      </w:r>
      <w:r w:rsidR="00AA3347" w:rsidRPr="00AC41E0">
        <w:rPr>
          <w:rFonts w:cs="Arial"/>
        </w:rPr>
        <w:t>.</w:t>
      </w:r>
      <w:r w:rsidR="00D85EF7" w:rsidRPr="00AC41E0">
        <w:rPr>
          <w:rFonts w:cs="Arial"/>
        </w:rPr>
        <w:t xml:space="preserve"> </w:t>
      </w:r>
      <w:r w:rsidR="0021068E" w:rsidRPr="00AC41E0">
        <w:t xml:space="preserve">Your </w:t>
      </w:r>
      <w:r w:rsidR="00AA3347" w:rsidRPr="00AC41E0">
        <w:rPr>
          <w:rFonts w:cs="Arial"/>
        </w:rPr>
        <w:t xml:space="preserve">organisation’s </w:t>
      </w:r>
      <w:r w:rsidR="0021068E" w:rsidRPr="00AC41E0">
        <w:t xml:space="preserve">data governance frameworks should identify who has responsibility for your IoT data and who is responsible for giving permission for open data release or data sharing. Data sharing agreements should specify data rights, including whether ownership of the data will be transferred to the third party. </w:t>
      </w:r>
    </w:p>
    <w:p w14:paraId="13802291" w14:textId="2D7B3AA4" w:rsidR="0021068E" w:rsidRPr="00AC41E0" w:rsidRDefault="0021068E" w:rsidP="0021068E">
      <w:pPr>
        <w:pStyle w:val="DCSbodytext"/>
        <w:rPr>
          <w:rFonts w:cs="Arial"/>
        </w:rPr>
      </w:pPr>
      <w:r w:rsidRPr="00AC41E0">
        <w:rPr>
          <w:rFonts w:cs="Arial"/>
        </w:rPr>
        <w:t xml:space="preserve">Even under service arrangements, NSW Government agencies </w:t>
      </w:r>
      <w:r w:rsidR="006B4AEC" w:rsidRPr="00AC41E0">
        <w:rPr>
          <w:rFonts w:cs="Arial"/>
        </w:rPr>
        <w:t>are the custodian</w:t>
      </w:r>
      <w:r w:rsidR="00D60FE8" w:rsidRPr="00AC41E0">
        <w:rPr>
          <w:rFonts w:cs="Arial"/>
        </w:rPr>
        <w:t xml:space="preserve"> </w:t>
      </w:r>
      <w:r w:rsidRPr="00AC41E0">
        <w:rPr>
          <w:rFonts w:cs="Arial"/>
        </w:rPr>
        <w:t>hold</w:t>
      </w:r>
      <w:r w:rsidR="00D60FE8" w:rsidRPr="00AC41E0">
        <w:rPr>
          <w:rFonts w:cs="Arial"/>
        </w:rPr>
        <w:t>ing</w:t>
      </w:r>
      <w:r w:rsidRPr="00AC41E0">
        <w:rPr>
          <w:rFonts w:cs="Arial"/>
        </w:rPr>
        <w:t xml:space="preserve"> overall accountability and responsibility for their data. A NSW Government agency may delegate its responsibility for the day-to-day creation and management of data to another organisation, but </w:t>
      </w:r>
      <w:r w:rsidR="00493202" w:rsidRPr="00AC41E0">
        <w:rPr>
          <w:rFonts w:cs="Arial"/>
        </w:rPr>
        <w:t>it</w:t>
      </w:r>
      <w:r w:rsidRPr="00AC41E0">
        <w:rPr>
          <w:rFonts w:cs="Arial"/>
        </w:rPr>
        <w:t xml:space="preserve"> will continue to have overarching responsibility for the integrity and accountability of its data. These responsibilities are usually delegated to Secretaries or agency heads under </w:t>
      </w:r>
      <w:r w:rsidR="00AA0E89" w:rsidRPr="00AC41E0">
        <w:rPr>
          <w:rFonts w:cs="Arial"/>
        </w:rPr>
        <w:t>different</w:t>
      </w:r>
      <w:r w:rsidRPr="00AC41E0">
        <w:rPr>
          <w:rFonts w:cs="Arial"/>
        </w:rPr>
        <w:t xml:space="preserve"> NSW legislation. This means that </w:t>
      </w:r>
      <w:r w:rsidR="009645DB" w:rsidRPr="00AC41E0">
        <w:rPr>
          <w:rFonts w:cs="Arial"/>
        </w:rPr>
        <w:t>each</w:t>
      </w:r>
      <w:r w:rsidRPr="00AC41E0">
        <w:rPr>
          <w:rFonts w:cs="Arial"/>
        </w:rPr>
        <w:t xml:space="preserve"> NSW Government </w:t>
      </w:r>
      <w:r w:rsidRPr="00AC41E0">
        <w:rPr>
          <w:rFonts w:cs="Arial"/>
        </w:rPr>
        <w:lastRenderedPageBreak/>
        <w:t xml:space="preserve">agency must ensure that any legal risks are managed and controlled, including ownership and sovereignty issues. </w:t>
      </w:r>
    </w:p>
    <w:p w14:paraId="35BABF89" w14:textId="77777777" w:rsidR="0021068E" w:rsidRPr="00AC41E0" w:rsidRDefault="0021068E" w:rsidP="0021068E">
      <w:pPr>
        <w:pStyle w:val="DCSbodytext"/>
        <w:rPr>
          <w:rFonts w:cs="Arial"/>
        </w:rPr>
      </w:pPr>
      <w:r w:rsidRPr="00AC41E0">
        <w:rPr>
          <w:rFonts w:cs="Arial"/>
        </w:rPr>
        <w:t xml:space="preserve">In addition, all data and information assets that are products of NSW public sector bodies fall under the </w:t>
      </w:r>
      <w:hyperlink r:id="rId55" w:anchor="/view/act/1998/17" w:history="1">
        <w:r w:rsidRPr="00AC41E0">
          <w:rPr>
            <w:rStyle w:val="Hyperlink"/>
            <w:rFonts w:cs="Arial"/>
            <w:i/>
          </w:rPr>
          <w:t>State Records Act 1998</w:t>
        </w:r>
        <w:r w:rsidRPr="00AC41E0">
          <w:rPr>
            <w:rStyle w:val="Hyperlink"/>
            <w:rFonts w:cs="Arial"/>
          </w:rPr>
          <w:t xml:space="preserve"> (NSW)</w:t>
        </w:r>
      </w:hyperlink>
      <w:r w:rsidRPr="00E46FB0">
        <w:rPr>
          <w:rFonts w:cs="Arial"/>
        </w:rPr>
        <w:t>. Un</w:t>
      </w:r>
      <w:r w:rsidRPr="00AC41E0">
        <w:rPr>
          <w:rFonts w:cs="Arial"/>
        </w:rPr>
        <w:t xml:space="preserve">der the Act, custodians are responsible for the creation, management, protection and maintenance of their datasets, even when these management responsibilities have been delegated to another agency. </w:t>
      </w:r>
    </w:p>
    <w:p w14:paraId="5852C0B6" w14:textId="5E22778B" w:rsidR="0021068E" w:rsidRPr="00AC41E0" w:rsidRDefault="0021068E" w:rsidP="0021068E">
      <w:pPr>
        <w:pStyle w:val="DCSbodytext"/>
        <w:rPr>
          <w:rFonts w:cs="Arial"/>
        </w:rPr>
      </w:pPr>
      <w:r w:rsidRPr="00AC41E0">
        <w:rPr>
          <w:rFonts w:cs="Arial"/>
        </w:rPr>
        <w:t xml:space="preserve">See </w:t>
      </w:r>
      <w:hyperlink w:anchor="_Data_considerations_for_3" w:history="1">
        <w:r w:rsidR="009839A0" w:rsidRPr="00AC41E0">
          <w:rPr>
            <w:rStyle w:val="Hyperlink"/>
            <w:rFonts w:cs="Arial"/>
          </w:rPr>
          <w:t>C</w:t>
        </w:r>
        <w:r w:rsidR="000F3CA4" w:rsidRPr="00AC41E0">
          <w:rPr>
            <w:rStyle w:val="Hyperlink"/>
            <w:rFonts w:cs="Arial"/>
          </w:rPr>
          <w:t>hapter 5.2 D</w:t>
        </w:r>
        <w:r w:rsidRPr="00AC41E0">
          <w:rPr>
            <w:rStyle w:val="Hyperlink"/>
            <w:rFonts w:cs="Arial"/>
          </w:rPr>
          <w:t>ata considerations for contracting</w:t>
        </w:r>
      </w:hyperlink>
      <w:r w:rsidRPr="00E46FB0">
        <w:rPr>
          <w:rFonts w:cs="Arial"/>
        </w:rPr>
        <w:t xml:space="preserve"> for more information on contractual arrangements around data ownership and responsibilities.</w:t>
      </w:r>
    </w:p>
    <w:p w14:paraId="2B522472" w14:textId="5A967869" w:rsidR="003B3F22" w:rsidRPr="00AC41E0" w:rsidRDefault="003B3F22" w:rsidP="00DD3728">
      <w:pPr>
        <w:pStyle w:val="Heading3"/>
        <w:rPr>
          <w:rFonts w:ascii="Arial" w:hAnsi="Arial"/>
        </w:rPr>
      </w:pPr>
      <w:bookmarkStart w:id="459" w:name="_Toc65760488"/>
      <w:r w:rsidRPr="00AC41E0">
        <w:rPr>
          <w:rFonts w:ascii="Arial" w:hAnsi="Arial"/>
        </w:rPr>
        <w:t>Planning for evaluation</w:t>
      </w:r>
      <w:bookmarkEnd w:id="459"/>
    </w:p>
    <w:p w14:paraId="10F08155" w14:textId="737C7B1D" w:rsidR="00E457A3" w:rsidRPr="00AC41E0" w:rsidRDefault="00AA2F45" w:rsidP="00AA2F45">
      <w:pPr>
        <w:pStyle w:val="DCSbodytext"/>
      </w:pPr>
      <w:r w:rsidRPr="00AC41E0">
        <w:t>Evaluation planning should start when the project is being designed and planned</w:t>
      </w:r>
      <w:r w:rsidR="002F446E" w:rsidRPr="00AC41E0">
        <w:t xml:space="preserve">. Much of the planning for evaluation can </w:t>
      </w:r>
      <w:r w:rsidR="00510D17" w:rsidRPr="00AC41E0">
        <w:t xml:space="preserve">be </w:t>
      </w:r>
      <w:r w:rsidR="002F446E" w:rsidRPr="00AC41E0">
        <w:t>completed</w:t>
      </w:r>
      <w:r w:rsidRPr="00AC41E0">
        <w:t xml:space="preserve"> before the project </w:t>
      </w:r>
      <w:r w:rsidR="002F446E" w:rsidRPr="00AC41E0">
        <w:t>has started to</w:t>
      </w:r>
      <w:r w:rsidR="00D4293D" w:rsidRPr="00AC41E0">
        <w:t xml:space="preserve"> be implemented.</w:t>
      </w:r>
      <w:r w:rsidR="00E457A3" w:rsidRPr="00AC41E0">
        <w:t xml:space="preserve"> </w:t>
      </w:r>
    </w:p>
    <w:p w14:paraId="3456FD0A" w14:textId="7B95C070" w:rsidR="00AA2F45" w:rsidRPr="00AC41E0" w:rsidRDefault="001B28B7" w:rsidP="00AA2F45">
      <w:pPr>
        <w:pStyle w:val="DCSbodytext"/>
      </w:pPr>
      <w:r w:rsidRPr="00AC41E0">
        <w:t xml:space="preserve">Planning for evaluation means that </w:t>
      </w:r>
      <w:r w:rsidR="00914256" w:rsidRPr="00AC41E0">
        <w:t>you can set a baseline against which you evaluate the results of your project. You will also k</w:t>
      </w:r>
      <w:r w:rsidR="00AA2F45" w:rsidRPr="00AC41E0">
        <w:t>now wh</w:t>
      </w:r>
      <w:r w:rsidR="00914256" w:rsidRPr="00AC41E0">
        <w:t>at</w:t>
      </w:r>
      <w:r w:rsidR="00AA2F45" w:rsidRPr="00AC41E0">
        <w:t xml:space="preserve"> data and information to collect during the project to support your evaluation. Integrating evaluation with </w:t>
      </w:r>
      <w:r w:rsidR="008962FC" w:rsidRPr="00AC41E0">
        <w:t>the</w:t>
      </w:r>
      <w:r w:rsidR="00AA2F45" w:rsidRPr="00AC41E0">
        <w:t xml:space="preserve"> project</w:t>
      </w:r>
      <w:r w:rsidR="008962FC" w:rsidRPr="00AC41E0">
        <w:t xml:space="preserve"> cycle</w:t>
      </w:r>
      <w:r w:rsidR="00AA2F45" w:rsidRPr="00AC41E0">
        <w:t xml:space="preserve"> </w:t>
      </w:r>
      <w:r w:rsidR="00B009F5" w:rsidRPr="00AC41E0">
        <w:t>supports</w:t>
      </w:r>
      <w:r w:rsidR="00AA2F45" w:rsidRPr="00AC41E0">
        <w:t xml:space="preserve"> a stronger, more effective evaluation, and helps to identify outcome measures and KPIs for your business case. </w:t>
      </w:r>
    </w:p>
    <w:p w14:paraId="08363FB4" w14:textId="33B90143" w:rsidR="00AA2F45" w:rsidRPr="00AC41E0" w:rsidRDefault="00AA2F45" w:rsidP="00AA2F45">
      <w:pPr>
        <w:pStyle w:val="DCSbodytext"/>
      </w:pPr>
      <w:r w:rsidRPr="00AC41E0">
        <w:t xml:space="preserve">See the </w:t>
      </w:r>
      <w:hyperlink r:id="rId56" w:history="1">
        <w:r w:rsidRPr="00AC41E0">
          <w:rPr>
            <w:rStyle w:val="Hyperlink"/>
          </w:rPr>
          <w:t>Evaluation Toolkit</w:t>
        </w:r>
      </w:hyperlink>
      <w:r w:rsidRPr="00E46FB0">
        <w:t xml:space="preserve"> for assistance on developing evaluation plans, and speak to your </w:t>
      </w:r>
      <w:r w:rsidR="003B6EE7" w:rsidRPr="00AC41E0">
        <w:t>organisation’s</w:t>
      </w:r>
      <w:r w:rsidRPr="00AC41E0">
        <w:t xml:space="preserve">  Evaluation team. Further information </w:t>
      </w:r>
      <w:r w:rsidR="00C712D4" w:rsidRPr="00AC41E0">
        <w:t xml:space="preserve">on evaluation </w:t>
      </w:r>
      <w:r w:rsidRPr="00AC41E0">
        <w:t xml:space="preserve">can be found in </w:t>
      </w:r>
      <w:hyperlink w:anchor="_Evaluation_1" w:history="1">
        <w:r w:rsidR="009839A0" w:rsidRPr="00AC41E0">
          <w:rPr>
            <w:rStyle w:val="Hyperlink"/>
          </w:rPr>
          <w:t>Chapter 8.1 E</w:t>
        </w:r>
        <w:r w:rsidRPr="00AC41E0">
          <w:rPr>
            <w:rStyle w:val="Hyperlink"/>
          </w:rPr>
          <w:t>valuation</w:t>
        </w:r>
      </w:hyperlink>
      <w:r w:rsidRPr="00E46FB0">
        <w:t xml:space="preserve">. </w:t>
      </w:r>
    </w:p>
    <w:p w14:paraId="55603A86" w14:textId="773F595C" w:rsidR="00EC1D51" w:rsidRPr="00AC41E0" w:rsidRDefault="00EC1D51" w:rsidP="00100B3C">
      <w:pPr>
        <w:pStyle w:val="DCSbodytext"/>
        <w:spacing w:after="0"/>
      </w:pPr>
    </w:p>
    <w:p w14:paraId="3E3B3C47" w14:textId="3129DA99" w:rsidR="00EC1D51" w:rsidRPr="00AC41E0" w:rsidRDefault="00EC1D51" w:rsidP="00EC1D51">
      <w:pPr>
        <w:pStyle w:val="DCSbodytext"/>
        <w:jc w:val="center"/>
        <w:rPr>
          <w:b/>
        </w:rPr>
      </w:pPr>
      <w:r w:rsidRPr="00AC41E0">
        <w:rPr>
          <w:b/>
        </w:rPr>
        <w:t>The evaluation process across the project or program cycle</w:t>
      </w:r>
    </w:p>
    <w:p w14:paraId="3A850B88" w14:textId="68E6C863" w:rsidR="008E650E" w:rsidRPr="00E46FB0" w:rsidRDefault="008E650E" w:rsidP="00110CB8">
      <w:pPr>
        <w:jc w:val="center"/>
        <w:rPr>
          <w:rFonts w:ascii="Arial" w:eastAsia="Arial Bold" w:hAnsi="Arial" w:cs="Arial"/>
          <w:b/>
          <w:color w:val="000000"/>
          <w:szCs w:val="40"/>
        </w:rPr>
      </w:pPr>
      <w:r w:rsidRPr="00E46FB0">
        <w:rPr>
          <w:noProof/>
        </w:rPr>
        <w:drawing>
          <wp:inline distT="0" distB="0" distL="0" distR="0" wp14:anchorId="15997A97" wp14:editId="51D362E9">
            <wp:extent cx="5775323" cy="2951480"/>
            <wp:effectExtent l="0" t="0" r="0" b="1270"/>
            <wp:docPr id="52" name="Picture 52" descr="Program cycle: Project planning is when your evaluation planning commences, evaluation plan complete during business case stage, data collection related evaluation activity undertaken during the set-up and use and maintain stages, and evaluation available to inform decision making during the assess st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57">
                      <a:extLst>
                        <a:ext uri="{28A0092B-C50C-407E-A947-70E740481C1C}">
                          <a14:useLocalDpi xmlns:a14="http://schemas.microsoft.com/office/drawing/2010/main" val="0"/>
                        </a:ext>
                      </a:extLst>
                    </a:blip>
                    <a:stretch>
                      <a:fillRect/>
                    </a:stretch>
                  </pic:blipFill>
                  <pic:spPr>
                    <a:xfrm>
                      <a:off x="0" y="0"/>
                      <a:ext cx="5775323" cy="2951480"/>
                    </a:xfrm>
                    <a:prstGeom prst="rect">
                      <a:avLst/>
                    </a:prstGeom>
                  </pic:spPr>
                </pic:pic>
              </a:graphicData>
            </a:graphic>
          </wp:inline>
        </w:drawing>
      </w:r>
    </w:p>
    <w:p w14:paraId="35943840" w14:textId="36C4F7E7" w:rsidR="00DD3728" w:rsidRPr="00AC41E0" w:rsidRDefault="00DD3728" w:rsidP="00DD3728">
      <w:pPr>
        <w:pStyle w:val="Heading3"/>
        <w:rPr>
          <w:rFonts w:ascii="Arial" w:hAnsi="Arial"/>
        </w:rPr>
      </w:pPr>
      <w:bookmarkStart w:id="460" w:name="_Toc65760489"/>
      <w:r w:rsidRPr="00AC41E0">
        <w:rPr>
          <w:rFonts w:ascii="Arial" w:hAnsi="Arial"/>
        </w:rPr>
        <w:t>Checklist of project planning considerations</w:t>
      </w:r>
      <w:bookmarkEnd w:id="460"/>
      <w:r w:rsidRPr="00AC41E0">
        <w:rPr>
          <w:rFonts w:ascii="Arial" w:hAnsi="Arial"/>
        </w:rPr>
        <w:tab/>
      </w:r>
    </w:p>
    <w:p w14:paraId="14088CBF" w14:textId="69A632FA" w:rsidR="008945FC" w:rsidRPr="00AC41E0" w:rsidRDefault="008945FC" w:rsidP="008945FC">
      <w:pPr>
        <w:pStyle w:val="DCSbodytext"/>
      </w:pPr>
      <w:r w:rsidRPr="00AC41E0">
        <w:t xml:space="preserve">Below is a checklist </w:t>
      </w:r>
      <w:r w:rsidR="0024553A" w:rsidRPr="00AC41E0">
        <w:t xml:space="preserve">of considerations </w:t>
      </w:r>
      <w:r w:rsidR="00056238" w:rsidRPr="00AC41E0">
        <w:t xml:space="preserve">you can use in </w:t>
      </w:r>
      <w:r w:rsidRPr="00AC41E0">
        <w:t>developing your project plan</w:t>
      </w:r>
      <w:r w:rsidR="00720999" w:rsidRPr="00AC41E0">
        <w:t>:</w:t>
      </w:r>
    </w:p>
    <w:p w14:paraId="270C3B61" w14:textId="08B6D126" w:rsidR="008945FC" w:rsidRPr="00AC41E0" w:rsidRDefault="008945FC" w:rsidP="008945FC">
      <w:pPr>
        <w:pStyle w:val="DCSbodytext"/>
      </w:pPr>
      <w:r w:rsidRPr="00AC41E0">
        <w:rPr>
          <w:b/>
        </w:rPr>
        <w:lastRenderedPageBreak/>
        <w:t>Skills and expertise</w:t>
      </w:r>
      <w:r w:rsidR="00E13E2C" w:rsidRPr="00AC41E0">
        <w:rPr>
          <w:b/>
        </w:rPr>
        <w:t xml:space="preserve"> </w:t>
      </w:r>
      <w:r w:rsidR="00E13E2C" w:rsidRPr="00AC41E0">
        <w:t xml:space="preserve">(see </w:t>
      </w:r>
      <w:hyperlink w:anchor="_Skills_and_expertise" w:history="1">
        <w:r w:rsidR="00E13E2C" w:rsidRPr="00AC41E0">
          <w:rPr>
            <w:rStyle w:val="Hyperlink"/>
          </w:rPr>
          <w:t xml:space="preserve">Chapter </w:t>
        </w:r>
        <w:r w:rsidR="00CE742C" w:rsidRPr="00AC41E0">
          <w:rPr>
            <w:rStyle w:val="Hyperlink"/>
          </w:rPr>
          <w:t>2.2 Skills and expertise</w:t>
        </w:r>
      </w:hyperlink>
      <w:r w:rsidR="00E13E2C" w:rsidRPr="00E46FB0">
        <w:t>)</w:t>
      </w:r>
    </w:p>
    <w:p w14:paraId="1B4EB05D" w14:textId="300CD441" w:rsidR="008945FC" w:rsidRPr="00AC41E0" w:rsidRDefault="008945FC" w:rsidP="00003096">
      <w:pPr>
        <w:pStyle w:val="DCSbodytext"/>
        <w:numPr>
          <w:ilvl w:val="0"/>
          <w:numId w:val="159"/>
        </w:numPr>
      </w:pPr>
      <w:r w:rsidRPr="00AC41E0">
        <w:t>I have access</w:t>
      </w:r>
      <w:r w:rsidR="00691175" w:rsidRPr="00AC41E0">
        <w:t xml:space="preserve"> within my organisation</w:t>
      </w:r>
      <w:r w:rsidRPr="00AC41E0">
        <w:t xml:space="preserve"> to the skills I need to deliver my project</w:t>
      </w:r>
    </w:p>
    <w:p w14:paraId="34D09523" w14:textId="2E695EA9" w:rsidR="008945FC" w:rsidRPr="00AC41E0" w:rsidRDefault="008945FC" w:rsidP="00003096">
      <w:pPr>
        <w:pStyle w:val="DCSbodytext"/>
        <w:numPr>
          <w:ilvl w:val="0"/>
          <w:numId w:val="159"/>
        </w:numPr>
      </w:pPr>
      <w:r w:rsidRPr="00AC41E0">
        <w:t xml:space="preserve">I have access to </w:t>
      </w:r>
      <w:r w:rsidR="00EC52D7" w:rsidRPr="00AC41E0">
        <w:t>the necessary</w:t>
      </w:r>
      <w:r w:rsidRPr="00AC41E0">
        <w:t xml:space="preserve"> people </w:t>
      </w:r>
      <w:r w:rsidR="00EC52D7" w:rsidRPr="00AC41E0">
        <w:t xml:space="preserve">and </w:t>
      </w:r>
      <w:r w:rsidRPr="00AC41E0">
        <w:t>resources external to my organisation</w:t>
      </w:r>
    </w:p>
    <w:p w14:paraId="40F61FC7" w14:textId="6BF0CCBD" w:rsidR="008945FC" w:rsidRPr="00AC41E0" w:rsidRDefault="008945FC" w:rsidP="008945FC">
      <w:pPr>
        <w:pStyle w:val="DCSbodytext"/>
        <w:rPr>
          <w:b/>
        </w:rPr>
      </w:pPr>
      <w:r w:rsidRPr="00AC41E0">
        <w:rPr>
          <w:b/>
        </w:rPr>
        <w:t>Roles, responsibilities and accountability</w:t>
      </w:r>
      <w:r w:rsidR="00E13E2C" w:rsidRPr="00AC41E0">
        <w:rPr>
          <w:b/>
        </w:rPr>
        <w:t xml:space="preserve"> </w:t>
      </w:r>
      <w:r w:rsidR="00E13E2C" w:rsidRPr="00AC41E0">
        <w:t xml:space="preserve">(see </w:t>
      </w:r>
      <w:hyperlink w:anchor="_Assigning_roles,_responsibilities" w:history="1">
        <w:r w:rsidR="00E13E2C" w:rsidRPr="00AC41E0">
          <w:rPr>
            <w:rStyle w:val="Hyperlink"/>
          </w:rPr>
          <w:t xml:space="preserve">Chapter </w:t>
        </w:r>
        <w:r w:rsidR="00CE742C" w:rsidRPr="00AC41E0">
          <w:rPr>
            <w:rStyle w:val="Hyperlink"/>
          </w:rPr>
          <w:t>3.1 Project planning</w:t>
        </w:r>
      </w:hyperlink>
      <w:r w:rsidR="00E13E2C" w:rsidRPr="00E46FB0">
        <w:t>)</w:t>
      </w:r>
    </w:p>
    <w:p w14:paraId="3D2DFABF" w14:textId="0F256867" w:rsidR="008945FC" w:rsidRPr="00AC41E0" w:rsidRDefault="008945FC" w:rsidP="00003096">
      <w:pPr>
        <w:pStyle w:val="DCSbodytext"/>
        <w:numPr>
          <w:ilvl w:val="0"/>
          <w:numId w:val="160"/>
        </w:numPr>
      </w:pPr>
      <w:r w:rsidRPr="00AC41E0">
        <w:t xml:space="preserve">I have clearly assigned roles and responsibilities for </w:t>
      </w:r>
      <w:r w:rsidR="00EC52D7" w:rsidRPr="00AC41E0">
        <w:t xml:space="preserve">all </w:t>
      </w:r>
      <w:r w:rsidRPr="00AC41E0">
        <w:t xml:space="preserve">elements of my project, including </w:t>
      </w:r>
      <w:r w:rsidR="00221FCC" w:rsidRPr="00AC41E0">
        <w:t xml:space="preserve">for </w:t>
      </w:r>
      <w:r w:rsidRPr="00AC41E0">
        <w:t>the data that will be generated</w:t>
      </w:r>
    </w:p>
    <w:p w14:paraId="27F948FB" w14:textId="0787844F" w:rsidR="008945FC" w:rsidRPr="00AC41E0" w:rsidRDefault="008945FC" w:rsidP="008945FC">
      <w:pPr>
        <w:pStyle w:val="DCSbodytext"/>
        <w:rPr>
          <w:b/>
        </w:rPr>
      </w:pPr>
      <w:r w:rsidRPr="00AC41E0">
        <w:rPr>
          <w:b/>
        </w:rPr>
        <w:t>Data needs assessment</w:t>
      </w:r>
      <w:r w:rsidR="007116A3" w:rsidRPr="00AC41E0">
        <w:rPr>
          <w:b/>
        </w:rPr>
        <w:t xml:space="preserve"> and data obligations</w:t>
      </w:r>
      <w:r w:rsidR="00E13E2C" w:rsidRPr="00AC41E0">
        <w:rPr>
          <w:b/>
        </w:rPr>
        <w:t xml:space="preserve"> </w:t>
      </w:r>
      <w:r w:rsidR="00E13E2C" w:rsidRPr="00AC41E0">
        <w:t xml:space="preserve">(see </w:t>
      </w:r>
      <w:hyperlink w:anchor="_Data_needs_assessment_1" w:history="1">
        <w:r w:rsidR="00E13E2C" w:rsidRPr="00AC41E0">
          <w:rPr>
            <w:rStyle w:val="Hyperlink"/>
          </w:rPr>
          <w:t>Chapter</w:t>
        </w:r>
        <w:r w:rsidR="002F3FD4" w:rsidRPr="00AC41E0">
          <w:rPr>
            <w:rStyle w:val="Hyperlink"/>
          </w:rPr>
          <w:t xml:space="preserve"> 3.3 Data needs assessment</w:t>
        </w:r>
      </w:hyperlink>
      <w:r w:rsidR="00CC5F8D" w:rsidRPr="00E46FB0">
        <w:t xml:space="preserve"> and </w:t>
      </w:r>
      <w:hyperlink w:anchor="_Data_obligations" w:history="1">
        <w:r w:rsidR="00CC5F8D" w:rsidRPr="00AC41E0">
          <w:rPr>
            <w:rStyle w:val="Hyperlink"/>
          </w:rPr>
          <w:t>Chapter 3.7 Data obligations</w:t>
        </w:r>
      </w:hyperlink>
      <w:r w:rsidR="002F3FD4" w:rsidRPr="00E46FB0">
        <w:t>)</w:t>
      </w:r>
      <w:r w:rsidR="00E13E2C" w:rsidRPr="00AC41E0">
        <w:t xml:space="preserve"> </w:t>
      </w:r>
    </w:p>
    <w:p w14:paraId="217185A0" w14:textId="4BBFF455" w:rsidR="008945FC" w:rsidRPr="00AC41E0" w:rsidRDefault="008945FC" w:rsidP="00003096">
      <w:pPr>
        <w:pStyle w:val="DCSbodytext"/>
        <w:numPr>
          <w:ilvl w:val="0"/>
          <w:numId w:val="160"/>
        </w:numPr>
      </w:pPr>
      <w:r w:rsidRPr="00AC41E0">
        <w:t>I understand how the data developed through my project will be</w:t>
      </w:r>
      <w:r w:rsidRPr="00AC41E0">
        <w:rPr>
          <w:shd w:val="clear" w:color="auto" w:fill="FFFFFF"/>
        </w:rPr>
        <w:t xml:space="preserve"> collected, transmitted, stored, structured, processed, analysed, used and released</w:t>
      </w:r>
    </w:p>
    <w:p w14:paraId="54944B25" w14:textId="77777777" w:rsidR="00D01A0C" w:rsidRPr="00AC41E0" w:rsidRDefault="00D01A0C" w:rsidP="00003096">
      <w:pPr>
        <w:pStyle w:val="DCSbodytext"/>
        <w:numPr>
          <w:ilvl w:val="0"/>
          <w:numId w:val="160"/>
        </w:numPr>
      </w:pPr>
      <w:r w:rsidRPr="00AC41E0">
        <w:t>I know who owns the data that is to be collected</w:t>
      </w:r>
    </w:p>
    <w:p w14:paraId="1B2006B2" w14:textId="77777777" w:rsidR="008945FC" w:rsidRPr="00AC41E0" w:rsidRDefault="008945FC" w:rsidP="00003096">
      <w:pPr>
        <w:pStyle w:val="DCSbodytext"/>
        <w:numPr>
          <w:ilvl w:val="0"/>
          <w:numId w:val="160"/>
        </w:numPr>
      </w:pPr>
      <w:r w:rsidRPr="00AC41E0">
        <w:rPr>
          <w:shd w:val="clear" w:color="auto" w:fill="FFFFFF"/>
        </w:rPr>
        <w:t>I have developed metadata requirements</w:t>
      </w:r>
    </w:p>
    <w:p w14:paraId="325B3E13" w14:textId="098BFF46" w:rsidR="003E066B" w:rsidRPr="00AC41E0" w:rsidRDefault="008945FC" w:rsidP="00003096">
      <w:pPr>
        <w:pStyle w:val="DCSbodytext"/>
        <w:numPr>
          <w:ilvl w:val="0"/>
          <w:numId w:val="160"/>
        </w:numPr>
      </w:pPr>
      <w:r w:rsidRPr="00AC41E0">
        <w:rPr>
          <w:shd w:val="clear" w:color="auto" w:fill="FFFFFF"/>
        </w:rPr>
        <w:t xml:space="preserve">I am aware of </w:t>
      </w:r>
      <w:r w:rsidR="00AC3F69" w:rsidRPr="00AC41E0">
        <w:rPr>
          <w:shd w:val="clear" w:color="auto" w:fill="FFFFFF"/>
        </w:rPr>
        <w:t>any</w:t>
      </w:r>
      <w:r w:rsidR="003E066B" w:rsidRPr="00AC41E0">
        <w:rPr>
          <w:shd w:val="clear" w:color="auto" w:fill="FFFFFF"/>
        </w:rPr>
        <w:t xml:space="preserve"> data-related</w:t>
      </w:r>
      <w:r w:rsidRPr="00AC41E0">
        <w:rPr>
          <w:shd w:val="clear" w:color="auto" w:fill="FFFFFF"/>
        </w:rPr>
        <w:t xml:space="preserve"> limitations in my operating environment and how they may impact </w:t>
      </w:r>
      <w:r w:rsidR="00510D17" w:rsidRPr="00AC41E0">
        <w:rPr>
          <w:shd w:val="clear" w:color="auto" w:fill="FFFFFF"/>
        </w:rPr>
        <w:t xml:space="preserve">the </w:t>
      </w:r>
      <w:r w:rsidR="003E066B" w:rsidRPr="00AC41E0">
        <w:t>use</w:t>
      </w:r>
      <w:r w:rsidR="003C5D52" w:rsidRPr="00AC41E0">
        <w:t xml:space="preserve"> of</w:t>
      </w:r>
      <w:r w:rsidR="003E066B" w:rsidRPr="00AC41E0">
        <w:t xml:space="preserve"> the IoT-generated data or</w:t>
      </w:r>
      <w:r w:rsidR="003C5D52" w:rsidRPr="00AC41E0">
        <w:t xml:space="preserve"> its </w:t>
      </w:r>
      <w:r w:rsidR="003E066B" w:rsidRPr="00AC41E0">
        <w:t>integrat</w:t>
      </w:r>
      <w:r w:rsidR="003C5D52" w:rsidRPr="00AC41E0">
        <w:t>ion</w:t>
      </w:r>
      <w:r w:rsidR="003E066B" w:rsidRPr="00AC41E0">
        <w:t xml:space="preserve"> with work processes</w:t>
      </w:r>
    </w:p>
    <w:p w14:paraId="2157A59F" w14:textId="653ABC03" w:rsidR="007116A3" w:rsidRPr="00AC41E0" w:rsidRDefault="00A57F65" w:rsidP="00003096">
      <w:pPr>
        <w:pStyle w:val="DCSbodytext"/>
        <w:numPr>
          <w:ilvl w:val="0"/>
          <w:numId w:val="160"/>
        </w:numPr>
      </w:pPr>
      <w:r w:rsidRPr="00AC41E0">
        <w:t xml:space="preserve">I understand what open data standards are applicable to my project and what </w:t>
      </w:r>
      <w:r w:rsidR="007116A3" w:rsidRPr="00AC41E0">
        <w:t xml:space="preserve">data </w:t>
      </w:r>
      <w:r w:rsidRPr="00AC41E0">
        <w:t xml:space="preserve">that </w:t>
      </w:r>
      <w:r w:rsidR="007116A3" w:rsidRPr="00AC41E0">
        <w:t>I collect should be made open</w:t>
      </w:r>
    </w:p>
    <w:p w14:paraId="3A798786" w14:textId="5AC0C81B" w:rsidR="007116A3" w:rsidRPr="00AC41E0" w:rsidRDefault="007116A3" w:rsidP="00003096">
      <w:pPr>
        <w:pStyle w:val="DCSbodytext"/>
        <w:numPr>
          <w:ilvl w:val="0"/>
          <w:numId w:val="160"/>
        </w:numPr>
      </w:pPr>
      <w:r w:rsidRPr="00AC41E0">
        <w:t xml:space="preserve">I understand the </w:t>
      </w:r>
      <w:hyperlink r:id="rId58" w:anchor="/view/act/1998/17" w:history="1">
        <w:r w:rsidRPr="00AC41E0">
          <w:rPr>
            <w:rStyle w:val="Hyperlink"/>
            <w:i/>
          </w:rPr>
          <w:t>State Records Act</w:t>
        </w:r>
        <w:r w:rsidR="00927F31" w:rsidRPr="00AC41E0">
          <w:rPr>
            <w:rStyle w:val="Hyperlink"/>
            <w:i/>
          </w:rPr>
          <w:t xml:space="preserve"> 1998</w:t>
        </w:r>
        <w:r w:rsidR="00927F31" w:rsidRPr="00AC41E0">
          <w:rPr>
            <w:rStyle w:val="Hyperlink"/>
          </w:rPr>
          <w:t xml:space="preserve"> (NSW)</w:t>
        </w:r>
      </w:hyperlink>
      <w:r w:rsidRPr="00E46FB0">
        <w:t xml:space="preserve"> requirements I</w:t>
      </w:r>
      <w:r w:rsidR="00CC4D16" w:rsidRPr="00AC41E0">
        <w:t xml:space="preserve"> must</w:t>
      </w:r>
      <w:r w:rsidRPr="00AC41E0">
        <w:t xml:space="preserve"> comply with</w:t>
      </w:r>
    </w:p>
    <w:p w14:paraId="3D85D1FB" w14:textId="52A12E94" w:rsidR="008945FC" w:rsidRPr="00AC41E0" w:rsidRDefault="008945FC" w:rsidP="008945FC">
      <w:pPr>
        <w:pStyle w:val="DCSbodytext"/>
      </w:pPr>
      <w:r w:rsidRPr="00AC41E0">
        <w:rPr>
          <w:b/>
        </w:rPr>
        <w:t>Risk</w:t>
      </w:r>
      <w:r w:rsidR="00E13E2C" w:rsidRPr="00AC41E0">
        <w:rPr>
          <w:b/>
        </w:rPr>
        <w:t xml:space="preserve"> </w:t>
      </w:r>
      <w:r w:rsidR="00E13E2C" w:rsidRPr="00AC41E0">
        <w:t xml:space="preserve">(see </w:t>
      </w:r>
      <w:hyperlink w:anchor="_Risks_and_obligations_2" w:history="1">
        <w:r w:rsidR="00F8376B" w:rsidRPr="00AC41E0">
          <w:rPr>
            <w:rStyle w:val="Hyperlink"/>
            <w:rFonts w:cs="Arial"/>
            <w:szCs w:val="22"/>
          </w:rPr>
          <w:t>Chapter 3.4 Risks and Obligations</w:t>
        </w:r>
      </w:hyperlink>
      <w:r w:rsidR="00E13E2C" w:rsidRPr="00E46FB0">
        <w:t>)</w:t>
      </w:r>
    </w:p>
    <w:p w14:paraId="51D55A82" w14:textId="2219B54B" w:rsidR="008945FC" w:rsidRPr="00AC41E0" w:rsidRDefault="008945FC" w:rsidP="00003096">
      <w:pPr>
        <w:pStyle w:val="DCSbodytext"/>
        <w:numPr>
          <w:ilvl w:val="0"/>
          <w:numId w:val="160"/>
        </w:numPr>
      </w:pPr>
      <w:r w:rsidRPr="00AC41E0">
        <w:t xml:space="preserve">I understand what risks my project may be exposed to </w:t>
      </w:r>
    </w:p>
    <w:p w14:paraId="00FDFC48" w14:textId="13040220" w:rsidR="008945FC" w:rsidRPr="00AC41E0" w:rsidRDefault="008945FC" w:rsidP="00003096">
      <w:pPr>
        <w:pStyle w:val="DCSbodytext"/>
        <w:numPr>
          <w:ilvl w:val="0"/>
          <w:numId w:val="160"/>
        </w:numPr>
      </w:pPr>
      <w:r w:rsidRPr="00AC41E0">
        <w:t xml:space="preserve">I have a plan to mitigate </w:t>
      </w:r>
      <w:r w:rsidR="00243F67" w:rsidRPr="00AC41E0">
        <w:t>identified</w:t>
      </w:r>
      <w:r w:rsidRPr="00AC41E0">
        <w:t xml:space="preserve"> risks</w:t>
      </w:r>
    </w:p>
    <w:p w14:paraId="2AC3FB79" w14:textId="43CD2B86" w:rsidR="008945FC" w:rsidRPr="00AC41E0" w:rsidRDefault="008945FC" w:rsidP="008945FC">
      <w:pPr>
        <w:pStyle w:val="DCSbodytext"/>
      </w:pPr>
      <w:r w:rsidRPr="00AC41E0">
        <w:rPr>
          <w:b/>
        </w:rPr>
        <w:t>Privacy</w:t>
      </w:r>
      <w:r w:rsidR="00E13E2C" w:rsidRPr="00AC41E0">
        <w:rPr>
          <w:b/>
        </w:rPr>
        <w:t xml:space="preserve"> </w:t>
      </w:r>
      <w:r w:rsidR="00E13E2C" w:rsidRPr="00AC41E0">
        <w:t xml:space="preserve">(see </w:t>
      </w:r>
      <w:hyperlink w:anchor="_Privacy" w:history="1">
        <w:r w:rsidR="00F8376B" w:rsidRPr="00AC41E0">
          <w:rPr>
            <w:rStyle w:val="Hyperlink"/>
            <w:rFonts w:cs="Arial"/>
            <w:szCs w:val="22"/>
          </w:rPr>
          <w:t>Chapter 3.5 Privacy</w:t>
        </w:r>
      </w:hyperlink>
      <w:r w:rsidR="00E13E2C" w:rsidRPr="00E46FB0">
        <w:t>)</w:t>
      </w:r>
    </w:p>
    <w:p w14:paraId="3B9315F8" w14:textId="70050013" w:rsidR="008945FC" w:rsidRPr="00AC41E0" w:rsidRDefault="008945FC" w:rsidP="00003096">
      <w:pPr>
        <w:pStyle w:val="DCSbodytext"/>
        <w:numPr>
          <w:ilvl w:val="0"/>
          <w:numId w:val="160"/>
        </w:numPr>
      </w:pPr>
      <w:r w:rsidRPr="00AC41E0">
        <w:t xml:space="preserve">I understand my </w:t>
      </w:r>
      <w:r w:rsidR="00243F67" w:rsidRPr="00AC41E0">
        <w:t xml:space="preserve">organisation’s </w:t>
      </w:r>
      <w:r w:rsidRPr="00AC41E0">
        <w:t>privacy obligations</w:t>
      </w:r>
      <w:r w:rsidR="00AA7566" w:rsidRPr="00AC41E0">
        <w:t>, identified key privacy risks</w:t>
      </w:r>
      <w:r w:rsidR="00953497" w:rsidRPr="00AC41E0">
        <w:t xml:space="preserve"> and </w:t>
      </w:r>
      <w:r w:rsidR="00247FB8" w:rsidRPr="00AC41E0">
        <w:t xml:space="preserve">identified </w:t>
      </w:r>
      <w:r w:rsidR="00953497" w:rsidRPr="00AC41E0">
        <w:t>a</w:t>
      </w:r>
      <w:r w:rsidR="00247FB8" w:rsidRPr="00AC41E0">
        <w:t>ppropriate treatments for those risks</w:t>
      </w:r>
    </w:p>
    <w:p w14:paraId="14BE953D" w14:textId="5ACCDE18" w:rsidR="008945FC" w:rsidRPr="00AC41E0" w:rsidRDefault="008945FC" w:rsidP="008945FC">
      <w:pPr>
        <w:pStyle w:val="DCSbodytext"/>
        <w:rPr>
          <w:b/>
        </w:rPr>
      </w:pPr>
      <w:r w:rsidRPr="00AC41E0">
        <w:rPr>
          <w:b/>
        </w:rPr>
        <w:t>Cyber security</w:t>
      </w:r>
      <w:r w:rsidR="00E13E2C" w:rsidRPr="00AC41E0">
        <w:rPr>
          <w:b/>
        </w:rPr>
        <w:t xml:space="preserve"> </w:t>
      </w:r>
      <w:r w:rsidR="00E13E2C" w:rsidRPr="00AC41E0">
        <w:t xml:space="preserve">(see </w:t>
      </w:r>
      <w:hyperlink w:anchor="_Cyber_Security_1" w:history="1">
        <w:r w:rsidR="00F8376B" w:rsidRPr="00AC41E0">
          <w:rPr>
            <w:rStyle w:val="Hyperlink"/>
            <w:rFonts w:cs="Arial"/>
            <w:szCs w:val="22"/>
          </w:rPr>
          <w:t>Chapter 3.6 Cyber Security</w:t>
        </w:r>
      </w:hyperlink>
      <w:r w:rsidR="00E13E2C" w:rsidRPr="00E46FB0">
        <w:t>)</w:t>
      </w:r>
    </w:p>
    <w:p w14:paraId="6E70018D" w14:textId="00712B5E" w:rsidR="008945FC" w:rsidRPr="00AC41E0" w:rsidRDefault="008945FC" w:rsidP="00003096">
      <w:pPr>
        <w:pStyle w:val="DCSbodytext"/>
        <w:numPr>
          <w:ilvl w:val="0"/>
          <w:numId w:val="160"/>
        </w:numPr>
      </w:pPr>
      <w:r w:rsidRPr="00AC41E0">
        <w:t xml:space="preserve">I understand </w:t>
      </w:r>
      <w:r w:rsidR="00243F67" w:rsidRPr="00AC41E0">
        <w:t xml:space="preserve">the </w:t>
      </w:r>
      <w:r w:rsidRPr="00AC41E0">
        <w:t>cyber security requirements t</w:t>
      </w:r>
      <w:r w:rsidR="00887E1E" w:rsidRPr="00AC41E0">
        <w:t>hat t</w:t>
      </w:r>
      <w:r w:rsidRPr="00AC41E0">
        <w:t>he project will need to consider and address</w:t>
      </w:r>
    </w:p>
    <w:p w14:paraId="623C41F9" w14:textId="5CBC2A36" w:rsidR="008945FC" w:rsidRPr="00AC41E0" w:rsidRDefault="008945FC" w:rsidP="008945FC">
      <w:pPr>
        <w:pStyle w:val="DCSbodytext"/>
        <w:rPr>
          <w:b/>
        </w:rPr>
      </w:pPr>
      <w:r w:rsidRPr="00AC41E0">
        <w:rPr>
          <w:b/>
        </w:rPr>
        <w:t>Technology for IoT</w:t>
      </w:r>
      <w:r w:rsidR="00E13E2C" w:rsidRPr="00AC41E0">
        <w:rPr>
          <w:b/>
        </w:rPr>
        <w:t xml:space="preserve"> </w:t>
      </w:r>
      <w:r w:rsidR="00E13E2C" w:rsidRPr="00AC41E0">
        <w:t xml:space="preserve">(see </w:t>
      </w:r>
      <w:hyperlink w:anchor="_Technology_for_IoT_2" w:history="1">
        <w:r w:rsidR="00246F90" w:rsidRPr="00AC41E0">
          <w:rPr>
            <w:rStyle w:val="Hyperlink"/>
          </w:rPr>
          <w:t>Chapter 3.8 Technology for IoT</w:t>
        </w:r>
      </w:hyperlink>
      <w:r w:rsidR="00E13E2C" w:rsidRPr="00E46FB0">
        <w:t>)</w:t>
      </w:r>
    </w:p>
    <w:p w14:paraId="3CBBE9EA" w14:textId="2B3DB73D" w:rsidR="008945FC" w:rsidRPr="00AC41E0" w:rsidRDefault="008945FC" w:rsidP="00003096">
      <w:pPr>
        <w:pStyle w:val="DCSbodytext"/>
        <w:numPr>
          <w:ilvl w:val="0"/>
          <w:numId w:val="160"/>
        </w:numPr>
      </w:pPr>
      <w:r w:rsidRPr="00AC41E0">
        <w:t xml:space="preserve">I know what sort of devices I need, and I know if they already exist or if I need to custom build them </w:t>
      </w:r>
    </w:p>
    <w:p w14:paraId="10098489" w14:textId="77777777" w:rsidR="008945FC" w:rsidRPr="00AC41E0" w:rsidRDefault="008945FC" w:rsidP="00003096">
      <w:pPr>
        <w:pStyle w:val="DCSbodytext"/>
        <w:numPr>
          <w:ilvl w:val="0"/>
          <w:numId w:val="160"/>
        </w:numPr>
      </w:pPr>
      <w:r w:rsidRPr="00AC41E0">
        <w:t>I know what IoT architecture options exist and which one is best for my project</w:t>
      </w:r>
    </w:p>
    <w:p w14:paraId="582E3D08" w14:textId="77777777" w:rsidR="008945FC" w:rsidRPr="00AC41E0" w:rsidRDefault="008945FC" w:rsidP="00003096">
      <w:pPr>
        <w:pStyle w:val="DCSbodytext"/>
        <w:numPr>
          <w:ilvl w:val="0"/>
          <w:numId w:val="160"/>
        </w:numPr>
      </w:pPr>
      <w:r w:rsidRPr="00AC41E0">
        <w:lastRenderedPageBreak/>
        <w:t xml:space="preserve">I know what products or systems exist (now and in the future) that the IoT solution will need to be interoperable with </w:t>
      </w:r>
    </w:p>
    <w:p w14:paraId="35E39252" w14:textId="61DFA1DB" w:rsidR="00945AAE" w:rsidRPr="00AC41E0" w:rsidRDefault="00945AAE" w:rsidP="00003096">
      <w:pPr>
        <w:pStyle w:val="DCSbodytext"/>
        <w:numPr>
          <w:ilvl w:val="0"/>
          <w:numId w:val="160"/>
        </w:numPr>
      </w:pPr>
      <w:r w:rsidRPr="00AC41E0">
        <w:t>I</w:t>
      </w:r>
      <w:r w:rsidR="000A6716" w:rsidRPr="00AC41E0">
        <w:t xml:space="preserve"> understand the network technology that exists in the areas I need to deploy the technology</w:t>
      </w:r>
      <w:r w:rsidR="009107AD" w:rsidRPr="00AC41E0">
        <w:t>, and t</w:t>
      </w:r>
      <w:r w:rsidRPr="00AC41E0">
        <w:t>he best network to use for my needs now and into the future (e.g. in five year</w:t>
      </w:r>
      <w:r w:rsidR="00CC5A8A" w:rsidRPr="00AC41E0">
        <w:t>s</w:t>
      </w:r>
      <w:r w:rsidRPr="00AC41E0">
        <w:t>)</w:t>
      </w:r>
    </w:p>
    <w:p w14:paraId="68964438" w14:textId="5C7D7E2C" w:rsidR="008945FC" w:rsidRPr="00AC41E0" w:rsidRDefault="008945FC" w:rsidP="008945FC">
      <w:pPr>
        <w:pStyle w:val="DCSbodytext"/>
      </w:pPr>
      <w:r w:rsidRPr="00AC41E0">
        <w:rPr>
          <w:b/>
        </w:rPr>
        <w:t xml:space="preserve">Stakeholder engagement </w:t>
      </w:r>
      <w:r w:rsidR="00E13E2C" w:rsidRPr="00AC41E0">
        <w:t xml:space="preserve">(see </w:t>
      </w:r>
      <w:hyperlink w:anchor="_Stakeholder_engagement" w:history="1">
        <w:r w:rsidR="00246F90" w:rsidRPr="00AC41E0">
          <w:rPr>
            <w:rStyle w:val="Hyperlink"/>
            <w:rFonts w:cs="Arial"/>
            <w:szCs w:val="22"/>
          </w:rPr>
          <w:t>Chapter 3.2 Stakeholder engagement</w:t>
        </w:r>
      </w:hyperlink>
      <w:r w:rsidR="00E13E2C" w:rsidRPr="00E46FB0">
        <w:t>)</w:t>
      </w:r>
    </w:p>
    <w:p w14:paraId="67C40524" w14:textId="77777777" w:rsidR="008945FC" w:rsidRPr="00AC41E0" w:rsidRDefault="008945FC" w:rsidP="00003096">
      <w:pPr>
        <w:pStyle w:val="DCSbodytext"/>
        <w:numPr>
          <w:ilvl w:val="0"/>
          <w:numId w:val="160"/>
        </w:numPr>
      </w:pPr>
      <w:r w:rsidRPr="00AC41E0">
        <w:t>I have identified the various parties that will be impacted by the project, including citizens</w:t>
      </w:r>
    </w:p>
    <w:p w14:paraId="6606117D" w14:textId="77777777" w:rsidR="008945FC" w:rsidRPr="00AC41E0" w:rsidRDefault="008945FC" w:rsidP="00003096">
      <w:pPr>
        <w:pStyle w:val="DCSbodytext"/>
        <w:numPr>
          <w:ilvl w:val="0"/>
          <w:numId w:val="160"/>
        </w:numPr>
      </w:pPr>
      <w:r w:rsidRPr="00AC41E0">
        <w:t>I have a plan to engage with internal and external stakeholders</w:t>
      </w:r>
    </w:p>
    <w:p w14:paraId="11D9D955" w14:textId="7B5513CF" w:rsidR="008945FC" w:rsidRPr="00AC41E0" w:rsidRDefault="008945FC" w:rsidP="008945FC">
      <w:pPr>
        <w:pStyle w:val="DCSbodytext"/>
        <w:rPr>
          <w:b/>
        </w:rPr>
      </w:pPr>
      <w:r w:rsidRPr="00AC41E0">
        <w:rPr>
          <w:b/>
        </w:rPr>
        <w:t>Assurance</w:t>
      </w:r>
      <w:r w:rsidR="007F4426" w:rsidRPr="00AC41E0">
        <w:rPr>
          <w:b/>
        </w:rPr>
        <w:t xml:space="preserve"> </w:t>
      </w:r>
      <w:r w:rsidR="007F4426" w:rsidRPr="00AC41E0">
        <w:t>(</w:t>
      </w:r>
      <w:r w:rsidR="00246F90" w:rsidRPr="00AC41E0">
        <w:t>s</w:t>
      </w:r>
      <w:r w:rsidR="007F4426" w:rsidRPr="00AC41E0">
        <w:t>ee</w:t>
      </w:r>
      <w:r w:rsidR="00246F90" w:rsidRPr="00AC41E0">
        <w:t xml:space="preserve"> </w:t>
      </w:r>
      <w:hyperlink w:anchor="_Assurance" w:history="1">
        <w:r w:rsidR="00246F90" w:rsidRPr="00AC41E0">
          <w:rPr>
            <w:rStyle w:val="Hyperlink"/>
            <w:rFonts w:cs="Arial"/>
            <w:szCs w:val="22"/>
          </w:rPr>
          <w:t>Chapter 3.9 Assurance</w:t>
        </w:r>
      </w:hyperlink>
      <w:r w:rsidR="00E13E2C" w:rsidRPr="00E46FB0">
        <w:t>)</w:t>
      </w:r>
    </w:p>
    <w:p w14:paraId="6D733B16" w14:textId="03A6E59A" w:rsidR="008945FC" w:rsidRPr="00AC41E0" w:rsidRDefault="008945FC" w:rsidP="00003096">
      <w:pPr>
        <w:pStyle w:val="DCSbodytext"/>
        <w:numPr>
          <w:ilvl w:val="0"/>
          <w:numId w:val="160"/>
        </w:numPr>
      </w:pPr>
      <w:r w:rsidRPr="00AC41E0">
        <w:t>I understand if the project is required to follow any of the NSW Government assurance processes</w:t>
      </w:r>
      <w:r w:rsidR="00354B63" w:rsidRPr="00AC41E0">
        <w:t xml:space="preserve"> </w:t>
      </w:r>
    </w:p>
    <w:p w14:paraId="78AEB772" w14:textId="0236D563" w:rsidR="008945FC" w:rsidRPr="00AC41E0" w:rsidRDefault="008945FC" w:rsidP="008945FC">
      <w:pPr>
        <w:pStyle w:val="DCSbodytext"/>
      </w:pPr>
      <w:r w:rsidRPr="00AC41E0">
        <w:rPr>
          <w:b/>
        </w:rPr>
        <w:t>Evaluation</w:t>
      </w:r>
      <w:r w:rsidR="00E13E2C" w:rsidRPr="00AC41E0">
        <w:rPr>
          <w:b/>
        </w:rPr>
        <w:t xml:space="preserve"> </w:t>
      </w:r>
      <w:r w:rsidR="00E13E2C" w:rsidRPr="00AC41E0">
        <w:t xml:space="preserve">(see </w:t>
      </w:r>
      <w:hyperlink w:anchor="_Evaluation" w:history="1">
        <w:r w:rsidR="00246F90" w:rsidRPr="00AC41E0">
          <w:rPr>
            <w:rStyle w:val="Hyperlink"/>
            <w:rFonts w:cs="Arial"/>
            <w:szCs w:val="22"/>
          </w:rPr>
          <w:t>Chapter 8.1 Evaluation</w:t>
        </w:r>
      </w:hyperlink>
      <w:r w:rsidR="00E13E2C" w:rsidRPr="00E46FB0">
        <w:t>)</w:t>
      </w:r>
    </w:p>
    <w:p w14:paraId="61C08560" w14:textId="77777777" w:rsidR="008945FC" w:rsidRPr="00AC41E0" w:rsidRDefault="008945FC" w:rsidP="00003096">
      <w:pPr>
        <w:pStyle w:val="DCSbodytext"/>
        <w:numPr>
          <w:ilvl w:val="0"/>
          <w:numId w:val="160"/>
        </w:numPr>
      </w:pPr>
      <w:r w:rsidRPr="00AC41E0">
        <w:t>I have started to plan how I will evaluate my project and considered what I need to do during the project implementation to ensure I can evaluate it effectively</w:t>
      </w:r>
    </w:p>
    <w:p w14:paraId="31C9A28C" w14:textId="26BD47E5" w:rsidR="008945FC" w:rsidRPr="00AC41E0" w:rsidRDefault="008945FC" w:rsidP="008945FC">
      <w:pPr>
        <w:pStyle w:val="DCSbodytext"/>
        <w:rPr>
          <w:b/>
        </w:rPr>
      </w:pPr>
      <w:r w:rsidRPr="00AC41E0">
        <w:rPr>
          <w:b/>
        </w:rPr>
        <w:t>Additional questions to consider include</w:t>
      </w:r>
    </w:p>
    <w:p w14:paraId="1F6D9334" w14:textId="3B85E10E" w:rsidR="008945FC" w:rsidRPr="00AC41E0" w:rsidRDefault="008945FC" w:rsidP="00003096">
      <w:pPr>
        <w:pStyle w:val="DCSbodytext"/>
        <w:numPr>
          <w:ilvl w:val="0"/>
          <w:numId w:val="160"/>
        </w:numPr>
      </w:pPr>
      <w:r w:rsidRPr="00AC41E0">
        <w:t>Launch strategy</w:t>
      </w:r>
      <w:r w:rsidR="0086667B" w:rsidRPr="00AC41E0">
        <w:t xml:space="preserve">: </w:t>
      </w:r>
      <w:r w:rsidRPr="00AC41E0">
        <w:t xml:space="preserve">I have decided whether the project will begin with a pilot or trial to test and prove a concept or start </w:t>
      </w:r>
      <w:r w:rsidR="00F8376B" w:rsidRPr="00AC41E0">
        <w:t>immediately</w:t>
      </w:r>
      <w:r w:rsidRPr="00AC41E0">
        <w:t xml:space="preserve"> with a full-scale launch</w:t>
      </w:r>
    </w:p>
    <w:p w14:paraId="49B4EA29" w14:textId="476FDB87" w:rsidR="008945FC" w:rsidRPr="00AC41E0" w:rsidRDefault="008945FC" w:rsidP="00003096">
      <w:pPr>
        <w:pStyle w:val="DCSbodytext"/>
        <w:numPr>
          <w:ilvl w:val="0"/>
          <w:numId w:val="160"/>
        </w:numPr>
      </w:pPr>
      <w:r w:rsidRPr="00AC41E0">
        <w:t>Location logistics associated with equipment installation</w:t>
      </w:r>
      <w:r w:rsidR="0086667B" w:rsidRPr="00AC41E0">
        <w:t xml:space="preserve">: </w:t>
      </w:r>
      <w:r w:rsidRPr="00AC41E0">
        <w:t>I am aware of any issues that need to be addressed and customer needs to consider</w:t>
      </w:r>
      <w:r w:rsidR="00F8376B" w:rsidRPr="00AC41E0">
        <w:t>.</w:t>
      </w:r>
    </w:p>
    <w:p w14:paraId="1BA8CCE6" w14:textId="59816BCF" w:rsidR="00D96821" w:rsidRPr="00AC41E0" w:rsidRDefault="005059C3">
      <w:pPr>
        <w:pStyle w:val="Heading3"/>
        <w:rPr>
          <w:rFonts w:ascii="Arial" w:hAnsi="Arial"/>
        </w:rPr>
      </w:pPr>
      <w:bookmarkStart w:id="461" w:name="_Toc18338107"/>
      <w:bookmarkStart w:id="462" w:name="_Toc65760490"/>
      <w:bookmarkEnd w:id="461"/>
      <w:r w:rsidRPr="00AC41E0">
        <w:rPr>
          <w:rFonts w:ascii="Arial" w:hAnsi="Arial"/>
        </w:rPr>
        <w:t>Additional r</w:t>
      </w:r>
      <w:r w:rsidR="00DD3728" w:rsidRPr="00AC41E0">
        <w:rPr>
          <w:rFonts w:ascii="Arial" w:hAnsi="Arial"/>
        </w:rPr>
        <w:t>esources</w:t>
      </w:r>
      <w:bookmarkEnd w:id="462"/>
    </w:p>
    <w:p w14:paraId="17B23754" w14:textId="5526BF07" w:rsidR="00947527" w:rsidRPr="00AC41E0" w:rsidRDefault="00947527" w:rsidP="00003096">
      <w:pPr>
        <w:pStyle w:val="DCSbodytext"/>
        <w:numPr>
          <w:ilvl w:val="0"/>
          <w:numId w:val="184"/>
        </w:numPr>
      </w:pPr>
      <w:r w:rsidRPr="00AC41E0">
        <w:t xml:space="preserve">The </w:t>
      </w:r>
      <w:hyperlink r:id="rId59" w:history="1">
        <w:r w:rsidRPr="00AC41E0">
          <w:rPr>
            <w:rStyle w:val="Hyperlink"/>
          </w:rPr>
          <w:t>Praxis website</w:t>
        </w:r>
      </w:hyperlink>
      <w:r w:rsidRPr="00E46FB0">
        <w:t xml:space="preserve"> </w:t>
      </w:r>
      <w:r w:rsidR="00AD73F1" w:rsidRPr="00AC41E0">
        <w:t>has</w:t>
      </w:r>
      <w:r w:rsidRPr="00AC41E0">
        <w:t xml:space="preserve"> </w:t>
      </w:r>
      <w:r w:rsidR="00AD73F1" w:rsidRPr="00AC41E0">
        <w:t xml:space="preserve">extensive resources </w:t>
      </w:r>
      <w:r w:rsidRPr="00AC41E0">
        <w:t xml:space="preserve">on project management.  </w:t>
      </w:r>
    </w:p>
    <w:p w14:paraId="356DB4F3" w14:textId="10C67785" w:rsidR="00041913" w:rsidRPr="00AC41E0" w:rsidRDefault="00947527" w:rsidP="00B25EE9">
      <w:pPr>
        <w:pStyle w:val="DCSbodytext"/>
        <w:numPr>
          <w:ilvl w:val="0"/>
          <w:numId w:val="161"/>
        </w:numPr>
      </w:pPr>
      <w:r w:rsidRPr="00AC41E0">
        <w:t>AS/NZS ISO 9001:2016 </w:t>
      </w:r>
      <w:r w:rsidRPr="00AC41E0">
        <w:rPr>
          <w:i/>
        </w:rPr>
        <w:t>Quality Management</w:t>
      </w:r>
      <w:r w:rsidRPr="00AC41E0">
        <w:t> </w:t>
      </w:r>
      <w:r w:rsidR="00312D4F" w:rsidRPr="00AC41E0">
        <w:rPr>
          <w:i/>
        </w:rPr>
        <w:t xml:space="preserve">Systems – Requirements </w:t>
      </w:r>
      <w:r w:rsidR="00B533CF" w:rsidRPr="00AC41E0">
        <w:t xml:space="preserve">is an Australian standard </w:t>
      </w:r>
      <w:r w:rsidR="00312D4F" w:rsidRPr="00AC41E0">
        <w:t>identical to ISO 9001:2015.</w:t>
      </w:r>
      <w:r w:rsidR="00B533CF" w:rsidRPr="00AC41E0">
        <w:t xml:space="preserve"> </w:t>
      </w:r>
      <w:r w:rsidR="00371C35" w:rsidRPr="00AC41E0">
        <w:t xml:space="preserve">It specifies requirements for a quality management system </w:t>
      </w:r>
      <w:r w:rsidR="0040671D" w:rsidRPr="00AC41E0">
        <w:t xml:space="preserve">(QMS). </w:t>
      </w:r>
      <w:r w:rsidRPr="00AC41E0">
        <w:t>A QMS is a set of policies, processes</w:t>
      </w:r>
      <w:r w:rsidR="00966D93" w:rsidRPr="00AC41E0">
        <w:t>,</w:t>
      </w:r>
      <w:r w:rsidRPr="00AC41E0">
        <w:t xml:space="preserve"> and procedures for planning and execution in the core business area of an organisation (i.e. areas that can impact the organisation’s ability to meet customer requirements).</w:t>
      </w:r>
    </w:p>
    <w:p w14:paraId="09DE8F85" w14:textId="77777777" w:rsidR="00041913" w:rsidRPr="00AC41E0" w:rsidRDefault="00041913" w:rsidP="00041913">
      <w:pPr>
        <w:pStyle w:val="BodyText"/>
        <w:rPr>
          <w:rFonts w:cs="Arial"/>
          <w:lang w:eastAsia="en-AU"/>
        </w:rPr>
      </w:pPr>
    </w:p>
    <w:p w14:paraId="6D36AEF3" w14:textId="4E4CCE59" w:rsidR="00041913" w:rsidRPr="00AC41E0" w:rsidRDefault="00041913" w:rsidP="00041913">
      <w:pPr>
        <w:pStyle w:val="BodyText"/>
        <w:sectPr w:rsidR="00041913" w:rsidRPr="00AC41E0" w:rsidSect="002771AA">
          <w:pgSz w:w="11906" w:h="16838"/>
          <w:pgMar w:top="1418" w:right="1134" w:bottom="1134" w:left="1134" w:header="851" w:footer="425" w:gutter="0"/>
          <w:cols w:space="708"/>
          <w:titlePg/>
          <w:docGrid w:linePitch="360"/>
        </w:sectPr>
      </w:pPr>
    </w:p>
    <w:p w14:paraId="4BEE2F1C" w14:textId="2ECDF87C" w:rsidR="00945510" w:rsidRPr="00AC41E0" w:rsidRDefault="00945510" w:rsidP="000430E1">
      <w:pPr>
        <w:pStyle w:val="Heading1"/>
      </w:pPr>
      <w:bookmarkStart w:id="463" w:name="_Stakeholder_engagement"/>
      <w:bookmarkStart w:id="464" w:name="_Toc65760491"/>
      <w:bookmarkEnd w:id="463"/>
      <w:r w:rsidRPr="00E46FB0">
        <w:lastRenderedPageBreak/>
        <w:t>Stakeholder engagement</w:t>
      </w:r>
      <w:bookmarkEnd w:id="464"/>
    </w:p>
    <w:p w14:paraId="5B0E2EEB" w14:textId="77777777" w:rsidR="00945510" w:rsidRPr="00AC41E0" w:rsidRDefault="00945510" w:rsidP="00945510">
      <w:pPr>
        <w:pStyle w:val="Heading3"/>
        <w:rPr>
          <w:rFonts w:ascii="Arial" w:hAnsi="Arial"/>
        </w:rPr>
      </w:pPr>
      <w:bookmarkStart w:id="465" w:name="_Toc65760492"/>
      <w:r w:rsidRPr="00AC41E0">
        <w:rPr>
          <w:rFonts w:ascii="Arial" w:hAnsi="Arial"/>
        </w:rPr>
        <w:t>What is effective stakeholder engagement?</w:t>
      </w:r>
      <w:bookmarkEnd w:id="465"/>
    </w:p>
    <w:p w14:paraId="4A2AD200" w14:textId="0DBA13F3" w:rsidR="00945510" w:rsidRPr="00AC41E0" w:rsidRDefault="00945510" w:rsidP="00945510">
      <w:pPr>
        <w:pStyle w:val="DCSbodytext"/>
      </w:pPr>
      <w:r w:rsidRPr="00AC41E0">
        <w:t>Stakeholder engagement is vital for organisations to be able to understand and respond to the legitimate concerns of the various groups who may impact or be impacted by a project or decisions made.</w:t>
      </w:r>
    </w:p>
    <w:p w14:paraId="67C721AA" w14:textId="18CF9E6F" w:rsidR="00945510" w:rsidRPr="00AC41E0" w:rsidRDefault="00945510" w:rsidP="00945510">
      <w:pPr>
        <w:pStyle w:val="DCSbodytext"/>
      </w:pPr>
      <w:r w:rsidRPr="00AC41E0">
        <w:t>Effective engagement is open, transparent and inclusive. It promotes healthy conversation and ensures th</w:t>
      </w:r>
      <w:r w:rsidR="00C50417" w:rsidRPr="00AC41E0">
        <w:t>at</w:t>
      </w:r>
      <w:r w:rsidRPr="00AC41E0">
        <w:t xml:space="preserve"> stakeholder</w:t>
      </w:r>
      <w:r w:rsidR="00C50417" w:rsidRPr="00AC41E0">
        <w:t>s</w:t>
      </w:r>
      <w:r w:rsidRPr="00AC41E0">
        <w:t xml:space="preserve"> </w:t>
      </w:r>
      <w:r w:rsidR="008E5AAC" w:rsidRPr="00AC41E0">
        <w:t>feel</w:t>
      </w:r>
      <w:r w:rsidRPr="00AC41E0">
        <w:t xml:space="preserve"> they have been listened to. This can help build sustainable consensus and mandate for change. </w:t>
      </w:r>
    </w:p>
    <w:p w14:paraId="1279A271" w14:textId="6CE162E3" w:rsidR="008E5AAC" w:rsidRPr="00AC41E0" w:rsidRDefault="00945510" w:rsidP="008E5AAC">
      <w:pPr>
        <w:pStyle w:val="DCSbodytext"/>
      </w:pPr>
      <w:r w:rsidRPr="00AC41E0">
        <w:t xml:space="preserve">Effective stakeholder engagement begins at the planning phase of your project and is revisited at major milestones in the life of the solution. Engagement </w:t>
      </w:r>
      <w:r w:rsidR="00CB59EC" w:rsidRPr="00AC41E0">
        <w:t>is</w:t>
      </w:r>
      <w:r w:rsidRPr="00AC41E0">
        <w:t xml:space="preserve"> used to help validate your assumptions and ideas when decisions are being made. </w:t>
      </w:r>
      <w:r w:rsidR="008E5AAC" w:rsidRPr="00AC41E0">
        <w:t>It can be informal or formal and range</w:t>
      </w:r>
      <w:r w:rsidR="00FA62CB" w:rsidRPr="00AC41E0">
        <w:t>s</w:t>
      </w:r>
      <w:r w:rsidR="008E5AAC" w:rsidRPr="00AC41E0">
        <w:t xml:space="preserve"> from sharing information to active consultation and co-designing solutions.</w:t>
      </w:r>
    </w:p>
    <w:p w14:paraId="2FA0D0EC" w14:textId="4660EB10" w:rsidR="00945510" w:rsidRPr="00AC41E0" w:rsidRDefault="00AB6E5F" w:rsidP="00945510">
      <w:pPr>
        <w:pStyle w:val="Heading3"/>
        <w:rPr>
          <w:rFonts w:ascii="Arial" w:hAnsi="Arial"/>
        </w:rPr>
      </w:pPr>
      <w:bookmarkStart w:id="466" w:name="_Toc65760493"/>
      <w:r w:rsidRPr="00AC41E0">
        <w:rPr>
          <w:rFonts w:ascii="Arial" w:hAnsi="Arial"/>
        </w:rPr>
        <w:t>The i</w:t>
      </w:r>
      <w:r w:rsidR="00F76425" w:rsidRPr="00AC41E0">
        <w:rPr>
          <w:rFonts w:ascii="Arial" w:hAnsi="Arial"/>
        </w:rPr>
        <w:t xml:space="preserve">mportance of </w:t>
      </w:r>
      <w:r w:rsidR="00945510" w:rsidRPr="00AC41E0">
        <w:rPr>
          <w:rFonts w:ascii="Arial" w:hAnsi="Arial"/>
        </w:rPr>
        <w:t>stakeholder engagement for IoT-enabled projects</w:t>
      </w:r>
      <w:bookmarkEnd w:id="466"/>
    </w:p>
    <w:p w14:paraId="477BAC86" w14:textId="39CFA019" w:rsidR="00945510" w:rsidRPr="00AC41E0" w:rsidRDefault="00945510" w:rsidP="00945510">
      <w:pPr>
        <w:pStyle w:val="DCSbodytext"/>
      </w:pPr>
      <w:r w:rsidRPr="00AC41E0">
        <w:t xml:space="preserve">The </w:t>
      </w:r>
      <w:r w:rsidR="00DB599A" w:rsidRPr="00AC41E0">
        <w:t>growing</w:t>
      </w:r>
      <w:r w:rsidRPr="00AC41E0">
        <w:t xml:space="preserve"> interest in IoT as an emerging technology and proliferation </w:t>
      </w:r>
      <w:r w:rsidR="00C9410C" w:rsidRPr="00AC41E0">
        <w:t>of</w:t>
      </w:r>
      <w:r w:rsidRPr="00AC41E0">
        <w:t xml:space="preserve"> </w:t>
      </w:r>
      <w:r w:rsidR="003D5E9D" w:rsidRPr="00AC41E0">
        <w:t>IoT-enabled project</w:t>
      </w:r>
      <w:r w:rsidRPr="00AC41E0">
        <w:t>s has resulted in a mix of myths, suspicion</w:t>
      </w:r>
      <w:r w:rsidR="00966D93" w:rsidRPr="00AC41E0">
        <w:t>,</w:t>
      </w:r>
      <w:r w:rsidRPr="00AC41E0">
        <w:t xml:space="preserve"> and enthusiasm on the subject. This </w:t>
      </w:r>
      <w:r w:rsidR="00623CE8" w:rsidRPr="00AC41E0">
        <w:t>makes</w:t>
      </w:r>
      <w:r w:rsidRPr="00AC41E0">
        <w:t xml:space="preserve"> it extr</w:t>
      </w:r>
      <w:r w:rsidR="00623CE8" w:rsidRPr="00AC41E0">
        <w:t>emely</w:t>
      </w:r>
      <w:r w:rsidRPr="00AC41E0">
        <w:t xml:space="preserve"> important </w:t>
      </w:r>
      <w:r w:rsidR="00597DFC" w:rsidRPr="00AC41E0">
        <w:t>to</w:t>
      </w:r>
      <w:r w:rsidRPr="00AC41E0">
        <w:t xml:space="preserve"> engage with stakeholders to ensure your IoT solution is understood and supported by those who affect or are affected by it, while still being designed and delivered to meet the project’s intent.</w:t>
      </w:r>
    </w:p>
    <w:p w14:paraId="6E9672C2" w14:textId="39670C4D" w:rsidR="00945510" w:rsidRPr="00AC41E0" w:rsidRDefault="00945510" w:rsidP="00945510">
      <w:pPr>
        <w:pStyle w:val="DCSbodytext"/>
      </w:pPr>
      <w:r w:rsidRPr="00AC41E0">
        <w:t>The ubiquitous and often invisible nature of IoT means that stakeholders often do</w:t>
      </w:r>
      <w:r w:rsidR="00493FD3" w:rsidRPr="00AC41E0">
        <w:t xml:space="preserve"> </w:t>
      </w:r>
      <w:r w:rsidRPr="00AC41E0">
        <w:t>n</w:t>
      </w:r>
      <w:r w:rsidR="00493FD3" w:rsidRPr="00AC41E0">
        <w:t>o</w:t>
      </w:r>
      <w:r w:rsidRPr="00AC41E0">
        <w:t xml:space="preserve">t </w:t>
      </w:r>
      <w:r w:rsidR="00493FD3" w:rsidRPr="00AC41E0">
        <w:t>realise</w:t>
      </w:r>
      <w:r w:rsidRPr="00AC41E0">
        <w:t xml:space="preserve"> they are stakeholders until they are negatively impacted, for example by a data breach. This makes proactive engagement particularly important </w:t>
      </w:r>
      <w:r w:rsidR="00C27A16" w:rsidRPr="00AC41E0">
        <w:t>to</w:t>
      </w:r>
      <w:r w:rsidRPr="00AC41E0">
        <w:t xml:space="preserve"> mitiga</w:t>
      </w:r>
      <w:r w:rsidR="00C27A16" w:rsidRPr="00AC41E0">
        <w:t>te</w:t>
      </w:r>
      <w:r w:rsidRPr="00AC41E0">
        <w:t xml:space="preserve"> the impact of risks. </w:t>
      </w:r>
    </w:p>
    <w:p w14:paraId="1CBD73C4" w14:textId="1701C896" w:rsidR="00945510" w:rsidRPr="00AC41E0" w:rsidRDefault="00945510" w:rsidP="00945510">
      <w:pPr>
        <w:pStyle w:val="DCSbodytext"/>
      </w:pPr>
      <w:r w:rsidRPr="00AC41E0">
        <w:t xml:space="preserve">Proactive engagement </w:t>
      </w:r>
      <w:r w:rsidR="00AB6E5F" w:rsidRPr="00AC41E0">
        <w:t xml:space="preserve">can </w:t>
      </w:r>
      <w:r w:rsidRPr="00AC41E0">
        <w:t xml:space="preserve">maximise the benefits of IoT. The data that IoT solutions generate may be useful beyond the direct project objective. Consultation on the development of data requirements </w:t>
      </w:r>
      <w:r w:rsidR="005A258A" w:rsidRPr="00AC41E0">
        <w:t>can</w:t>
      </w:r>
      <w:r w:rsidRPr="00AC41E0">
        <w:t xml:space="preserve"> help you </w:t>
      </w:r>
      <w:r w:rsidR="005A258A" w:rsidRPr="00AC41E0">
        <w:t xml:space="preserve">to </w:t>
      </w:r>
      <w:r w:rsidRPr="00AC41E0">
        <w:t xml:space="preserve">clearly understand the purpose and benefit of your IoT data collection and use. </w:t>
      </w:r>
      <w:r w:rsidR="00BD7E14" w:rsidRPr="00AC41E0">
        <w:t xml:space="preserve">This includes </w:t>
      </w:r>
      <w:r w:rsidR="00966D93" w:rsidRPr="00AC41E0">
        <w:t xml:space="preserve">consultation </w:t>
      </w:r>
      <w:r w:rsidRPr="00AC41E0">
        <w:t xml:space="preserve">with stakeholders who will consume the data you will produce or who will use the insights generated from your IoT solution, to ensure your approach meets their requirements. </w:t>
      </w:r>
    </w:p>
    <w:p w14:paraId="2B0EE046" w14:textId="376F34A6" w:rsidR="00945510" w:rsidRPr="00AC41E0" w:rsidRDefault="00945510" w:rsidP="00945510">
      <w:pPr>
        <w:pStyle w:val="DCSbodytext"/>
        <w:spacing w:after="120"/>
      </w:pPr>
      <w:r w:rsidRPr="00AC41E0">
        <w:t xml:space="preserve">Effective stakeholder engagement throughout your </w:t>
      </w:r>
      <w:r w:rsidR="003D5E9D" w:rsidRPr="00AC41E0">
        <w:t>IoT-enabled project</w:t>
      </w:r>
      <w:r w:rsidRPr="00AC41E0">
        <w:t xml:space="preserve"> can allow you to:</w:t>
      </w:r>
    </w:p>
    <w:p w14:paraId="74BEAE80" w14:textId="77777777" w:rsidR="00945510" w:rsidRPr="00AC41E0" w:rsidRDefault="00945510" w:rsidP="00003096">
      <w:pPr>
        <w:pStyle w:val="DCSbodytext"/>
        <w:numPr>
          <w:ilvl w:val="0"/>
          <w:numId w:val="142"/>
        </w:numPr>
        <w:spacing w:after="120"/>
      </w:pPr>
      <w:r w:rsidRPr="00AC41E0">
        <w:t>get diverse views on the issue you are trying to address and your proposed IoT solution</w:t>
      </w:r>
    </w:p>
    <w:p w14:paraId="523952DE" w14:textId="1D4BC21E" w:rsidR="00945510" w:rsidRPr="00AC41E0" w:rsidRDefault="00945510" w:rsidP="00003096">
      <w:pPr>
        <w:pStyle w:val="DCSbodytext"/>
        <w:numPr>
          <w:ilvl w:val="0"/>
          <w:numId w:val="142"/>
        </w:numPr>
        <w:spacing w:after="120"/>
      </w:pPr>
      <w:r w:rsidRPr="00AC41E0">
        <w:t xml:space="preserve">design IoT solutions that genuinely meet your </w:t>
      </w:r>
      <w:r w:rsidR="00F83B2A" w:rsidRPr="00AC41E0">
        <w:t>needs and your</w:t>
      </w:r>
      <w:r w:rsidRPr="00AC41E0">
        <w:t xml:space="preserve"> stakeholders</w:t>
      </w:r>
      <w:r w:rsidR="00F83B2A" w:rsidRPr="00AC41E0">
        <w:t>’</w:t>
      </w:r>
      <w:r w:rsidRPr="00AC41E0">
        <w:t xml:space="preserve"> needs</w:t>
      </w:r>
    </w:p>
    <w:p w14:paraId="7C2CFDEA" w14:textId="7DCEBAD5" w:rsidR="00945510" w:rsidRPr="00AC41E0" w:rsidRDefault="00945510" w:rsidP="00003096">
      <w:pPr>
        <w:pStyle w:val="DCSbodytext"/>
        <w:numPr>
          <w:ilvl w:val="0"/>
          <w:numId w:val="142"/>
        </w:numPr>
        <w:spacing w:after="120"/>
      </w:pPr>
      <w:r w:rsidRPr="00AC41E0">
        <w:t xml:space="preserve">build clarity and consensus with those affected by your </w:t>
      </w:r>
      <w:r w:rsidR="003D5E9D" w:rsidRPr="00AC41E0">
        <w:t>IoT-enabled project</w:t>
      </w:r>
    </w:p>
    <w:p w14:paraId="6515F018" w14:textId="77777777" w:rsidR="00945510" w:rsidRPr="00AC41E0" w:rsidRDefault="00945510" w:rsidP="00003096">
      <w:pPr>
        <w:pStyle w:val="DCSbodytext"/>
        <w:numPr>
          <w:ilvl w:val="0"/>
          <w:numId w:val="142"/>
        </w:numPr>
        <w:spacing w:after="120"/>
      </w:pPr>
      <w:r w:rsidRPr="00AC41E0">
        <w:t>get buy-in from stakeholders to support the project</w:t>
      </w:r>
    </w:p>
    <w:p w14:paraId="15A8ACC0" w14:textId="77777777" w:rsidR="00945510" w:rsidRPr="00AC41E0" w:rsidRDefault="00945510" w:rsidP="00003096">
      <w:pPr>
        <w:pStyle w:val="DCSbodytext"/>
        <w:numPr>
          <w:ilvl w:val="0"/>
          <w:numId w:val="142"/>
        </w:numPr>
        <w:spacing w:after="120"/>
      </w:pPr>
      <w:r w:rsidRPr="00AC41E0">
        <w:t>identify potential issues that could disrupt the project</w:t>
      </w:r>
    </w:p>
    <w:p w14:paraId="02F80809" w14:textId="3E8FDEE5" w:rsidR="00945510" w:rsidRPr="00AC41E0" w:rsidRDefault="00945510" w:rsidP="00003096">
      <w:pPr>
        <w:pStyle w:val="DCSbodytext"/>
        <w:numPr>
          <w:ilvl w:val="0"/>
          <w:numId w:val="142"/>
        </w:numPr>
        <w:spacing w:after="120"/>
      </w:pPr>
      <w:r w:rsidRPr="00AC41E0">
        <w:lastRenderedPageBreak/>
        <w:t xml:space="preserve">manage stakeholder expectations </w:t>
      </w:r>
    </w:p>
    <w:p w14:paraId="00590349" w14:textId="52E2B809" w:rsidR="00945510" w:rsidRPr="00AC41E0" w:rsidRDefault="00945510" w:rsidP="00003096">
      <w:pPr>
        <w:pStyle w:val="DCSbodytext"/>
        <w:numPr>
          <w:ilvl w:val="0"/>
          <w:numId w:val="142"/>
        </w:numPr>
        <w:spacing w:after="120"/>
      </w:pPr>
      <w:r w:rsidRPr="00AC41E0">
        <w:t>maintain public trust through transparency and choice around data that is being collected and used</w:t>
      </w:r>
    </w:p>
    <w:p w14:paraId="71DFBBF8" w14:textId="1382AE64" w:rsidR="00945510" w:rsidRPr="00AC41E0" w:rsidRDefault="00945510" w:rsidP="00003096">
      <w:pPr>
        <w:pStyle w:val="DCSbodytext"/>
        <w:numPr>
          <w:ilvl w:val="0"/>
          <w:numId w:val="142"/>
        </w:numPr>
        <w:ind w:left="1151" w:hanging="357"/>
      </w:pPr>
      <w:r w:rsidRPr="00AC41E0">
        <w:t xml:space="preserve">identify opportunities for sharing and reuse of data and insights generated </w:t>
      </w:r>
      <w:r w:rsidR="001B3C93" w:rsidRPr="00AC41E0">
        <w:t>by</w:t>
      </w:r>
      <w:r w:rsidRPr="00AC41E0">
        <w:t xml:space="preserve"> your project.</w:t>
      </w:r>
    </w:p>
    <w:p w14:paraId="2F3B0FA0" w14:textId="420B4ADB" w:rsidR="00945510" w:rsidRPr="00AC41E0" w:rsidRDefault="00945510" w:rsidP="00945510">
      <w:pPr>
        <w:pStyle w:val="DCSbodytext"/>
        <w:spacing w:after="120"/>
      </w:pPr>
      <w:r w:rsidRPr="00AC41E0">
        <w:t xml:space="preserve">Conversely, poor stakeholder engagement can jeopardise your </w:t>
      </w:r>
      <w:r w:rsidR="003D5E9D" w:rsidRPr="00AC41E0">
        <w:t>project</w:t>
      </w:r>
      <w:r w:rsidRPr="00AC41E0">
        <w:t>. It can increase the likelihood that your solution:</w:t>
      </w:r>
    </w:p>
    <w:p w14:paraId="07D3446C" w14:textId="59B3CF16" w:rsidR="00945510" w:rsidRPr="00AC41E0" w:rsidRDefault="00945510" w:rsidP="00003096">
      <w:pPr>
        <w:pStyle w:val="DCSbodytext"/>
        <w:numPr>
          <w:ilvl w:val="0"/>
          <w:numId w:val="142"/>
        </w:numPr>
        <w:spacing w:after="120"/>
      </w:pPr>
      <w:r w:rsidRPr="00AC41E0">
        <w:t xml:space="preserve">does not meet </w:t>
      </w:r>
      <w:r w:rsidR="0020616A" w:rsidRPr="00AC41E0">
        <w:t>its</w:t>
      </w:r>
      <w:r w:rsidRPr="00AC41E0">
        <w:t xml:space="preserve"> intended purpose</w:t>
      </w:r>
    </w:p>
    <w:p w14:paraId="4EF487CC" w14:textId="77777777" w:rsidR="00945510" w:rsidRPr="00AC41E0" w:rsidRDefault="00945510" w:rsidP="00003096">
      <w:pPr>
        <w:pStyle w:val="DCSbodytext"/>
        <w:numPr>
          <w:ilvl w:val="0"/>
          <w:numId w:val="142"/>
        </w:numPr>
        <w:spacing w:after="120"/>
      </w:pPr>
      <w:r w:rsidRPr="00AC41E0">
        <w:t>is actively opposed</w:t>
      </w:r>
    </w:p>
    <w:p w14:paraId="160A8F87" w14:textId="0E254603" w:rsidR="00945510" w:rsidRPr="00AC41E0" w:rsidRDefault="00945510" w:rsidP="00003096">
      <w:pPr>
        <w:pStyle w:val="DCSbodytext"/>
        <w:numPr>
          <w:ilvl w:val="0"/>
          <w:numId w:val="142"/>
        </w:numPr>
        <w:spacing w:after="120"/>
      </w:pPr>
      <w:r w:rsidRPr="00AC41E0">
        <w:t>does not integrate with existing systems</w:t>
      </w:r>
    </w:p>
    <w:p w14:paraId="2E30EF88" w14:textId="4985D90C" w:rsidR="00945510" w:rsidRPr="00AC41E0" w:rsidRDefault="00945510" w:rsidP="00003096">
      <w:pPr>
        <w:pStyle w:val="DCSbodytext"/>
        <w:numPr>
          <w:ilvl w:val="0"/>
          <w:numId w:val="142"/>
        </w:numPr>
        <w:spacing w:after="120"/>
      </w:pPr>
      <w:r w:rsidRPr="00AC41E0">
        <w:t>breaches legislation</w:t>
      </w:r>
      <w:r w:rsidR="000A65AC" w:rsidRPr="00AC41E0">
        <w:t xml:space="preserve"> or regulations</w:t>
      </w:r>
    </w:p>
    <w:p w14:paraId="266204CE" w14:textId="77777777" w:rsidR="00945510" w:rsidRPr="00AC41E0" w:rsidRDefault="00945510" w:rsidP="00003096">
      <w:pPr>
        <w:pStyle w:val="DCSbodytext"/>
        <w:numPr>
          <w:ilvl w:val="0"/>
          <w:numId w:val="142"/>
        </w:numPr>
        <w:spacing w:after="120"/>
      </w:pPr>
      <w:r w:rsidRPr="00AC41E0">
        <w:t>increases business processes</w:t>
      </w:r>
    </w:p>
    <w:p w14:paraId="195F28DB" w14:textId="21C8014B" w:rsidR="00945510" w:rsidRPr="00AC41E0" w:rsidRDefault="00955E62" w:rsidP="00003096">
      <w:pPr>
        <w:pStyle w:val="DCSbodytext"/>
        <w:numPr>
          <w:ilvl w:val="0"/>
          <w:numId w:val="142"/>
        </w:numPr>
      </w:pPr>
      <w:r w:rsidRPr="00AC41E0">
        <w:t>creates</w:t>
      </w:r>
      <w:r w:rsidR="00945510" w:rsidRPr="00AC41E0">
        <w:t xml:space="preserve"> a negative user experience.</w:t>
      </w:r>
    </w:p>
    <w:p w14:paraId="72AF211D" w14:textId="77777777" w:rsidR="00945510" w:rsidRPr="00AC41E0" w:rsidRDefault="00945510" w:rsidP="00945510">
      <w:pPr>
        <w:pStyle w:val="Heading3"/>
        <w:rPr>
          <w:rFonts w:ascii="Arial" w:hAnsi="Arial"/>
        </w:rPr>
      </w:pPr>
      <w:bookmarkStart w:id="467" w:name="_Toc65760494"/>
      <w:r w:rsidRPr="00AC41E0">
        <w:rPr>
          <w:rFonts w:ascii="Arial" w:hAnsi="Arial"/>
        </w:rPr>
        <w:t>How to effectively engage stakeholders</w:t>
      </w:r>
      <w:bookmarkEnd w:id="467"/>
    </w:p>
    <w:p w14:paraId="43964148" w14:textId="77777777" w:rsidR="00945510" w:rsidRPr="00AC41E0" w:rsidRDefault="00945510" w:rsidP="00945510">
      <w:pPr>
        <w:pStyle w:val="DCSbodytext"/>
        <w:spacing w:after="120"/>
      </w:pPr>
      <w:r w:rsidRPr="00AC41E0">
        <w:t>There are five steps in the stakeholder engagement process:</w:t>
      </w:r>
    </w:p>
    <w:p w14:paraId="765348C9" w14:textId="77777777" w:rsidR="00945510" w:rsidRPr="00AC41E0" w:rsidRDefault="00945510" w:rsidP="00003096">
      <w:pPr>
        <w:pStyle w:val="DCSbodytext"/>
        <w:numPr>
          <w:ilvl w:val="0"/>
          <w:numId w:val="145"/>
        </w:numPr>
        <w:spacing w:after="120"/>
      </w:pPr>
      <w:r w:rsidRPr="00AC41E0">
        <w:t>Identify who your stakeholders are</w:t>
      </w:r>
    </w:p>
    <w:p w14:paraId="741C3ADB" w14:textId="69533E26" w:rsidR="00945510" w:rsidRPr="00AC41E0" w:rsidRDefault="00945510" w:rsidP="00003096">
      <w:pPr>
        <w:pStyle w:val="DCSbodytext"/>
        <w:numPr>
          <w:ilvl w:val="0"/>
          <w:numId w:val="145"/>
        </w:numPr>
        <w:spacing w:after="120"/>
      </w:pPr>
      <w:r w:rsidRPr="00AC41E0">
        <w:t>Analyse your stakeholders to gain insights</w:t>
      </w:r>
    </w:p>
    <w:p w14:paraId="7A0ADCDD" w14:textId="77777777" w:rsidR="00945510" w:rsidRPr="00AC41E0" w:rsidRDefault="00945510" w:rsidP="00003096">
      <w:pPr>
        <w:pStyle w:val="DCSbodytext"/>
        <w:numPr>
          <w:ilvl w:val="0"/>
          <w:numId w:val="145"/>
        </w:numPr>
        <w:spacing w:after="120"/>
      </w:pPr>
      <w:r w:rsidRPr="00AC41E0">
        <w:t>Plan how you will engage with them to meet your objectives</w:t>
      </w:r>
    </w:p>
    <w:p w14:paraId="0DC80D7D" w14:textId="77777777" w:rsidR="00945510" w:rsidRPr="00AC41E0" w:rsidRDefault="00945510" w:rsidP="00003096">
      <w:pPr>
        <w:pStyle w:val="DCSbodytext"/>
        <w:numPr>
          <w:ilvl w:val="0"/>
          <w:numId w:val="145"/>
        </w:numPr>
        <w:spacing w:after="120"/>
      </w:pPr>
      <w:r w:rsidRPr="00AC41E0">
        <w:t>Act on your plans, and handle any resistance you encounter</w:t>
      </w:r>
    </w:p>
    <w:p w14:paraId="4EBA29FC" w14:textId="3DE01A85" w:rsidR="00945510" w:rsidRPr="00AC41E0" w:rsidRDefault="00945510" w:rsidP="00003096">
      <w:pPr>
        <w:pStyle w:val="DCSbodytext"/>
        <w:numPr>
          <w:ilvl w:val="0"/>
          <w:numId w:val="145"/>
        </w:numPr>
      </w:pPr>
      <w:r w:rsidRPr="00AC41E0">
        <w:t>Review progress and re-engage to make further progress</w:t>
      </w:r>
      <w:r w:rsidR="00B3513C" w:rsidRPr="00AC41E0">
        <w:t>.</w:t>
      </w:r>
    </w:p>
    <w:p w14:paraId="59664279" w14:textId="77777777" w:rsidR="00B3513C" w:rsidRPr="00AC41E0" w:rsidRDefault="00B3513C" w:rsidP="00B3513C">
      <w:pPr>
        <w:pStyle w:val="DCSbodytext"/>
        <w:spacing w:after="0"/>
        <w:ind w:left="1154"/>
      </w:pPr>
    </w:p>
    <w:p w14:paraId="56E97D84" w14:textId="184D946F" w:rsidR="00945510" w:rsidRPr="00AC41E0" w:rsidRDefault="00EA790E" w:rsidP="00110CB8">
      <w:pPr>
        <w:pStyle w:val="DCSbodytext"/>
        <w:jc w:val="center"/>
        <w:rPr>
          <w:rFonts w:cs="Arial"/>
        </w:rPr>
      </w:pPr>
      <w:r w:rsidRPr="00AC41E0">
        <w:rPr>
          <w:b/>
        </w:rPr>
        <w:t xml:space="preserve">Five steps in the </w:t>
      </w:r>
      <w:r w:rsidR="00272855" w:rsidRPr="00AC41E0">
        <w:rPr>
          <w:b/>
        </w:rPr>
        <w:t>stakeholder engagement process</w:t>
      </w:r>
    </w:p>
    <w:p w14:paraId="4D8A256D" w14:textId="517B1E15" w:rsidR="008F1439" w:rsidRPr="00E46FB0" w:rsidRDefault="008F1439" w:rsidP="00110CB8">
      <w:pPr>
        <w:jc w:val="center"/>
        <w:rPr>
          <w:rFonts w:ascii="Arial" w:hAnsi="Arial"/>
          <w:sz w:val="22"/>
          <w:lang w:eastAsia="en-US"/>
        </w:rPr>
      </w:pPr>
      <w:r w:rsidRPr="00E46FB0">
        <w:rPr>
          <w:noProof/>
        </w:rPr>
        <w:drawing>
          <wp:inline distT="0" distB="0" distL="0" distR="0" wp14:anchorId="3E7ABA6B" wp14:editId="0A48E79A">
            <wp:extent cx="2934335" cy="2839085"/>
            <wp:effectExtent l="0" t="0" r="0" b="0"/>
            <wp:docPr id="53" name="Picture 53" descr="step 1 - identity, step 2 - analyse, step 3 - plan, step 4 - act, step 5 -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60">
                      <a:extLst>
                        <a:ext uri="{28A0092B-C50C-407E-A947-70E740481C1C}">
                          <a14:useLocalDpi xmlns:a14="http://schemas.microsoft.com/office/drawing/2010/main" val="0"/>
                        </a:ext>
                      </a:extLst>
                    </a:blip>
                    <a:stretch>
                      <a:fillRect/>
                    </a:stretch>
                  </pic:blipFill>
                  <pic:spPr>
                    <a:xfrm>
                      <a:off x="0" y="0"/>
                      <a:ext cx="2934335" cy="2839085"/>
                    </a:xfrm>
                    <a:prstGeom prst="rect">
                      <a:avLst/>
                    </a:prstGeom>
                  </pic:spPr>
                </pic:pic>
              </a:graphicData>
            </a:graphic>
          </wp:inline>
        </w:drawing>
      </w:r>
    </w:p>
    <w:p w14:paraId="2F6B20B6" w14:textId="4838B10A" w:rsidR="00945510" w:rsidRPr="00AC41E0" w:rsidRDefault="006E115E" w:rsidP="00F01EB5">
      <w:pPr>
        <w:pStyle w:val="DCSbodytext"/>
      </w:pPr>
      <w:r w:rsidRPr="00AC41E0">
        <w:br w:type="column"/>
      </w:r>
      <w:r w:rsidR="00945510" w:rsidRPr="00AC41E0">
        <w:lastRenderedPageBreak/>
        <w:t xml:space="preserve">The five steps </w:t>
      </w:r>
      <w:r w:rsidR="0082210B" w:rsidRPr="00AC41E0">
        <w:t>of stakeholder engagement a</w:t>
      </w:r>
      <w:r w:rsidR="00945510" w:rsidRPr="00AC41E0">
        <w:t>re outlined below.</w:t>
      </w:r>
    </w:p>
    <w:p w14:paraId="3BD2C25B" w14:textId="77777777" w:rsidR="00945510" w:rsidRPr="00AC41E0" w:rsidRDefault="00945510" w:rsidP="00003096">
      <w:pPr>
        <w:pStyle w:val="Heading4"/>
        <w:numPr>
          <w:ilvl w:val="0"/>
          <w:numId w:val="150"/>
        </w:numPr>
        <w:rPr>
          <w:rFonts w:ascii="Arial" w:hAnsi="Arial"/>
        </w:rPr>
      </w:pPr>
      <w:r w:rsidRPr="00AC41E0">
        <w:rPr>
          <w:rFonts w:ascii="Arial" w:hAnsi="Arial"/>
        </w:rPr>
        <w:t>Identify your stakeholders</w:t>
      </w:r>
    </w:p>
    <w:p w14:paraId="2F9D61BD" w14:textId="46808E5C" w:rsidR="00945510" w:rsidRPr="00AC41E0" w:rsidRDefault="00945510" w:rsidP="001845B3">
      <w:pPr>
        <w:pStyle w:val="DCSbodytext"/>
        <w:spacing w:after="120"/>
      </w:pPr>
      <w:r w:rsidRPr="00AC41E0">
        <w:t>When preparing an engagement strategy, you will need to identify</w:t>
      </w:r>
      <w:r w:rsidR="004300A6" w:rsidRPr="00AC41E0">
        <w:t xml:space="preserve"> your </w:t>
      </w:r>
      <w:r w:rsidRPr="00AC41E0">
        <w:t>stakeholders</w:t>
      </w:r>
      <w:r w:rsidR="004300A6" w:rsidRPr="00AC41E0">
        <w:t xml:space="preserve">. </w:t>
      </w:r>
      <w:r w:rsidRPr="00AC41E0">
        <w:t xml:space="preserve">Your stakeholders include any group or individual who might have an interest and/or </w:t>
      </w:r>
      <w:r w:rsidR="00966D93" w:rsidRPr="00AC41E0">
        <w:t xml:space="preserve">is </w:t>
      </w:r>
      <w:r w:rsidRPr="00AC41E0">
        <w:t>affected by your project. To help identify your stakeholders, ask yourself questions such as:</w:t>
      </w:r>
    </w:p>
    <w:p w14:paraId="43BB69E0" w14:textId="77777777" w:rsidR="00945510" w:rsidRPr="00AC41E0" w:rsidRDefault="00945510" w:rsidP="00003096">
      <w:pPr>
        <w:pStyle w:val="DCSbodytext"/>
        <w:numPr>
          <w:ilvl w:val="0"/>
          <w:numId w:val="146"/>
        </w:numPr>
        <w:spacing w:after="120"/>
      </w:pPr>
      <w:r w:rsidRPr="00AC41E0">
        <w:t>Who will have an interest in the outcomes of the project?</w:t>
      </w:r>
    </w:p>
    <w:p w14:paraId="07D98487" w14:textId="4FB548E4" w:rsidR="00945510" w:rsidRPr="00AC41E0" w:rsidRDefault="00945510" w:rsidP="00003096">
      <w:pPr>
        <w:pStyle w:val="DCSbodytext"/>
        <w:numPr>
          <w:ilvl w:val="0"/>
          <w:numId w:val="146"/>
        </w:numPr>
        <w:spacing w:after="120"/>
      </w:pPr>
      <w:r w:rsidRPr="00AC41E0">
        <w:t xml:space="preserve">Who holds </w:t>
      </w:r>
      <w:r w:rsidR="00966D93" w:rsidRPr="00AC41E0">
        <w:t xml:space="preserve">the </w:t>
      </w:r>
      <w:r w:rsidRPr="00AC41E0">
        <w:t>knowledge that could be of value to the project?</w:t>
      </w:r>
    </w:p>
    <w:p w14:paraId="3EBDF3D4" w14:textId="77777777" w:rsidR="00945510" w:rsidRPr="00AC41E0" w:rsidRDefault="00945510" w:rsidP="00003096">
      <w:pPr>
        <w:pStyle w:val="DCSbodytext"/>
        <w:numPr>
          <w:ilvl w:val="0"/>
          <w:numId w:val="146"/>
        </w:numPr>
      </w:pPr>
      <w:r w:rsidRPr="00AC41E0">
        <w:t>Whose views could influence the outcomes of the project?</w:t>
      </w:r>
    </w:p>
    <w:p w14:paraId="64EC250A" w14:textId="36C8ECB9" w:rsidR="00945510" w:rsidRPr="00AC41E0" w:rsidRDefault="00945510" w:rsidP="001845B3">
      <w:pPr>
        <w:pStyle w:val="DCSbodytext"/>
        <w:spacing w:after="120"/>
      </w:pPr>
      <w:r w:rsidRPr="00AC41E0">
        <w:t>Ensure you consider the life of your IoT solution, including project planning, installation, procurement and governance through to data collection, sharing and analysis, and technology maintenance.</w:t>
      </w:r>
      <w:r w:rsidR="00DE19F7" w:rsidRPr="00AC41E0">
        <w:t xml:space="preserve"> </w:t>
      </w:r>
      <w:r w:rsidRPr="00AC41E0">
        <w:t xml:space="preserve">Typical stakeholders for an </w:t>
      </w:r>
      <w:r w:rsidR="003D5E9D" w:rsidRPr="00AC41E0">
        <w:t>IoT-enabled project</w:t>
      </w:r>
      <w:r w:rsidRPr="00AC41E0">
        <w:t xml:space="preserve"> include:</w:t>
      </w:r>
    </w:p>
    <w:p w14:paraId="5255EF09" w14:textId="56BB44AF" w:rsidR="00945510" w:rsidRPr="00AC41E0" w:rsidRDefault="00DA7764" w:rsidP="00003096">
      <w:pPr>
        <w:pStyle w:val="DCSbodytext"/>
        <w:numPr>
          <w:ilvl w:val="0"/>
          <w:numId w:val="147"/>
        </w:numPr>
        <w:spacing w:after="120"/>
      </w:pPr>
      <w:r w:rsidRPr="00AC41E0">
        <w:t>c</w:t>
      </w:r>
      <w:r w:rsidR="00945510" w:rsidRPr="00AC41E0">
        <w:t>itizens</w:t>
      </w:r>
    </w:p>
    <w:p w14:paraId="45C01685" w14:textId="6946DC18" w:rsidR="00945510" w:rsidRPr="00AC41E0" w:rsidRDefault="00DA7764" w:rsidP="00003096">
      <w:pPr>
        <w:pStyle w:val="DCSbodytext"/>
        <w:numPr>
          <w:ilvl w:val="0"/>
          <w:numId w:val="147"/>
        </w:numPr>
        <w:spacing w:after="120"/>
      </w:pPr>
      <w:r w:rsidRPr="00AC41E0">
        <w:t>g</w:t>
      </w:r>
      <w:r w:rsidR="00945510" w:rsidRPr="00AC41E0">
        <w:t>overnment (from within or outside of your agency)</w:t>
      </w:r>
    </w:p>
    <w:p w14:paraId="752CB585" w14:textId="5E76727D" w:rsidR="00945510" w:rsidRPr="00AC41E0" w:rsidRDefault="00DA7764" w:rsidP="00003096">
      <w:pPr>
        <w:pStyle w:val="DCSbodytext"/>
        <w:numPr>
          <w:ilvl w:val="0"/>
          <w:numId w:val="147"/>
        </w:numPr>
        <w:spacing w:after="120"/>
      </w:pPr>
      <w:r w:rsidRPr="00AC41E0">
        <w:t>e</w:t>
      </w:r>
      <w:r w:rsidR="00945510" w:rsidRPr="00AC41E0">
        <w:t>xternal practitioners with experience delivering similar projects</w:t>
      </w:r>
    </w:p>
    <w:p w14:paraId="4F3C9AEA" w14:textId="4137C668" w:rsidR="00945510" w:rsidRPr="00AC41E0" w:rsidRDefault="00DA7764" w:rsidP="00003096">
      <w:pPr>
        <w:pStyle w:val="DCSbodytext"/>
        <w:numPr>
          <w:ilvl w:val="0"/>
          <w:numId w:val="147"/>
        </w:numPr>
        <w:spacing w:after="120"/>
      </w:pPr>
      <w:r w:rsidRPr="00AC41E0">
        <w:t>i</w:t>
      </w:r>
      <w:r w:rsidR="00945510" w:rsidRPr="00AC41E0">
        <w:t xml:space="preserve">ndustry and business (including small businesses, corporates, </w:t>
      </w:r>
      <w:r w:rsidR="00F117C7" w:rsidRPr="00AC41E0">
        <w:t>n</w:t>
      </w:r>
      <w:r w:rsidR="00E708D5" w:rsidRPr="00AC41E0">
        <w:t>on-</w:t>
      </w:r>
      <w:r w:rsidR="00F117C7" w:rsidRPr="00AC41E0">
        <w:t>g</w:t>
      </w:r>
      <w:r w:rsidR="00E708D5" w:rsidRPr="00AC41E0">
        <w:t xml:space="preserve">overnment </w:t>
      </w:r>
      <w:r w:rsidR="00F117C7" w:rsidRPr="00AC41E0">
        <w:t>o</w:t>
      </w:r>
      <w:r w:rsidR="00E708D5" w:rsidRPr="00AC41E0">
        <w:t>rganisations</w:t>
      </w:r>
      <w:r w:rsidR="00945510" w:rsidRPr="00AC41E0">
        <w:t>)</w:t>
      </w:r>
    </w:p>
    <w:p w14:paraId="630FD68D" w14:textId="516F6511" w:rsidR="00945510" w:rsidRPr="00AC41E0" w:rsidRDefault="00DA7764" w:rsidP="00003096">
      <w:pPr>
        <w:pStyle w:val="DCSbodytext"/>
        <w:numPr>
          <w:ilvl w:val="0"/>
          <w:numId w:val="147"/>
        </w:numPr>
        <w:spacing w:after="120"/>
      </w:pPr>
      <w:r w:rsidRPr="00AC41E0">
        <w:t>p</w:t>
      </w:r>
      <w:r w:rsidR="00945510" w:rsidRPr="00AC41E0">
        <w:t>artners on your solution</w:t>
      </w:r>
    </w:p>
    <w:p w14:paraId="71A6CD5D" w14:textId="39852255" w:rsidR="00945510" w:rsidRPr="00AC41E0" w:rsidRDefault="00DA7764" w:rsidP="00003096">
      <w:pPr>
        <w:pStyle w:val="DCSbodytext"/>
        <w:numPr>
          <w:ilvl w:val="0"/>
          <w:numId w:val="147"/>
        </w:numPr>
        <w:spacing w:after="120"/>
      </w:pPr>
      <w:r w:rsidRPr="00AC41E0">
        <w:t>r</w:t>
      </w:r>
      <w:r w:rsidR="00945510" w:rsidRPr="00AC41E0">
        <w:t>egulators, lobbyists, trade unions, and any other special interest groups</w:t>
      </w:r>
    </w:p>
    <w:p w14:paraId="14FF1FBC" w14:textId="1250713C" w:rsidR="00945510" w:rsidRPr="00AC41E0" w:rsidRDefault="00DA7764" w:rsidP="00003096">
      <w:pPr>
        <w:pStyle w:val="DCSbodytext"/>
        <w:numPr>
          <w:ilvl w:val="0"/>
          <w:numId w:val="147"/>
        </w:numPr>
        <w:spacing w:after="120" w:line="480" w:lineRule="auto"/>
      </w:pPr>
      <w:r w:rsidRPr="00AC41E0">
        <w:t>y</w:t>
      </w:r>
      <w:r w:rsidR="00945510" w:rsidRPr="00AC41E0">
        <w:t>our delivery team</w:t>
      </w:r>
      <w:r w:rsidR="00996703" w:rsidRPr="00AC41E0">
        <w:t xml:space="preserve"> (</w:t>
      </w:r>
      <w:r w:rsidR="004608D6" w:rsidRPr="00AC41E0">
        <w:t xml:space="preserve">including the </w:t>
      </w:r>
      <w:r w:rsidR="00374CED" w:rsidRPr="00AC41E0">
        <w:t>IoT service provider(s)</w:t>
      </w:r>
      <w:r w:rsidR="004608D6" w:rsidRPr="00AC41E0">
        <w:t>)</w:t>
      </w:r>
      <w:r w:rsidRPr="00AC41E0">
        <w:t>.</w:t>
      </w:r>
    </w:p>
    <w:p w14:paraId="740DA2D6" w14:textId="77777777" w:rsidR="001F4004" w:rsidRPr="00AC41E0" w:rsidRDefault="001F4004" w:rsidP="001F4004">
      <w:pPr>
        <w:pStyle w:val="DCSbodytext"/>
        <w:spacing w:after="0"/>
        <w:jc w:val="center"/>
        <w:rPr>
          <w:b/>
        </w:rPr>
      </w:pPr>
    </w:p>
    <w:p w14:paraId="1A713BA7" w14:textId="4CE23630" w:rsidR="00945510" w:rsidRPr="00AC41E0" w:rsidRDefault="00945510" w:rsidP="00945510">
      <w:pPr>
        <w:pStyle w:val="DCSbodytext"/>
        <w:jc w:val="center"/>
        <w:rPr>
          <w:b/>
        </w:rPr>
      </w:pPr>
      <w:r w:rsidRPr="00AC41E0">
        <w:rPr>
          <w:b/>
        </w:rPr>
        <w:t>Typical stakeholders</w:t>
      </w:r>
      <w:r w:rsidR="009346C6" w:rsidRPr="00AC41E0">
        <w:rPr>
          <w:b/>
        </w:rPr>
        <w:t xml:space="preserve"> in an IoT-enabled project</w:t>
      </w:r>
    </w:p>
    <w:p w14:paraId="3E1F93F2" w14:textId="38DFE658" w:rsidR="006E115E" w:rsidRPr="00E46FB0" w:rsidRDefault="006E115E" w:rsidP="00110CB8">
      <w:pPr>
        <w:jc w:val="center"/>
        <w:rPr>
          <w:rFonts w:ascii="Arial" w:eastAsia="Arial Bold" w:hAnsi="Arial" w:cs="Arial"/>
          <w:b/>
          <w:color w:val="000000"/>
          <w:sz w:val="22"/>
          <w:szCs w:val="40"/>
        </w:rPr>
      </w:pPr>
      <w:r w:rsidRPr="00E46FB0">
        <w:rPr>
          <w:noProof/>
        </w:rPr>
        <w:drawing>
          <wp:inline distT="0" distB="0" distL="0" distR="0" wp14:anchorId="00948F1F" wp14:editId="6F957EAA">
            <wp:extent cx="3164205" cy="3072765"/>
            <wp:effectExtent l="0" t="0" r="0" b="0"/>
            <wp:docPr id="55" name="Picture 55" descr="Typical IoT project stakeholders include government, citizens, external practitioners, your delivery team, regulators, lobbyists, trade unions, partners on your solution, and industry and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61">
                      <a:extLst>
                        <a:ext uri="{28A0092B-C50C-407E-A947-70E740481C1C}">
                          <a14:useLocalDpi xmlns:a14="http://schemas.microsoft.com/office/drawing/2010/main" val="0"/>
                        </a:ext>
                      </a:extLst>
                    </a:blip>
                    <a:stretch>
                      <a:fillRect/>
                    </a:stretch>
                  </pic:blipFill>
                  <pic:spPr>
                    <a:xfrm>
                      <a:off x="0" y="0"/>
                      <a:ext cx="3164205" cy="3072765"/>
                    </a:xfrm>
                    <a:prstGeom prst="rect">
                      <a:avLst/>
                    </a:prstGeom>
                  </pic:spPr>
                </pic:pic>
              </a:graphicData>
            </a:graphic>
          </wp:inline>
        </w:drawing>
      </w:r>
      <w:r w:rsidRPr="00E46FB0">
        <w:rPr>
          <w:rFonts w:ascii="Arial" w:hAnsi="Arial"/>
        </w:rPr>
        <w:br w:type="page"/>
      </w:r>
    </w:p>
    <w:p w14:paraId="72605C08" w14:textId="4AF89958" w:rsidR="00945510" w:rsidRPr="00E46FB0" w:rsidRDefault="00945510" w:rsidP="00003096">
      <w:pPr>
        <w:pStyle w:val="Heading4"/>
        <w:numPr>
          <w:ilvl w:val="0"/>
          <w:numId w:val="150"/>
        </w:numPr>
        <w:rPr>
          <w:rFonts w:ascii="Arial" w:hAnsi="Arial"/>
        </w:rPr>
      </w:pPr>
      <w:r w:rsidRPr="00E46FB0">
        <w:rPr>
          <w:rFonts w:ascii="Arial" w:hAnsi="Arial"/>
        </w:rPr>
        <w:lastRenderedPageBreak/>
        <w:t>Analyse your stakeholders</w:t>
      </w:r>
    </w:p>
    <w:p w14:paraId="704E38AE" w14:textId="77777777" w:rsidR="00BB7082" w:rsidRPr="00AC41E0" w:rsidRDefault="00945510" w:rsidP="00DD1CD3">
      <w:pPr>
        <w:pStyle w:val="DCSbodytext"/>
      </w:pPr>
      <w:r w:rsidRPr="00AC41E0">
        <w:t xml:space="preserve">Analysing your stakeholders will help </w:t>
      </w:r>
      <w:r w:rsidR="00DD1CD3" w:rsidRPr="00AC41E0">
        <w:t xml:space="preserve">you to </w:t>
      </w:r>
      <w:r w:rsidRPr="00AC41E0">
        <w:t>understand their issues and concerns and allow you to tailor your engagement to make it as effective as possible.</w:t>
      </w:r>
      <w:r w:rsidR="00DD1CD3" w:rsidRPr="00AC41E0">
        <w:t xml:space="preserve"> </w:t>
      </w:r>
    </w:p>
    <w:p w14:paraId="2006AADB" w14:textId="78911136" w:rsidR="00945510" w:rsidRPr="00AC41E0" w:rsidRDefault="00945510" w:rsidP="00BB7082">
      <w:pPr>
        <w:pStyle w:val="DCSbodytext"/>
        <w:spacing w:before="240" w:after="120"/>
      </w:pPr>
      <w:r w:rsidRPr="00AC41E0">
        <w:t xml:space="preserve">The core elements of stakeholder analysis </w:t>
      </w:r>
      <w:r w:rsidR="00533AF4" w:rsidRPr="00AC41E0">
        <w:t>are</w:t>
      </w:r>
      <w:r w:rsidR="00BB7082" w:rsidRPr="00AC41E0">
        <w:t xml:space="preserve"> outlined below, and can be recorded in a stakeholder register</w:t>
      </w:r>
      <w:r w:rsidRPr="00AC41E0">
        <w:t>:</w:t>
      </w:r>
    </w:p>
    <w:p w14:paraId="3AD55353" w14:textId="20FDB079" w:rsidR="00945510" w:rsidRPr="00AC41E0" w:rsidRDefault="00A05162" w:rsidP="00003096">
      <w:pPr>
        <w:pStyle w:val="DCSbodytext"/>
        <w:numPr>
          <w:ilvl w:val="0"/>
          <w:numId w:val="149"/>
        </w:numPr>
        <w:spacing w:after="120"/>
        <w:ind w:left="1154"/>
      </w:pPr>
      <w:r w:rsidRPr="00AC41E0">
        <w:t>s</w:t>
      </w:r>
      <w:r w:rsidR="00945510" w:rsidRPr="00AC41E0">
        <w:t xml:space="preserve">ort your stakeholders by roughly quantifying their level of </w:t>
      </w:r>
      <w:r w:rsidR="00ED3574" w:rsidRPr="00AC41E0">
        <w:t xml:space="preserve">influence (power) and interest </w:t>
      </w:r>
      <w:r w:rsidR="00945510" w:rsidRPr="00AC41E0">
        <w:t>in your project and plotting it on a stakeholder matrix (see figure</w:t>
      </w:r>
      <w:r w:rsidR="00ED3574" w:rsidRPr="00AC41E0">
        <w:t xml:space="preserve"> below</w:t>
      </w:r>
      <w:r w:rsidR="00945510" w:rsidRPr="00AC41E0">
        <w:t>)</w:t>
      </w:r>
    </w:p>
    <w:p w14:paraId="24EA60BC" w14:textId="3DC24FAB" w:rsidR="00945510" w:rsidRPr="00AC41E0" w:rsidRDefault="00A05162" w:rsidP="00003096">
      <w:pPr>
        <w:pStyle w:val="DCSbodytext"/>
        <w:numPr>
          <w:ilvl w:val="0"/>
          <w:numId w:val="148"/>
        </w:numPr>
        <w:spacing w:after="120"/>
        <w:ind w:left="1154"/>
      </w:pPr>
      <w:r w:rsidRPr="00AC41E0">
        <w:t>identify w</w:t>
      </w:r>
      <w:r w:rsidR="00945510" w:rsidRPr="00AC41E0">
        <w:t xml:space="preserve">hat you want or need from </w:t>
      </w:r>
      <w:r w:rsidRPr="00AC41E0">
        <w:t>your stakeholders</w:t>
      </w:r>
    </w:p>
    <w:p w14:paraId="4E8DCE02" w14:textId="67DF552B" w:rsidR="00945510" w:rsidRPr="00AC41E0" w:rsidRDefault="00A05162" w:rsidP="00003096">
      <w:pPr>
        <w:pStyle w:val="DCSbodytext"/>
        <w:numPr>
          <w:ilvl w:val="0"/>
          <w:numId w:val="148"/>
        </w:numPr>
        <w:spacing w:after="120"/>
        <w:ind w:left="1154"/>
      </w:pPr>
      <w:r w:rsidRPr="00AC41E0">
        <w:t>identify w</w:t>
      </w:r>
      <w:r w:rsidR="00945510" w:rsidRPr="00AC41E0">
        <w:t xml:space="preserve">hat you think </w:t>
      </w:r>
      <w:r w:rsidRPr="00AC41E0">
        <w:t>your stakeholders</w:t>
      </w:r>
      <w:r w:rsidR="00945510" w:rsidRPr="00AC41E0">
        <w:t xml:space="preserve"> want or need from you</w:t>
      </w:r>
    </w:p>
    <w:p w14:paraId="31250808" w14:textId="04092058" w:rsidR="00945510" w:rsidRPr="00AC41E0" w:rsidRDefault="00A05162" w:rsidP="00003096">
      <w:pPr>
        <w:pStyle w:val="DCSbodytext"/>
        <w:numPr>
          <w:ilvl w:val="0"/>
          <w:numId w:val="148"/>
        </w:numPr>
        <w:spacing w:after="120"/>
        <w:ind w:left="1154"/>
      </w:pPr>
      <w:r w:rsidRPr="00AC41E0">
        <w:t>identify r</w:t>
      </w:r>
      <w:r w:rsidR="00945510" w:rsidRPr="00AC41E0">
        <w:t xml:space="preserve">elevant elements of </w:t>
      </w:r>
      <w:r w:rsidR="0051720E" w:rsidRPr="00AC41E0">
        <w:t>your stakeholders’</w:t>
      </w:r>
      <w:r w:rsidR="00945510" w:rsidRPr="00AC41E0">
        <w:t xml:space="preserve"> background and interests</w:t>
      </w:r>
    </w:p>
    <w:p w14:paraId="74B1E48F" w14:textId="744975E9" w:rsidR="00945510" w:rsidRPr="00AC41E0" w:rsidRDefault="0051720E" w:rsidP="00003096">
      <w:pPr>
        <w:pStyle w:val="DCSbodytext"/>
        <w:numPr>
          <w:ilvl w:val="0"/>
          <w:numId w:val="148"/>
        </w:numPr>
        <w:spacing w:after="120"/>
        <w:ind w:left="1154"/>
      </w:pPr>
      <w:r w:rsidRPr="00AC41E0">
        <w:t xml:space="preserve">assess stakeholders’ </w:t>
      </w:r>
      <w:r w:rsidR="00945510" w:rsidRPr="00AC41E0">
        <w:t>attitude</w:t>
      </w:r>
      <w:r w:rsidRPr="00AC41E0">
        <w:t>s</w:t>
      </w:r>
      <w:r w:rsidR="00945510" w:rsidRPr="00AC41E0">
        <w:t xml:space="preserve"> and </w:t>
      </w:r>
      <w:r w:rsidRPr="00AC41E0">
        <w:t xml:space="preserve">the </w:t>
      </w:r>
      <w:r w:rsidR="00945510" w:rsidRPr="00AC41E0">
        <w:t xml:space="preserve">potential impact on </w:t>
      </w:r>
      <w:r w:rsidRPr="00AC41E0">
        <w:t>your</w:t>
      </w:r>
      <w:r w:rsidR="00945510" w:rsidRPr="00AC41E0">
        <w:t xml:space="preserve"> project</w:t>
      </w:r>
    </w:p>
    <w:p w14:paraId="679A30FE" w14:textId="1C37E2E4" w:rsidR="00945510" w:rsidRPr="00AC41E0" w:rsidRDefault="0051720E" w:rsidP="00003096">
      <w:pPr>
        <w:pStyle w:val="DCSbodytext"/>
        <w:numPr>
          <w:ilvl w:val="0"/>
          <w:numId w:val="148"/>
        </w:numPr>
        <w:spacing w:after="120"/>
        <w:ind w:left="1154"/>
      </w:pPr>
      <w:r w:rsidRPr="00AC41E0">
        <w:t>determin</w:t>
      </w:r>
      <w:r w:rsidR="00533AF4" w:rsidRPr="00AC41E0">
        <w:t>e</w:t>
      </w:r>
      <w:r w:rsidRPr="00AC41E0">
        <w:t xml:space="preserve"> t</w:t>
      </w:r>
      <w:r w:rsidR="00945510" w:rsidRPr="00AC41E0">
        <w:t>he strategy you will adopt to engaging with them</w:t>
      </w:r>
      <w:r w:rsidR="00BB7082" w:rsidRPr="00AC41E0">
        <w:t>.</w:t>
      </w:r>
    </w:p>
    <w:p w14:paraId="2707FD67" w14:textId="77777777" w:rsidR="00BB7082" w:rsidRPr="00AC41E0" w:rsidRDefault="00BB7082" w:rsidP="00BB7082">
      <w:pPr>
        <w:pStyle w:val="DCSbodytext"/>
        <w:spacing w:after="120"/>
        <w:ind w:left="1154"/>
      </w:pPr>
    </w:p>
    <w:p w14:paraId="09EB4F47" w14:textId="1D45B651" w:rsidR="00945510" w:rsidRPr="00AC41E0" w:rsidRDefault="00945510" w:rsidP="00945510">
      <w:pPr>
        <w:pStyle w:val="DCSbodytext"/>
        <w:jc w:val="center"/>
        <w:rPr>
          <w:b/>
        </w:rPr>
      </w:pPr>
      <w:r w:rsidRPr="00AC41E0">
        <w:rPr>
          <w:b/>
        </w:rPr>
        <w:t>Stakeholder matrix</w:t>
      </w:r>
    </w:p>
    <w:p w14:paraId="4E258886" w14:textId="238D6F23" w:rsidR="006E115E" w:rsidRPr="00E46FB0" w:rsidRDefault="006E115E" w:rsidP="00110CB8">
      <w:pPr>
        <w:jc w:val="center"/>
        <w:rPr>
          <w:rFonts w:ascii="Arial" w:eastAsia="Arial Bold" w:hAnsi="Arial" w:cs="Arial"/>
          <w:b/>
          <w:color w:val="000000"/>
          <w:sz w:val="22"/>
          <w:szCs w:val="40"/>
        </w:rPr>
      </w:pPr>
      <w:r w:rsidRPr="00E46FB0">
        <w:rPr>
          <w:noProof/>
        </w:rPr>
        <w:drawing>
          <wp:inline distT="0" distB="0" distL="0" distR="0" wp14:anchorId="485FA253" wp14:editId="70430746">
            <wp:extent cx="3228975" cy="3188970"/>
            <wp:effectExtent l="0" t="0" r="9525" b="0"/>
            <wp:docPr id="56" name="Picture 56" descr="Your latents should be kept satisfied, your promoters should be managed closely, apathetics you should monitor and defenders should be kept info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62">
                      <a:extLst>
                        <a:ext uri="{28A0092B-C50C-407E-A947-70E740481C1C}">
                          <a14:useLocalDpi xmlns:a14="http://schemas.microsoft.com/office/drawing/2010/main" val="0"/>
                        </a:ext>
                      </a:extLst>
                    </a:blip>
                    <a:stretch>
                      <a:fillRect/>
                    </a:stretch>
                  </pic:blipFill>
                  <pic:spPr>
                    <a:xfrm>
                      <a:off x="0" y="0"/>
                      <a:ext cx="3228975" cy="3188970"/>
                    </a:xfrm>
                    <a:prstGeom prst="rect">
                      <a:avLst/>
                    </a:prstGeom>
                  </pic:spPr>
                </pic:pic>
              </a:graphicData>
            </a:graphic>
          </wp:inline>
        </w:drawing>
      </w:r>
    </w:p>
    <w:p w14:paraId="5EF9FA71" w14:textId="63730221" w:rsidR="00945510" w:rsidRPr="00AC41E0" w:rsidRDefault="00945510" w:rsidP="00003096">
      <w:pPr>
        <w:pStyle w:val="Heading4"/>
        <w:numPr>
          <w:ilvl w:val="0"/>
          <w:numId w:val="150"/>
        </w:numPr>
        <w:rPr>
          <w:rFonts w:ascii="Arial" w:hAnsi="Arial"/>
        </w:rPr>
      </w:pPr>
      <w:r w:rsidRPr="00AC41E0">
        <w:rPr>
          <w:rFonts w:ascii="Arial" w:hAnsi="Arial"/>
        </w:rPr>
        <w:t>Create an engagement plan</w:t>
      </w:r>
    </w:p>
    <w:p w14:paraId="36AFAFAE" w14:textId="12701E22" w:rsidR="00DD45EB" w:rsidRPr="00E46FB0" w:rsidRDefault="00945510" w:rsidP="00DD45EB">
      <w:pPr>
        <w:pStyle w:val="DCSbodytext"/>
      </w:pPr>
      <w:r w:rsidRPr="00AC41E0">
        <w:t xml:space="preserve">A stakeholder engagement plan </w:t>
      </w:r>
      <w:r w:rsidR="00F1128D" w:rsidRPr="00AC41E0">
        <w:t>provides clear direction for</w:t>
      </w:r>
      <w:r w:rsidRPr="00AC41E0">
        <w:t xml:space="preserve"> the engagement process and </w:t>
      </w:r>
      <w:r w:rsidR="00596F7D" w:rsidRPr="00AC41E0">
        <w:t xml:space="preserve">integrates with </w:t>
      </w:r>
      <w:r w:rsidRPr="00AC41E0">
        <w:t>broader project planning and management. Th</w:t>
      </w:r>
      <w:r w:rsidR="0030445B" w:rsidRPr="00AC41E0">
        <w:t xml:space="preserve">e </w:t>
      </w:r>
      <w:r w:rsidRPr="00AC41E0">
        <w:t xml:space="preserve">plan should be monitored and revised as you develop your solution. </w:t>
      </w:r>
      <w:r w:rsidR="00DD45EB" w:rsidRPr="00AC41E0">
        <w:t xml:space="preserve">The NSW Government has developed </w:t>
      </w:r>
      <w:hyperlink r:id="rId63" w:history="1">
        <w:r w:rsidR="00DD45EB" w:rsidRPr="00E46FB0">
          <w:rPr>
            <w:rStyle w:val="Hyperlink"/>
          </w:rPr>
          <w:t>A Guide to developing engagement plans</w:t>
        </w:r>
      </w:hyperlink>
      <w:r w:rsidR="000C50F6" w:rsidRPr="00E46FB0">
        <w:rPr>
          <w:rStyle w:val="Hyperlink"/>
          <w:color w:val="auto"/>
          <w:u w:val="none"/>
        </w:rPr>
        <w:t xml:space="preserve"> which can assist you</w:t>
      </w:r>
      <w:r w:rsidR="00EF2733" w:rsidRPr="00E46FB0">
        <w:rPr>
          <w:rStyle w:val="Hyperlink"/>
          <w:color w:val="auto"/>
          <w:u w:val="none"/>
        </w:rPr>
        <w:t>.</w:t>
      </w:r>
    </w:p>
    <w:p w14:paraId="05547E7A" w14:textId="53EE4CAB" w:rsidR="007070D7" w:rsidRPr="00AC41E0" w:rsidRDefault="007070D7" w:rsidP="00945510">
      <w:pPr>
        <w:pStyle w:val="DCSbodytext"/>
        <w:spacing w:after="120"/>
      </w:pPr>
      <w:r w:rsidRPr="00AC41E0">
        <w:t>To develop a stakeholder engagement plan, you need to:</w:t>
      </w:r>
    </w:p>
    <w:p w14:paraId="0922D080" w14:textId="590A5AD5" w:rsidR="00945510" w:rsidRPr="00AC41E0" w:rsidRDefault="007070D7" w:rsidP="00003096">
      <w:pPr>
        <w:pStyle w:val="DCSbodytext"/>
        <w:numPr>
          <w:ilvl w:val="0"/>
          <w:numId w:val="151"/>
        </w:numPr>
        <w:spacing w:after="120"/>
      </w:pPr>
      <w:r w:rsidRPr="00AC41E0">
        <w:t>p</w:t>
      </w:r>
      <w:r w:rsidR="00945510" w:rsidRPr="00AC41E0">
        <w:t>rioritise your stakeholders based on your stakeholder matrix</w:t>
      </w:r>
    </w:p>
    <w:p w14:paraId="17A57487" w14:textId="5B5C29FA" w:rsidR="00945510" w:rsidRPr="00AC41E0" w:rsidRDefault="007070D7" w:rsidP="00003096">
      <w:pPr>
        <w:pStyle w:val="DCSbodytext"/>
        <w:numPr>
          <w:ilvl w:val="0"/>
          <w:numId w:val="151"/>
        </w:numPr>
        <w:spacing w:after="120"/>
      </w:pPr>
      <w:r w:rsidRPr="00AC41E0">
        <w:lastRenderedPageBreak/>
        <w:t>t</w:t>
      </w:r>
      <w:r w:rsidR="00945510" w:rsidRPr="00AC41E0">
        <w:t>ailor your engagement for each stakeholder, considering the message you want to convey and the contribution you want to elicit</w:t>
      </w:r>
    </w:p>
    <w:p w14:paraId="41741118" w14:textId="487F519B" w:rsidR="00945510" w:rsidRPr="00AC41E0" w:rsidRDefault="007070D7" w:rsidP="00003096">
      <w:pPr>
        <w:pStyle w:val="DCSbodytext"/>
        <w:numPr>
          <w:ilvl w:val="0"/>
          <w:numId w:val="151"/>
        </w:numPr>
        <w:spacing w:after="120"/>
      </w:pPr>
      <w:r w:rsidRPr="00AC41E0">
        <w:t>d</w:t>
      </w:r>
      <w:r w:rsidR="00945510" w:rsidRPr="00AC41E0">
        <w:t xml:space="preserve">etermine the method of engagement that will most effectively reach your </w:t>
      </w:r>
      <w:r w:rsidR="003B36CD" w:rsidRPr="00AC41E0">
        <w:t>stakeholder</w:t>
      </w:r>
      <w:r w:rsidR="00945510" w:rsidRPr="00AC41E0">
        <w:t xml:space="preserve"> and </w:t>
      </w:r>
      <w:r w:rsidR="001811A8" w:rsidRPr="00AC41E0">
        <w:t>elicit the</w:t>
      </w:r>
      <w:r w:rsidR="00945510" w:rsidRPr="00AC41E0">
        <w:t xml:space="preserve"> desired response </w:t>
      </w:r>
    </w:p>
    <w:p w14:paraId="1CC0AC73" w14:textId="7F6419DD" w:rsidR="00945510" w:rsidRPr="00AC41E0" w:rsidRDefault="007070D7" w:rsidP="00003096">
      <w:pPr>
        <w:pStyle w:val="DCSbodytext"/>
        <w:numPr>
          <w:ilvl w:val="0"/>
          <w:numId w:val="151"/>
        </w:numPr>
      </w:pPr>
      <w:r w:rsidRPr="00AC41E0">
        <w:t>s</w:t>
      </w:r>
      <w:r w:rsidR="00945510" w:rsidRPr="00AC41E0">
        <w:t>chedule your engagement with your stakeholders, including meetings and communications collateral</w:t>
      </w:r>
      <w:r w:rsidR="006553BF" w:rsidRPr="00AC41E0">
        <w:t>.</w:t>
      </w:r>
    </w:p>
    <w:p w14:paraId="26A46C61" w14:textId="68FE93A6" w:rsidR="00067F8B" w:rsidRPr="00AC41E0" w:rsidRDefault="00945510" w:rsidP="00067F8B">
      <w:pPr>
        <w:pStyle w:val="DCSbodytext"/>
      </w:pPr>
      <w:r w:rsidRPr="00AC41E0">
        <w:t xml:space="preserve">Your method of engagement </w:t>
      </w:r>
      <w:r w:rsidR="007E4401" w:rsidRPr="00AC41E0">
        <w:t>will</w:t>
      </w:r>
      <w:r w:rsidRPr="00AC41E0">
        <w:t xml:space="preserve"> be determined by the objective of the engagement and the stakeholder. Different stakeholders will be receptive to different engagement methods and styles based on factors such as demographics, location, size of the group and diversity. </w:t>
      </w:r>
    </w:p>
    <w:p w14:paraId="0CDE8C59" w14:textId="2D6A51F0" w:rsidR="00945510" w:rsidRPr="00AC41E0" w:rsidRDefault="00945510" w:rsidP="00945510">
      <w:pPr>
        <w:pStyle w:val="DCSbodytext"/>
        <w:jc w:val="center"/>
        <w:rPr>
          <w:b/>
        </w:rPr>
      </w:pPr>
      <w:r w:rsidRPr="00AC41E0">
        <w:rPr>
          <w:b/>
        </w:rPr>
        <w:t>Engagement methods</w:t>
      </w:r>
    </w:p>
    <w:tbl>
      <w:tblPr>
        <w:tblStyle w:val="GridTable4-Accent1"/>
        <w:tblW w:w="8649" w:type="dxa"/>
        <w:tblInd w:w="846" w:type="dxa"/>
        <w:tblLayout w:type="fixed"/>
        <w:tblCellMar>
          <w:top w:w="28" w:type="dxa"/>
          <w:bottom w:w="85" w:type="dxa"/>
        </w:tblCellMar>
        <w:tblLook w:val="04A0" w:firstRow="1" w:lastRow="0" w:firstColumn="1" w:lastColumn="0" w:noHBand="0" w:noVBand="1"/>
      </w:tblPr>
      <w:tblGrid>
        <w:gridCol w:w="1559"/>
        <w:gridCol w:w="3686"/>
        <w:gridCol w:w="3404"/>
      </w:tblGrid>
      <w:tr w:rsidR="00945510" w:rsidRPr="00AC41E0" w14:paraId="0782E7C8" w14:textId="77777777" w:rsidTr="00110C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50BAF445" w14:textId="77777777" w:rsidR="00945510" w:rsidRPr="00AC41E0" w:rsidRDefault="00945510" w:rsidP="00E25DCC">
            <w:pPr>
              <w:jc w:val="center"/>
              <w:rPr>
                <w:rFonts w:ascii="Arial" w:hAnsi="Arial" w:cs="Arial"/>
                <w:sz w:val="22"/>
                <w:szCs w:val="22"/>
              </w:rPr>
            </w:pPr>
            <w:r w:rsidRPr="00AC41E0">
              <w:rPr>
                <w:rFonts w:ascii="Arial" w:hAnsi="Arial" w:cs="Arial"/>
                <w:sz w:val="22"/>
                <w:szCs w:val="22"/>
              </w:rPr>
              <w:t>Situation</w:t>
            </w:r>
          </w:p>
        </w:tc>
        <w:tc>
          <w:tcPr>
            <w:tcW w:w="0"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2F39CEEA" w14:textId="77777777" w:rsidR="00945510" w:rsidRPr="00AC41E0" w:rsidRDefault="00945510" w:rsidP="00E25DC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C41E0">
              <w:rPr>
                <w:rFonts w:ascii="Arial" w:hAnsi="Arial" w:cs="Arial"/>
                <w:sz w:val="22"/>
                <w:szCs w:val="22"/>
              </w:rPr>
              <w:t>Engagement objective</w:t>
            </w:r>
          </w:p>
        </w:tc>
        <w:tc>
          <w:tcPr>
            <w:tcW w:w="0"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57C3A44C" w14:textId="7C59618B" w:rsidR="00945510" w:rsidRPr="00AC41E0" w:rsidRDefault="000733EE" w:rsidP="00E25DC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C41E0">
              <w:rPr>
                <w:rFonts w:ascii="Arial" w:hAnsi="Arial" w:cs="Arial"/>
                <w:sz w:val="22"/>
                <w:szCs w:val="22"/>
              </w:rPr>
              <w:t>M</w:t>
            </w:r>
            <w:r w:rsidR="00945510" w:rsidRPr="00AC41E0">
              <w:rPr>
                <w:rFonts w:ascii="Arial" w:hAnsi="Arial" w:cs="Arial"/>
                <w:sz w:val="22"/>
                <w:szCs w:val="22"/>
              </w:rPr>
              <w:t>ethods</w:t>
            </w:r>
          </w:p>
        </w:tc>
      </w:tr>
      <w:tr w:rsidR="00945510" w:rsidRPr="00AC41E0" w14:paraId="746DA73D" w14:textId="77777777" w:rsidTr="004A0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auto"/>
              <w:left w:val="single" w:sz="4" w:space="0" w:color="95B3D7" w:themeColor="accent1" w:themeTint="99"/>
              <w:bottom w:val="single" w:sz="4" w:space="0" w:color="95B3D7" w:themeColor="accent1" w:themeTint="99"/>
              <w:right w:val="single" w:sz="4" w:space="0" w:color="95B3D7" w:themeColor="accent1" w:themeTint="99"/>
            </w:tcBorders>
            <w:hideMark/>
          </w:tcPr>
          <w:p w14:paraId="440293E9" w14:textId="77777777" w:rsidR="00945510" w:rsidRPr="00AC41E0" w:rsidRDefault="00945510" w:rsidP="004A0722">
            <w:pPr>
              <w:jc w:val="center"/>
              <w:rPr>
                <w:rFonts w:ascii="Arial" w:hAnsi="Arial" w:cs="Arial"/>
                <w:sz w:val="22"/>
                <w:szCs w:val="22"/>
              </w:rPr>
            </w:pPr>
            <w:r w:rsidRPr="00AC41E0">
              <w:rPr>
                <w:rFonts w:ascii="Arial" w:hAnsi="Arial" w:cs="Arial"/>
                <w:sz w:val="22"/>
                <w:szCs w:val="22"/>
              </w:rPr>
              <w:t>Inform</w:t>
            </w:r>
          </w:p>
        </w:tc>
        <w:tc>
          <w:tcPr>
            <w:tcW w:w="3686" w:type="dxa"/>
            <w:tcBorders>
              <w:top w:val="single" w:sz="4" w:space="0" w:color="auto"/>
              <w:left w:val="single" w:sz="4" w:space="0" w:color="95B3D7" w:themeColor="accent1" w:themeTint="99"/>
              <w:bottom w:val="single" w:sz="4" w:space="0" w:color="95B3D7" w:themeColor="accent1" w:themeTint="99"/>
              <w:right w:val="single" w:sz="4" w:space="0" w:color="95B3D7" w:themeColor="accent1" w:themeTint="99"/>
            </w:tcBorders>
            <w:hideMark/>
          </w:tcPr>
          <w:p w14:paraId="31F12A96" w14:textId="282AC042" w:rsidR="00945510" w:rsidRPr="00AC41E0" w:rsidRDefault="00945510" w:rsidP="00E25DCC">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C41E0">
              <w:rPr>
                <w:rFonts w:ascii="Arial" w:hAnsi="Arial" w:cs="Arial"/>
                <w:sz w:val="22"/>
                <w:szCs w:val="22"/>
              </w:rPr>
              <w:t>To provide the stakeholder with balanced and objective information to assist them in understanding the problem, alternatives, opportunities and/or solutions</w:t>
            </w:r>
            <w:r w:rsidR="004A0722" w:rsidRPr="00AC41E0">
              <w:rPr>
                <w:rFonts w:ascii="Arial" w:hAnsi="Arial" w:cs="Arial"/>
                <w:sz w:val="22"/>
                <w:szCs w:val="22"/>
              </w:rPr>
              <w:t>.</w:t>
            </w:r>
          </w:p>
        </w:tc>
        <w:tc>
          <w:tcPr>
            <w:tcW w:w="3404" w:type="dxa"/>
            <w:tcBorders>
              <w:top w:val="single" w:sz="4" w:space="0" w:color="auto"/>
              <w:left w:val="single" w:sz="4" w:space="0" w:color="95B3D7" w:themeColor="accent1" w:themeTint="99"/>
              <w:bottom w:val="single" w:sz="4" w:space="0" w:color="95B3D7" w:themeColor="accent1" w:themeTint="99"/>
              <w:right w:val="single" w:sz="4" w:space="0" w:color="95B3D7" w:themeColor="accent1" w:themeTint="99"/>
            </w:tcBorders>
            <w:hideMark/>
          </w:tcPr>
          <w:p w14:paraId="0BFB8746" w14:textId="77777777" w:rsidR="00945510" w:rsidRPr="00AC41E0" w:rsidRDefault="00945510" w:rsidP="00003096">
            <w:pPr>
              <w:pStyle w:val="ListParagraph"/>
              <w:numPr>
                <w:ilvl w:val="0"/>
                <w:numId w:val="153"/>
              </w:numPr>
              <w:ind w:left="311" w:hanging="311"/>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Correspondence</w:t>
            </w:r>
          </w:p>
          <w:p w14:paraId="4B81468B" w14:textId="77777777" w:rsidR="00945510" w:rsidRPr="00AC41E0" w:rsidRDefault="00945510" w:rsidP="00003096">
            <w:pPr>
              <w:pStyle w:val="ListParagraph"/>
              <w:numPr>
                <w:ilvl w:val="0"/>
                <w:numId w:val="153"/>
              </w:numPr>
              <w:ind w:left="311" w:hanging="311"/>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Newsletters/ bulletins</w:t>
            </w:r>
          </w:p>
          <w:p w14:paraId="397C3297" w14:textId="77777777" w:rsidR="00945510" w:rsidRPr="00AC41E0" w:rsidRDefault="00945510" w:rsidP="00003096">
            <w:pPr>
              <w:pStyle w:val="ListParagraph"/>
              <w:numPr>
                <w:ilvl w:val="0"/>
                <w:numId w:val="153"/>
              </w:numPr>
              <w:ind w:left="311" w:hanging="311"/>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Fact sheets</w:t>
            </w:r>
          </w:p>
          <w:p w14:paraId="6CAD9A80" w14:textId="77777777" w:rsidR="00945510" w:rsidRPr="00AC41E0" w:rsidRDefault="00945510" w:rsidP="00003096">
            <w:pPr>
              <w:pStyle w:val="ListParagraph"/>
              <w:numPr>
                <w:ilvl w:val="0"/>
                <w:numId w:val="153"/>
              </w:numPr>
              <w:ind w:left="311" w:hanging="311"/>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Website</w:t>
            </w:r>
          </w:p>
          <w:p w14:paraId="5B0D23EC" w14:textId="77777777" w:rsidR="00945510" w:rsidRPr="00AC41E0" w:rsidRDefault="00945510" w:rsidP="00003096">
            <w:pPr>
              <w:pStyle w:val="ListParagraph"/>
              <w:numPr>
                <w:ilvl w:val="0"/>
                <w:numId w:val="153"/>
              </w:numPr>
              <w:ind w:left="311" w:hanging="311"/>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Social media</w:t>
            </w:r>
          </w:p>
          <w:p w14:paraId="222805A7" w14:textId="77777777" w:rsidR="00945510" w:rsidRPr="00AC41E0" w:rsidRDefault="00945510" w:rsidP="00003096">
            <w:pPr>
              <w:pStyle w:val="ListParagraph"/>
              <w:numPr>
                <w:ilvl w:val="0"/>
                <w:numId w:val="153"/>
              </w:numPr>
              <w:ind w:left="311" w:hanging="311"/>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Blogs</w:t>
            </w:r>
          </w:p>
        </w:tc>
      </w:tr>
      <w:tr w:rsidR="00945510" w:rsidRPr="00AC41E0" w14:paraId="47DC46AD" w14:textId="77777777" w:rsidTr="004A0722">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DB5CB9E" w14:textId="77777777" w:rsidR="00945510" w:rsidRPr="00AC41E0" w:rsidRDefault="00945510" w:rsidP="004A0722">
            <w:pPr>
              <w:jc w:val="center"/>
              <w:rPr>
                <w:rFonts w:ascii="Arial" w:hAnsi="Arial" w:cs="Arial"/>
                <w:sz w:val="22"/>
                <w:szCs w:val="22"/>
              </w:rPr>
            </w:pPr>
            <w:r w:rsidRPr="00AC41E0">
              <w:rPr>
                <w:rFonts w:ascii="Arial" w:hAnsi="Arial" w:cs="Arial"/>
                <w:sz w:val="22"/>
                <w:szCs w:val="22"/>
              </w:rPr>
              <w:t>Consult</w:t>
            </w:r>
          </w:p>
        </w:tc>
        <w:tc>
          <w:tcPr>
            <w:tcW w:w="36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2513B00" w14:textId="0B1E6132" w:rsidR="00945510" w:rsidRPr="00AC41E0" w:rsidRDefault="00945510" w:rsidP="00E25DC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C41E0">
              <w:rPr>
                <w:rFonts w:ascii="Arial" w:hAnsi="Arial" w:cs="Arial"/>
                <w:sz w:val="22"/>
                <w:szCs w:val="22"/>
              </w:rPr>
              <w:t>To obtain stakeholder feedback on analysis, alternatives and/or decisions</w:t>
            </w:r>
            <w:r w:rsidR="004A0722" w:rsidRPr="00AC41E0">
              <w:rPr>
                <w:rFonts w:ascii="Arial" w:hAnsi="Arial" w:cs="Arial"/>
                <w:sz w:val="22"/>
                <w:szCs w:val="22"/>
              </w:rPr>
              <w:t>.</w:t>
            </w:r>
          </w:p>
          <w:p w14:paraId="7151373A" w14:textId="77777777" w:rsidR="00945510" w:rsidRPr="00AC41E0" w:rsidRDefault="00945510" w:rsidP="00E25DC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40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3C0B02B" w14:textId="77777777" w:rsidR="00945510" w:rsidRPr="00AC41E0" w:rsidRDefault="00945510" w:rsidP="00003096">
            <w:pPr>
              <w:pStyle w:val="ListParagraph"/>
              <w:numPr>
                <w:ilvl w:val="0"/>
                <w:numId w:val="153"/>
              </w:numPr>
              <w:ind w:left="311" w:hanging="311"/>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Surveys</w:t>
            </w:r>
          </w:p>
          <w:p w14:paraId="22334474" w14:textId="77777777" w:rsidR="00945510" w:rsidRPr="00AC41E0" w:rsidRDefault="00945510" w:rsidP="00003096">
            <w:pPr>
              <w:pStyle w:val="ListParagraph"/>
              <w:numPr>
                <w:ilvl w:val="0"/>
                <w:numId w:val="153"/>
              </w:numPr>
              <w:ind w:left="311" w:hanging="311"/>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Interviews</w:t>
            </w:r>
          </w:p>
          <w:p w14:paraId="23D5E006" w14:textId="77777777" w:rsidR="00945510" w:rsidRPr="00AC41E0" w:rsidRDefault="00945510" w:rsidP="00003096">
            <w:pPr>
              <w:pStyle w:val="ListParagraph"/>
              <w:numPr>
                <w:ilvl w:val="0"/>
                <w:numId w:val="153"/>
              </w:numPr>
              <w:ind w:left="311" w:hanging="311"/>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Briefings</w:t>
            </w:r>
          </w:p>
          <w:p w14:paraId="5EFFFD66" w14:textId="77777777" w:rsidR="00945510" w:rsidRPr="00AC41E0" w:rsidRDefault="00945510" w:rsidP="00003096">
            <w:pPr>
              <w:pStyle w:val="ListParagraph"/>
              <w:numPr>
                <w:ilvl w:val="0"/>
                <w:numId w:val="153"/>
              </w:numPr>
              <w:ind w:left="311" w:hanging="311"/>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Focus groups</w:t>
            </w:r>
          </w:p>
          <w:p w14:paraId="1DA92D3D" w14:textId="77777777" w:rsidR="00945510" w:rsidRPr="00AC41E0" w:rsidRDefault="00945510" w:rsidP="00003096">
            <w:pPr>
              <w:pStyle w:val="ListParagraph"/>
              <w:numPr>
                <w:ilvl w:val="0"/>
                <w:numId w:val="153"/>
              </w:numPr>
              <w:ind w:left="311" w:hanging="311"/>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Online feedback tools</w:t>
            </w:r>
          </w:p>
          <w:p w14:paraId="7E39484F" w14:textId="77777777" w:rsidR="00945510" w:rsidRPr="00AC41E0" w:rsidRDefault="00945510" w:rsidP="00003096">
            <w:pPr>
              <w:pStyle w:val="ListParagraph"/>
              <w:numPr>
                <w:ilvl w:val="0"/>
                <w:numId w:val="153"/>
              </w:numPr>
              <w:ind w:left="311" w:hanging="311"/>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Diary studies</w:t>
            </w:r>
          </w:p>
          <w:p w14:paraId="76980604" w14:textId="77777777" w:rsidR="00945510" w:rsidRPr="00AC41E0" w:rsidRDefault="00945510" w:rsidP="00003096">
            <w:pPr>
              <w:pStyle w:val="ListParagraph"/>
              <w:numPr>
                <w:ilvl w:val="0"/>
                <w:numId w:val="153"/>
              </w:numPr>
              <w:ind w:left="311" w:hanging="311"/>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A/B tests</w:t>
            </w:r>
          </w:p>
          <w:p w14:paraId="412BC974" w14:textId="77777777" w:rsidR="00945510" w:rsidRPr="00AC41E0" w:rsidRDefault="00945510" w:rsidP="00003096">
            <w:pPr>
              <w:pStyle w:val="ListParagraph"/>
              <w:numPr>
                <w:ilvl w:val="0"/>
                <w:numId w:val="153"/>
              </w:numPr>
              <w:ind w:left="311" w:hanging="311"/>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Tree testing</w:t>
            </w:r>
          </w:p>
        </w:tc>
      </w:tr>
      <w:tr w:rsidR="00945510" w:rsidRPr="00AC41E0" w14:paraId="30364D27" w14:textId="77777777" w:rsidTr="004A0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8902506" w14:textId="77777777" w:rsidR="00945510" w:rsidRPr="00AC41E0" w:rsidRDefault="00945510" w:rsidP="004A0722">
            <w:pPr>
              <w:jc w:val="center"/>
              <w:rPr>
                <w:rFonts w:ascii="Arial" w:hAnsi="Arial" w:cs="Arial"/>
                <w:sz w:val="22"/>
                <w:szCs w:val="22"/>
              </w:rPr>
            </w:pPr>
            <w:r w:rsidRPr="00AC41E0">
              <w:rPr>
                <w:rFonts w:ascii="Arial" w:hAnsi="Arial" w:cs="Arial"/>
                <w:sz w:val="22"/>
                <w:szCs w:val="22"/>
              </w:rPr>
              <w:t>Involve</w:t>
            </w:r>
          </w:p>
        </w:tc>
        <w:tc>
          <w:tcPr>
            <w:tcW w:w="36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CE950A3" w14:textId="77777777" w:rsidR="00945510" w:rsidRPr="00AC41E0" w:rsidRDefault="00945510" w:rsidP="00E25DCC">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C41E0">
              <w:rPr>
                <w:rFonts w:ascii="Arial" w:hAnsi="Arial" w:cs="Arial"/>
                <w:sz w:val="22"/>
                <w:szCs w:val="22"/>
              </w:rPr>
              <w:t>To work directly with the stakeholder throughout the project to ensure that their concerns and aspirations are consistently understood and considered.</w:t>
            </w:r>
          </w:p>
        </w:tc>
        <w:tc>
          <w:tcPr>
            <w:tcW w:w="340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DC767EA" w14:textId="77777777" w:rsidR="00945510" w:rsidRPr="00AC41E0" w:rsidRDefault="00945510" w:rsidP="00003096">
            <w:pPr>
              <w:pStyle w:val="ListParagraph"/>
              <w:numPr>
                <w:ilvl w:val="0"/>
                <w:numId w:val="153"/>
              </w:numPr>
              <w:ind w:left="311" w:hanging="311"/>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Workshops</w:t>
            </w:r>
          </w:p>
          <w:p w14:paraId="05EA48AA" w14:textId="77777777" w:rsidR="00945510" w:rsidRPr="00AC41E0" w:rsidRDefault="00945510" w:rsidP="00003096">
            <w:pPr>
              <w:pStyle w:val="ListParagraph"/>
              <w:numPr>
                <w:ilvl w:val="0"/>
                <w:numId w:val="153"/>
              </w:numPr>
              <w:ind w:left="311" w:hanging="311"/>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Forums</w:t>
            </w:r>
          </w:p>
          <w:p w14:paraId="07F24E45" w14:textId="77777777" w:rsidR="00945510" w:rsidRPr="00AC41E0" w:rsidRDefault="00945510" w:rsidP="00003096">
            <w:pPr>
              <w:pStyle w:val="ListParagraph"/>
              <w:numPr>
                <w:ilvl w:val="0"/>
                <w:numId w:val="153"/>
              </w:numPr>
              <w:ind w:left="311" w:hanging="311"/>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Partnerships</w:t>
            </w:r>
          </w:p>
          <w:p w14:paraId="75B15C7E" w14:textId="12821F95" w:rsidR="00945510" w:rsidRPr="00AC41E0" w:rsidRDefault="001733B3" w:rsidP="00003096">
            <w:pPr>
              <w:pStyle w:val="ListParagraph"/>
              <w:numPr>
                <w:ilvl w:val="0"/>
                <w:numId w:val="153"/>
              </w:numPr>
              <w:ind w:left="311" w:hanging="311"/>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Memoranda of Understanding (MOUs)</w:t>
            </w:r>
          </w:p>
        </w:tc>
      </w:tr>
      <w:tr w:rsidR="00945510" w:rsidRPr="00AC41E0" w14:paraId="5DC84AC2" w14:textId="77777777" w:rsidTr="004A0722">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E3AA2EB" w14:textId="77777777" w:rsidR="00945510" w:rsidRPr="00AC41E0" w:rsidRDefault="00945510" w:rsidP="004A0722">
            <w:pPr>
              <w:jc w:val="center"/>
              <w:rPr>
                <w:rFonts w:ascii="Arial" w:hAnsi="Arial" w:cs="Arial"/>
                <w:sz w:val="22"/>
                <w:szCs w:val="22"/>
              </w:rPr>
            </w:pPr>
            <w:r w:rsidRPr="00AC41E0">
              <w:rPr>
                <w:rFonts w:ascii="Arial" w:hAnsi="Arial" w:cs="Arial"/>
                <w:sz w:val="22"/>
                <w:szCs w:val="22"/>
              </w:rPr>
              <w:t>Collaborate</w:t>
            </w:r>
          </w:p>
        </w:tc>
        <w:tc>
          <w:tcPr>
            <w:tcW w:w="36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A88CB5E" w14:textId="77777777" w:rsidR="00945510" w:rsidRPr="00AC41E0" w:rsidRDefault="00945510" w:rsidP="00E25DC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C41E0">
              <w:rPr>
                <w:rFonts w:ascii="Arial" w:hAnsi="Arial" w:cs="Arial"/>
                <w:sz w:val="22"/>
                <w:szCs w:val="22"/>
              </w:rPr>
              <w:t>To partner with the stakeholder in each aspect of the project, including the development of alternatives and the identification of the preferred solution.</w:t>
            </w:r>
          </w:p>
        </w:tc>
        <w:tc>
          <w:tcPr>
            <w:tcW w:w="340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CEE9F42" w14:textId="77777777" w:rsidR="00945510" w:rsidRPr="00AC41E0" w:rsidRDefault="00945510" w:rsidP="00003096">
            <w:pPr>
              <w:pStyle w:val="ListParagraph"/>
              <w:numPr>
                <w:ilvl w:val="0"/>
                <w:numId w:val="153"/>
              </w:numPr>
              <w:ind w:left="311" w:hanging="311"/>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Committees</w:t>
            </w:r>
          </w:p>
          <w:p w14:paraId="39604CBE" w14:textId="77777777" w:rsidR="00945510" w:rsidRPr="00AC41E0" w:rsidRDefault="00945510" w:rsidP="00003096">
            <w:pPr>
              <w:pStyle w:val="ListParagraph"/>
              <w:numPr>
                <w:ilvl w:val="0"/>
                <w:numId w:val="153"/>
              </w:numPr>
              <w:ind w:left="311" w:hanging="311"/>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Roundtables</w:t>
            </w:r>
          </w:p>
          <w:p w14:paraId="3E6CDD7B" w14:textId="77777777" w:rsidR="00945510" w:rsidRPr="00AC41E0" w:rsidRDefault="00945510" w:rsidP="00003096">
            <w:pPr>
              <w:pStyle w:val="ListParagraph"/>
              <w:numPr>
                <w:ilvl w:val="0"/>
                <w:numId w:val="153"/>
              </w:numPr>
              <w:ind w:left="311" w:hanging="311"/>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Reference groups</w:t>
            </w:r>
          </w:p>
          <w:p w14:paraId="717983F5" w14:textId="77777777" w:rsidR="00945510" w:rsidRPr="00AC41E0" w:rsidRDefault="00945510" w:rsidP="00003096">
            <w:pPr>
              <w:pStyle w:val="ListParagraph"/>
              <w:numPr>
                <w:ilvl w:val="0"/>
                <w:numId w:val="153"/>
              </w:numPr>
              <w:ind w:left="311" w:hanging="311"/>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Online collaboration tools</w:t>
            </w:r>
          </w:p>
        </w:tc>
      </w:tr>
      <w:tr w:rsidR="00945510" w:rsidRPr="00AC41E0" w14:paraId="0A6BC110" w14:textId="77777777" w:rsidTr="004A0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7E8DEF3" w14:textId="77777777" w:rsidR="00945510" w:rsidRPr="00AC41E0" w:rsidRDefault="00945510" w:rsidP="004A0722">
            <w:pPr>
              <w:jc w:val="center"/>
              <w:rPr>
                <w:rFonts w:ascii="Arial" w:hAnsi="Arial" w:cs="Arial"/>
                <w:sz w:val="22"/>
                <w:szCs w:val="22"/>
              </w:rPr>
            </w:pPr>
            <w:r w:rsidRPr="00AC41E0">
              <w:rPr>
                <w:rFonts w:ascii="Arial" w:hAnsi="Arial" w:cs="Arial"/>
                <w:sz w:val="22"/>
                <w:szCs w:val="22"/>
              </w:rPr>
              <w:t>Empower</w:t>
            </w:r>
          </w:p>
        </w:tc>
        <w:tc>
          <w:tcPr>
            <w:tcW w:w="36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BBDEE63" w14:textId="77777777" w:rsidR="00945510" w:rsidRPr="00AC41E0" w:rsidRDefault="00945510" w:rsidP="00E25DCC">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C41E0">
              <w:rPr>
                <w:rFonts w:ascii="Arial" w:hAnsi="Arial" w:cs="Arial"/>
                <w:sz w:val="22"/>
                <w:szCs w:val="22"/>
              </w:rPr>
              <w:t>To allocate final decision-making responsibilities to the stakeholder</w:t>
            </w:r>
          </w:p>
        </w:tc>
        <w:tc>
          <w:tcPr>
            <w:tcW w:w="340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06F2B32" w14:textId="77777777" w:rsidR="00945510" w:rsidRPr="00AC41E0" w:rsidRDefault="00945510" w:rsidP="00003096">
            <w:pPr>
              <w:pStyle w:val="ListParagraph"/>
              <w:numPr>
                <w:ilvl w:val="0"/>
                <w:numId w:val="153"/>
              </w:numPr>
              <w:ind w:left="311" w:hanging="311"/>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Joint planning</w:t>
            </w:r>
          </w:p>
          <w:p w14:paraId="73D91845" w14:textId="77777777" w:rsidR="00945510" w:rsidRPr="00AC41E0" w:rsidRDefault="00945510" w:rsidP="00003096">
            <w:pPr>
              <w:pStyle w:val="ListParagraph"/>
              <w:numPr>
                <w:ilvl w:val="0"/>
                <w:numId w:val="153"/>
              </w:numPr>
              <w:ind w:left="311" w:hanging="311"/>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Share responsibility</w:t>
            </w:r>
          </w:p>
          <w:p w14:paraId="6A84F9B0" w14:textId="77777777" w:rsidR="00945510" w:rsidRPr="00AC41E0" w:rsidRDefault="00945510" w:rsidP="00003096">
            <w:pPr>
              <w:pStyle w:val="ListParagraph"/>
              <w:numPr>
                <w:ilvl w:val="0"/>
                <w:numId w:val="153"/>
              </w:numPr>
              <w:ind w:left="311" w:hanging="311"/>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Sponsorships</w:t>
            </w:r>
          </w:p>
        </w:tc>
      </w:tr>
    </w:tbl>
    <w:p w14:paraId="62DA3A68" w14:textId="2082A89D" w:rsidR="00945510" w:rsidRPr="00AC41E0" w:rsidRDefault="00945510" w:rsidP="00945510">
      <w:pPr>
        <w:rPr>
          <w:rFonts w:ascii="Arial" w:hAnsi="Arial" w:cs="Arial"/>
        </w:rPr>
      </w:pPr>
    </w:p>
    <w:p w14:paraId="712D0D14" w14:textId="0EF7F357" w:rsidR="00573487" w:rsidRPr="00AC41E0" w:rsidRDefault="00573487" w:rsidP="001B4B51">
      <w:pPr>
        <w:pStyle w:val="DCSbodytext"/>
        <w:ind w:left="1559" w:hanging="119"/>
        <w:rPr>
          <w:i/>
        </w:rPr>
      </w:pPr>
      <w:r w:rsidRPr="00E46FB0">
        <w:rPr>
          <w:noProof/>
        </w:rPr>
        <w:lastRenderedPageBreak/>
        <w:drawing>
          <wp:anchor distT="0" distB="0" distL="114300" distR="114300" simplePos="0" relativeHeight="251658272" behindDoc="1" locked="0" layoutInCell="1" allowOverlap="1" wp14:anchorId="685B9E2A" wp14:editId="2C341BC1">
            <wp:simplePos x="0" y="0"/>
            <wp:positionH relativeFrom="margin">
              <wp:posOffset>447040</wp:posOffset>
            </wp:positionH>
            <wp:positionV relativeFrom="paragraph">
              <wp:posOffset>26670</wp:posOffset>
            </wp:positionV>
            <wp:extent cx="450850" cy="450850"/>
            <wp:effectExtent l="0" t="0" r="0" b="6350"/>
            <wp:wrapTight wrapText="bothSides">
              <wp:wrapPolygon edited="0">
                <wp:start x="8214" y="0"/>
                <wp:lineTo x="1825" y="3651"/>
                <wp:lineTo x="0" y="9127"/>
                <wp:lineTo x="1825" y="15515"/>
                <wp:lineTo x="7301" y="20992"/>
                <wp:lineTo x="12777" y="20992"/>
                <wp:lineTo x="19166" y="15515"/>
                <wp:lineTo x="20079" y="10039"/>
                <wp:lineTo x="17341" y="3651"/>
                <wp:lineTo x="12777" y="0"/>
                <wp:lineTo x="8214" y="0"/>
              </wp:wrapPolygon>
            </wp:wrapTight>
            <wp:docPr id="30" name="Graphic 30"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r w:rsidRPr="00E46FB0">
        <w:t xml:space="preserve"> </w:t>
      </w:r>
      <w:r w:rsidRPr="00E46FB0">
        <w:rPr>
          <w:i/>
          <w:iCs/>
        </w:rPr>
        <w:t>For smaller scale and more experimental projects, consider an “incubator” approach</w:t>
      </w:r>
      <w:r w:rsidR="00892AF7" w:rsidRPr="00AC41E0">
        <w:rPr>
          <w:i/>
          <w:iCs/>
        </w:rPr>
        <w:t xml:space="preserve"> (</w:t>
      </w:r>
      <w:r w:rsidRPr="00AC41E0">
        <w:rPr>
          <w:i/>
          <w:iCs/>
        </w:rPr>
        <w:t xml:space="preserve">where a </w:t>
      </w:r>
      <w:r w:rsidR="00866994" w:rsidRPr="00AC41E0">
        <w:rPr>
          <w:i/>
          <w:iCs/>
        </w:rPr>
        <w:t>smaller</w:t>
      </w:r>
      <w:r w:rsidRPr="00AC41E0">
        <w:rPr>
          <w:i/>
          <w:iCs/>
        </w:rPr>
        <w:t xml:space="preserve"> group of stakeholders with direct impact and interest are consulted</w:t>
      </w:r>
      <w:r w:rsidR="00892AF7" w:rsidRPr="00AC41E0">
        <w:rPr>
          <w:i/>
          <w:iCs/>
        </w:rPr>
        <w:t>)</w:t>
      </w:r>
      <w:r w:rsidRPr="00AC41E0">
        <w:rPr>
          <w:i/>
          <w:iCs/>
        </w:rPr>
        <w:t xml:space="preserve">, rather than a broad approach like community consultation. An incubator approach can allow for “failing fast”, if necessary, without losing </w:t>
      </w:r>
      <w:r w:rsidR="00560577" w:rsidRPr="00AC41E0">
        <w:rPr>
          <w:i/>
          <w:iCs/>
        </w:rPr>
        <w:t>your</w:t>
      </w:r>
      <w:r w:rsidRPr="00AC41E0">
        <w:rPr>
          <w:i/>
          <w:iCs/>
        </w:rPr>
        <w:t xml:space="preserve"> momentum. Once a bigger scale rollout is deemed as feasible, a broad consultation process can </w:t>
      </w:r>
      <w:r w:rsidR="009A748A" w:rsidRPr="00AC41E0">
        <w:rPr>
          <w:i/>
          <w:iCs/>
        </w:rPr>
        <w:t>proceed</w:t>
      </w:r>
      <w:r w:rsidRPr="00AC41E0">
        <w:rPr>
          <w:i/>
          <w:iCs/>
        </w:rPr>
        <w:t xml:space="preserve">. </w:t>
      </w:r>
    </w:p>
    <w:p w14:paraId="68FF9F71" w14:textId="77777777" w:rsidR="00945510" w:rsidRPr="00AC41E0" w:rsidRDefault="00945510" w:rsidP="00003096">
      <w:pPr>
        <w:pStyle w:val="Heading4"/>
        <w:numPr>
          <w:ilvl w:val="0"/>
          <w:numId w:val="150"/>
        </w:numPr>
        <w:rPr>
          <w:rFonts w:ascii="Arial" w:hAnsi="Arial"/>
        </w:rPr>
      </w:pPr>
      <w:r w:rsidRPr="00AC41E0">
        <w:rPr>
          <w:rFonts w:ascii="Arial" w:hAnsi="Arial"/>
        </w:rPr>
        <w:t>Act on your plan</w:t>
      </w:r>
    </w:p>
    <w:p w14:paraId="3C3666BD" w14:textId="1FBAF103" w:rsidR="007B1A68" w:rsidRPr="00AC41E0" w:rsidRDefault="00945510" w:rsidP="00945510">
      <w:pPr>
        <w:pStyle w:val="DCSbodytext"/>
      </w:pPr>
      <w:r w:rsidRPr="00AC41E0">
        <w:t>Execute your plan. Record each action as you go to keep track of who you have engaged, when you engaged with them (i.e. the date) and under what circumstance (</w:t>
      </w:r>
      <w:r w:rsidR="007B1A68" w:rsidRPr="00AC41E0">
        <w:t>e.g.</w:t>
      </w:r>
      <w:r w:rsidRPr="00AC41E0">
        <w:t xml:space="preserve"> introduction email, workshop, interview).</w:t>
      </w:r>
    </w:p>
    <w:p w14:paraId="31948EF7" w14:textId="2776F01F" w:rsidR="00945510" w:rsidRPr="00AC41E0" w:rsidRDefault="00945510" w:rsidP="00945510">
      <w:pPr>
        <w:pStyle w:val="DCSbodytext"/>
      </w:pPr>
      <w:r w:rsidRPr="00AC41E0">
        <w:t xml:space="preserve">This helps manage the process and is also a useful record that can be reflected on during the evaluation stage or to reassure project sponsors that an effective stakeholder management process was followed. </w:t>
      </w:r>
    </w:p>
    <w:p w14:paraId="2B3D5633" w14:textId="77777777" w:rsidR="00945510" w:rsidRPr="00AC41E0" w:rsidRDefault="00945510" w:rsidP="00003096">
      <w:pPr>
        <w:pStyle w:val="Heading4"/>
        <w:numPr>
          <w:ilvl w:val="0"/>
          <w:numId w:val="150"/>
        </w:numPr>
        <w:rPr>
          <w:rFonts w:ascii="Arial" w:hAnsi="Arial"/>
        </w:rPr>
      </w:pPr>
      <w:r w:rsidRPr="00AC41E0">
        <w:rPr>
          <w:rFonts w:ascii="Arial" w:hAnsi="Arial"/>
        </w:rPr>
        <w:t>Review your progress</w:t>
      </w:r>
    </w:p>
    <w:p w14:paraId="6B20AC68" w14:textId="3669CA07" w:rsidR="00945510" w:rsidRPr="00AC41E0" w:rsidRDefault="007B1A68" w:rsidP="00945510">
      <w:pPr>
        <w:pStyle w:val="DCSbodytext"/>
      </w:pPr>
      <w:r w:rsidRPr="00AC41E0">
        <w:t>S</w:t>
      </w:r>
      <w:r w:rsidR="00945510" w:rsidRPr="00AC41E0">
        <w:t xml:space="preserve">takeholder engagement should be an ongoing process. Stakeholders’ sentiments and levels of engagement will change as your </w:t>
      </w:r>
      <w:r w:rsidR="003D5E9D" w:rsidRPr="00AC41E0">
        <w:t>project</w:t>
      </w:r>
      <w:r w:rsidR="00945510" w:rsidRPr="00AC41E0">
        <w:t xml:space="preserve"> is developed, set up and goes live. </w:t>
      </w:r>
      <w:r w:rsidR="0033562E" w:rsidRPr="00AC41E0">
        <w:t xml:space="preserve">Track these changes and reengage your </w:t>
      </w:r>
      <w:r w:rsidR="00945510" w:rsidRPr="00AC41E0">
        <w:t>stakeholders accordingly.</w:t>
      </w:r>
    </w:p>
    <w:p w14:paraId="6BF87E1D" w14:textId="3622E58A" w:rsidR="00945510" w:rsidRPr="00AC41E0" w:rsidRDefault="005059C3" w:rsidP="00945510">
      <w:pPr>
        <w:pStyle w:val="Heading3"/>
        <w:rPr>
          <w:rFonts w:ascii="Arial" w:hAnsi="Arial"/>
        </w:rPr>
      </w:pPr>
      <w:bookmarkStart w:id="468" w:name="_Toc65760495"/>
      <w:r w:rsidRPr="00AC41E0">
        <w:rPr>
          <w:rFonts w:ascii="Arial" w:hAnsi="Arial"/>
        </w:rPr>
        <w:t>Additional r</w:t>
      </w:r>
      <w:r w:rsidR="00945510" w:rsidRPr="00AC41E0">
        <w:rPr>
          <w:rFonts w:ascii="Arial" w:hAnsi="Arial"/>
        </w:rPr>
        <w:t>esources</w:t>
      </w:r>
      <w:bookmarkEnd w:id="468"/>
    </w:p>
    <w:p w14:paraId="370B21BC" w14:textId="1D549813" w:rsidR="00945510" w:rsidRPr="00AC41E0" w:rsidRDefault="00945510" w:rsidP="00945510">
      <w:pPr>
        <w:pStyle w:val="DCSbodytext"/>
        <w:spacing w:after="120"/>
      </w:pPr>
      <w:r w:rsidRPr="00AC41E0">
        <w:t xml:space="preserve">For further guidance on effective stakeholder engagement, see the below list of resources or </w:t>
      </w:r>
      <w:r w:rsidR="00D932CE" w:rsidRPr="00AC41E0">
        <w:t xml:space="preserve">contact </w:t>
      </w:r>
      <w:r w:rsidRPr="00AC41E0">
        <w:t xml:space="preserve">your </w:t>
      </w:r>
      <w:r w:rsidR="00D932CE" w:rsidRPr="00AC41E0">
        <w:t xml:space="preserve">organisation’s </w:t>
      </w:r>
      <w:r w:rsidRPr="00AC41E0">
        <w:t xml:space="preserve">communications team: </w:t>
      </w:r>
    </w:p>
    <w:p w14:paraId="19716E35" w14:textId="249723EC" w:rsidR="00EB1C82" w:rsidRPr="00E46FB0" w:rsidRDefault="00C93372" w:rsidP="00003096">
      <w:pPr>
        <w:pStyle w:val="DCSbodytext"/>
        <w:numPr>
          <w:ilvl w:val="0"/>
          <w:numId w:val="152"/>
        </w:numPr>
        <w:spacing w:after="120"/>
      </w:pPr>
      <w:r w:rsidRPr="00AC41E0">
        <w:t xml:space="preserve">Information and Privacy Commission NSW – </w:t>
      </w:r>
      <w:hyperlink r:id="rId64" w:history="1">
        <w:r w:rsidRPr="00E46FB0">
          <w:rPr>
            <w:rStyle w:val="Hyperlink"/>
          </w:rPr>
          <w:t>Charter for Public Participation – a guide to assist agencies and promote citizen engagement (2018)</w:t>
        </w:r>
      </w:hyperlink>
    </w:p>
    <w:p w14:paraId="1E47A3C5" w14:textId="6785F769" w:rsidR="00945510" w:rsidRPr="00E46FB0" w:rsidRDefault="00945510" w:rsidP="00003096">
      <w:pPr>
        <w:pStyle w:val="DCSbodytext"/>
        <w:numPr>
          <w:ilvl w:val="0"/>
          <w:numId w:val="152"/>
        </w:numPr>
        <w:spacing w:after="120"/>
      </w:pPr>
      <w:r w:rsidRPr="00E46FB0">
        <w:t xml:space="preserve">NSW Government Department of Premier and Cabinet – </w:t>
      </w:r>
      <w:hyperlink r:id="rId65" w:history="1">
        <w:r w:rsidRPr="00E46FB0">
          <w:rPr>
            <w:rStyle w:val="Hyperlink"/>
          </w:rPr>
          <w:t>Preparing for effective engagement: A guide to developing engagement plans (2012)</w:t>
        </w:r>
      </w:hyperlink>
    </w:p>
    <w:p w14:paraId="3D626F4B" w14:textId="77777777" w:rsidR="00945510" w:rsidRPr="00E46FB0" w:rsidRDefault="00945510" w:rsidP="00003096">
      <w:pPr>
        <w:pStyle w:val="DCSbodytext"/>
        <w:numPr>
          <w:ilvl w:val="0"/>
          <w:numId w:val="152"/>
        </w:numPr>
        <w:spacing w:after="120"/>
      </w:pPr>
      <w:r w:rsidRPr="00E46FB0">
        <w:t xml:space="preserve">NSW Government Better Regulation Division – </w:t>
      </w:r>
      <w:hyperlink r:id="rId66" w:history="1">
        <w:r w:rsidRPr="00E46FB0">
          <w:rPr>
            <w:rStyle w:val="Hyperlink"/>
          </w:rPr>
          <w:t>Stakeholder engagement strategy (2016)</w:t>
        </w:r>
      </w:hyperlink>
    </w:p>
    <w:p w14:paraId="045468F7" w14:textId="77777777" w:rsidR="00945510" w:rsidRPr="00E46FB0" w:rsidRDefault="00945510" w:rsidP="00003096">
      <w:pPr>
        <w:pStyle w:val="DCSbodytext"/>
        <w:numPr>
          <w:ilvl w:val="0"/>
          <w:numId w:val="152"/>
        </w:numPr>
        <w:spacing w:after="120"/>
      </w:pPr>
      <w:r w:rsidRPr="00E46FB0">
        <w:t xml:space="preserve">Australian Government Department of Prime Minister and Cabinet – </w:t>
      </w:r>
      <w:hyperlink r:id="rId67" w:history="1">
        <w:r w:rsidRPr="00E46FB0">
          <w:rPr>
            <w:rStyle w:val="Hyperlink"/>
          </w:rPr>
          <w:t>Cabinet Implementation Unit Toolkit – Engaging stakeholders (2013)</w:t>
        </w:r>
      </w:hyperlink>
    </w:p>
    <w:p w14:paraId="354B819B" w14:textId="279C3A11" w:rsidR="00945510" w:rsidRPr="00E46FB0" w:rsidRDefault="00945510" w:rsidP="00003096">
      <w:pPr>
        <w:pStyle w:val="DCSbodytext"/>
        <w:numPr>
          <w:ilvl w:val="0"/>
          <w:numId w:val="152"/>
        </w:numPr>
        <w:spacing w:after="120"/>
        <w:ind w:left="1151" w:hanging="357"/>
      </w:pPr>
      <w:r w:rsidRPr="00E46FB0">
        <w:t xml:space="preserve">UK Government Department for Business, Innovation and Skills – </w:t>
      </w:r>
      <w:hyperlink r:id="rId68" w:history="1">
        <w:r w:rsidRPr="00E46FB0">
          <w:rPr>
            <w:rStyle w:val="Hyperlink"/>
          </w:rPr>
          <w:t>Ensuring effective stakeholder engagement (2016)</w:t>
        </w:r>
      </w:hyperlink>
    </w:p>
    <w:p w14:paraId="41B06840" w14:textId="2F6C5759" w:rsidR="008A4BBB" w:rsidRPr="00E46FB0" w:rsidRDefault="00084371" w:rsidP="00003096">
      <w:pPr>
        <w:pStyle w:val="DCSbodytext"/>
        <w:numPr>
          <w:ilvl w:val="0"/>
          <w:numId w:val="152"/>
        </w:numPr>
        <w:spacing w:after="120"/>
      </w:pPr>
      <w:hyperlink r:id="rId69" w:history="1">
        <w:r w:rsidR="008A4BBB" w:rsidRPr="00E46FB0">
          <w:rPr>
            <w:rStyle w:val="Hyperlink"/>
          </w:rPr>
          <w:t>International Association for Public Participation</w:t>
        </w:r>
      </w:hyperlink>
      <w:r w:rsidR="008A4BBB" w:rsidRPr="00E46FB0">
        <w:rPr>
          <w:rStyle w:val="Hyperlink"/>
          <w:color w:val="auto"/>
          <w:u w:val="none"/>
        </w:rPr>
        <w:t>.</w:t>
      </w:r>
    </w:p>
    <w:p w14:paraId="34FF8D38" w14:textId="77777777" w:rsidR="000164F4" w:rsidRPr="00AC41E0" w:rsidRDefault="000164F4" w:rsidP="00D4137E">
      <w:pPr>
        <w:pStyle w:val="Heading2"/>
        <w:tabs>
          <w:tab w:val="num" w:pos="868"/>
        </w:tabs>
        <w:rPr>
          <w:rFonts w:ascii="Arial" w:hAnsi="Arial"/>
        </w:rPr>
        <w:sectPr w:rsidR="000164F4" w:rsidRPr="00AC41E0" w:rsidSect="002771AA">
          <w:pgSz w:w="11906" w:h="16838"/>
          <w:pgMar w:top="1418" w:right="1134" w:bottom="1134" w:left="1134" w:header="851" w:footer="425" w:gutter="0"/>
          <w:cols w:space="708"/>
          <w:titlePg/>
          <w:docGrid w:linePitch="360"/>
        </w:sectPr>
      </w:pPr>
    </w:p>
    <w:p w14:paraId="52112686" w14:textId="5EF696AE" w:rsidR="004F1D33" w:rsidRPr="00AC41E0" w:rsidRDefault="004F1D33" w:rsidP="000430E1">
      <w:pPr>
        <w:pStyle w:val="Heading2"/>
        <w:tabs>
          <w:tab w:val="num" w:pos="868"/>
        </w:tabs>
        <w:ind w:left="794"/>
        <w:rPr>
          <w:rFonts w:ascii="Arial" w:hAnsi="Arial"/>
        </w:rPr>
      </w:pPr>
      <w:bookmarkStart w:id="469" w:name="_Data_needs_assessment_1"/>
      <w:bookmarkStart w:id="470" w:name="_Toc65760496"/>
      <w:bookmarkEnd w:id="469"/>
      <w:r w:rsidRPr="00E46FB0">
        <w:rPr>
          <w:rFonts w:ascii="Arial" w:hAnsi="Arial"/>
        </w:rPr>
        <w:lastRenderedPageBreak/>
        <w:t>Data needs assessment</w:t>
      </w:r>
      <w:bookmarkEnd w:id="470"/>
    </w:p>
    <w:p w14:paraId="141411E3" w14:textId="69ED4987" w:rsidR="004F1D33" w:rsidRPr="00AC41E0" w:rsidRDefault="00DD6B78" w:rsidP="009A41BE">
      <w:pPr>
        <w:pStyle w:val="DCSbodytext"/>
      </w:pPr>
      <w:r w:rsidRPr="00AC41E0">
        <w:t xml:space="preserve">You need to undertake a data needs assessment in order to design </w:t>
      </w:r>
      <w:r w:rsidR="00A625AA" w:rsidRPr="00AC41E0">
        <w:t xml:space="preserve">the </w:t>
      </w:r>
      <w:r w:rsidRPr="00AC41E0">
        <w:t>data requirements</w:t>
      </w:r>
      <w:r w:rsidR="00A625AA" w:rsidRPr="00AC41E0">
        <w:t xml:space="preserve"> for your project</w:t>
      </w:r>
      <w:r w:rsidRPr="00AC41E0">
        <w:t xml:space="preserve">. This is a multi-stage process and involves the considerations set out in this chapter. </w:t>
      </w:r>
    </w:p>
    <w:p w14:paraId="40BDE324" w14:textId="07CF9225" w:rsidR="001C7E88" w:rsidRPr="00AC41E0" w:rsidRDefault="001C7E88" w:rsidP="009A41BE">
      <w:pPr>
        <w:pStyle w:val="Heading3"/>
        <w:rPr>
          <w:rFonts w:ascii="Arial" w:hAnsi="Arial"/>
        </w:rPr>
      </w:pPr>
      <w:bookmarkStart w:id="471" w:name="_Toc15312532"/>
      <w:bookmarkStart w:id="472" w:name="_Toc15312708"/>
      <w:bookmarkStart w:id="473" w:name="_Toc15313148"/>
      <w:bookmarkStart w:id="474" w:name="_Toc15313286"/>
      <w:bookmarkStart w:id="475" w:name="_Toc15313751"/>
      <w:bookmarkStart w:id="476" w:name="_Toc15313907"/>
      <w:bookmarkStart w:id="477" w:name="_Toc15314063"/>
      <w:bookmarkStart w:id="478" w:name="_Toc15314217"/>
      <w:bookmarkStart w:id="479" w:name="_Toc15314843"/>
      <w:bookmarkStart w:id="480" w:name="_Toc15312533"/>
      <w:bookmarkStart w:id="481" w:name="_Toc15312709"/>
      <w:bookmarkStart w:id="482" w:name="_Toc15313149"/>
      <w:bookmarkStart w:id="483" w:name="_Toc15313287"/>
      <w:bookmarkStart w:id="484" w:name="_Toc15313752"/>
      <w:bookmarkStart w:id="485" w:name="_Toc15313908"/>
      <w:bookmarkStart w:id="486" w:name="_Toc15314064"/>
      <w:bookmarkStart w:id="487" w:name="_Toc15314218"/>
      <w:bookmarkStart w:id="488" w:name="_Toc15314844"/>
      <w:bookmarkStart w:id="489" w:name="_Understanding_your_desired"/>
      <w:bookmarkStart w:id="490" w:name="_Toc65760497"/>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sidRPr="00AC41E0">
        <w:rPr>
          <w:rFonts w:ascii="Arial" w:hAnsi="Arial"/>
        </w:rPr>
        <w:t>Understand</w:t>
      </w:r>
      <w:r w:rsidR="00E7559F" w:rsidRPr="00AC41E0">
        <w:rPr>
          <w:rFonts w:ascii="Arial" w:hAnsi="Arial"/>
        </w:rPr>
        <w:t>ing</w:t>
      </w:r>
      <w:r w:rsidR="003350E2" w:rsidRPr="00AC41E0">
        <w:rPr>
          <w:rFonts w:ascii="Arial" w:hAnsi="Arial"/>
        </w:rPr>
        <w:t xml:space="preserve"> </w:t>
      </w:r>
      <w:r w:rsidRPr="00AC41E0">
        <w:rPr>
          <w:rFonts w:ascii="Arial" w:hAnsi="Arial"/>
        </w:rPr>
        <w:t>your desired business outcome</w:t>
      </w:r>
      <w:bookmarkEnd w:id="490"/>
    </w:p>
    <w:p w14:paraId="4FBFBA1D" w14:textId="093FF8C4" w:rsidR="001C7E88" w:rsidRPr="00AC41E0" w:rsidRDefault="00C7601D" w:rsidP="0022369F">
      <w:pPr>
        <w:pStyle w:val="DCSbodytext"/>
        <w:rPr>
          <w:shd w:val="clear" w:color="auto" w:fill="FFFFFF"/>
        </w:rPr>
      </w:pPr>
      <w:r w:rsidRPr="00AC41E0">
        <w:t>You need to understand the</w:t>
      </w:r>
      <w:r w:rsidR="001C7E88" w:rsidRPr="00AC41E0">
        <w:t xml:space="preserve"> business outcome </w:t>
      </w:r>
      <w:r w:rsidR="00C82F17" w:rsidRPr="00AC41E0">
        <w:t xml:space="preserve">you want to achieve through your IoT initiative </w:t>
      </w:r>
      <w:r w:rsidRPr="00AC41E0">
        <w:t>so that you can</w:t>
      </w:r>
      <w:r w:rsidR="001C7E88" w:rsidRPr="00AC41E0">
        <w:rPr>
          <w:shd w:val="clear" w:color="auto" w:fill="FFFFFF"/>
        </w:rPr>
        <w:t xml:space="preserve"> design </w:t>
      </w:r>
      <w:r w:rsidR="006E2457" w:rsidRPr="00AC41E0">
        <w:rPr>
          <w:shd w:val="clear" w:color="auto" w:fill="FFFFFF"/>
        </w:rPr>
        <w:t xml:space="preserve">and build </w:t>
      </w:r>
      <w:r w:rsidR="00C82F17" w:rsidRPr="00AC41E0">
        <w:rPr>
          <w:shd w:val="clear" w:color="auto" w:fill="FFFFFF"/>
        </w:rPr>
        <w:t xml:space="preserve">a </w:t>
      </w:r>
      <w:r w:rsidR="001C7E88" w:rsidRPr="00AC41E0">
        <w:rPr>
          <w:shd w:val="clear" w:color="auto" w:fill="FFFFFF"/>
        </w:rPr>
        <w:t xml:space="preserve">data approach that safely and securely meets your business needs. </w:t>
      </w:r>
    </w:p>
    <w:p w14:paraId="0953C2CE" w14:textId="763723A2" w:rsidR="001C7E88" w:rsidRPr="00AC41E0" w:rsidRDefault="001C7E88" w:rsidP="0022369F">
      <w:pPr>
        <w:pStyle w:val="DCSbodytext"/>
        <w:rPr>
          <w:shd w:val="clear" w:color="auto" w:fill="FFFFFF"/>
        </w:rPr>
      </w:pPr>
      <w:r w:rsidRPr="00AC41E0">
        <w:rPr>
          <w:rFonts w:cs="Arial"/>
        </w:rPr>
        <w:t xml:space="preserve">Start by determining what data you need to achieve your business outcome. Do this by defining specific questions you wish to answer then identifying the data needed to answer the questions. </w:t>
      </w:r>
    </w:p>
    <w:p w14:paraId="6D650B43" w14:textId="5D87D589" w:rsidR="001C7E88" w:rsidRPr="00AC41E0" w:rsidRDefault="001C7E88" w:rsidP="0022369F">
      <w:pPr>
        <w:pStyle w:val="DCSbodytext"/>
        <w:rPr>
          <w:rFonts w:cs="Arial"/>
        </w:rPr>
      </w:pPr>
      <w:r w:rsidRPr="00AC41E0">
        <w:rPr>
          <w:rFonts w:cs="Arial"/>
        </w:rPr>
        <w:t>To answer the question, ‘Which fields on a f</w:t>
      </w:r>
      <w:r w:rsidR="0020668F" w:rsidRPr="00AC41E0">
        <w:rPr>
          <w:rFonts w:cs="Arial"/>
        </w:rPr>
        <w:t>arm need irrigating?’, data can</w:t>
      </w:r>
      <w:r w:rsidRPr="00AC41E0">
        <w:rPr>
          <w:rFonts w:cs="Arial"/>
        </w:rPr>
        <w:t xml:space="preserve"> be collected on soil temperature and moisture content from sensors placed in th</w:t>
      </w:r>
      <w:r w:rsidR="004E0CDD" w:rsidRPr="00AC41E0">
        <w:rPr>
          <w:rFonts w:cs="Arial"/>
        </w:rPr>
        <w:t>e fields. Further insights can</w:t>
      </w:r>
      <w:r w:rsidRPr="00AC41E0">
        <w:rPr>
          <w:rFonts w:cs="Arial"/>
        </w:rPr>
        <w:t xml:space="preserve"> be generated by combining the data with meteorological data to avoid irrigating when rain is forecast</w:t>
      </w:r>
      <w:r w:rsidR="00276D5A" w:rsidRPr="00AC41E0">
        <w:rPr>
          <w:rFonts w:cs="Arial"/>
        </w:rPr>
        <w:t>.</w:t>
      </w:r>
      <w:r w:rsidRPr="00AC41E0">
        <w:rPr>
          <w:rFonts w:cs="Arial"/>
        </w:rPr>
        <w:t xml:space="preserve"> More v</w:t>
      </w:r>
      <w:r w:rsidR="00276D5A" w:rsidRPr="00AC41E0">
        <w:rPr>
          <w:rFonts w:cs="Arial"/>
        </w:rPr>
        <w:t>aluable insights can</w:t>
      </w:r>
      <w:r w:rsidRPr="00AC41E0">
        <w:rPr>
          <w:rFonts w:cs="Arial"/>
        </w:rPr>
        <w:t xml:space="preserve"> be generated by analysing the data from the IoT solution with data from other sources, such as data from other farms or on commodity prices. </w:t>
      </w:r>
    </w:p>
    <w:p w14:paraId="277379F5" w14:textId="2CAB04B8" w:rsidR="00EA5AC5" w:rsidRPr="00AC41E0" w:rsidRDefault="001C7E88" w:rsidP="0022369F">
      <w:pPr>
        <w:pStyle w:val="DCSbodytext"/>
        <w:spacing w:after="0" w:line="360" w:lineRule="auto"/>
        <w:ind w:left="868"/>
        <w:jc w:val="center"/>
        <w:rPr>
          <w:rFonts w:cs="Arial"/>
          <w:b/>
        </w:rPr>
      </w:pPr>
      <w:r w:rsidRPr="00AC41E0">
        <w:rPr>
          <w:rFonts w:cs="Arial"/>
          <w:b/>
        </w:rPr>
        <w:t xml:space="preserve">Data </w:t>
      </w:r>
      <w:r w:rsidR="006631FC" w:rsidRPr="00AC41E0">
        <w:rPr>
          <w:rFonts w:cs="Arial"/>
          <w:b/>
        </w:rPr>
        <w:t>applications in a smart farming use case</w:t>
      </w:r>
    </w:p>
    <w:tbl>
      <w:tblPr>
        <w:tblStyle w:val="GridTable4-Accent1"/>
        <w:tblW w:w="8766" w:type="dxa"/>
        <w:tblInd w:w="868" w:type="dxa"/>
        <w:tblCellMar>
          <w:top w:w="28" w:type="dxa"/>
          <w:bottom w:w="57" w:type="dxa"/>
        </w:tblCellMar>
        <w:tblLook w:val="04A0" w:firstRow="1" w:lastRow="0" w:firstColumn="1" w:lastColumn="0" w:noHBand="0" w:noVBand="1"/>
      </w:tblPr>
      <w:tblGrid>
        <w:gridCol w:w="1708"/>
        <w:gridCol w:w="3798"/>
        <w:gridCol w:w="3260"/>
      </w:tblGrid>
      <w:tr w:rsidR="00DA7764" w:rsidRPr="00AC41E0" w14:paraId="72A6A545" w14:textId="77777777" w:rsidTr="00110C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1F497D" w:themeFill="text2"/>
          </w:tcPr>
          <w:p w14:paraId="73B15162" w14:textId="0F9A823F" w:rsidR="000E73A5" w:rsidRPr="00AC41E0" w:rsidRDefault="000E73A5" w:rsidP="000E73A5">
            <w:pPr>
              <w:pStyle w:val="DCSbodytext"/>
              <w:spacing w:after="0"/>
              <w:ind w:left="0"/>
              <w:jc w:val="center"/>
              <w:rPr>
                <w:rFonts w:cs="Arial"/>
                <w:b w:val="0"/>
              </w:rPr>
            </w:pPr>
            <w:r w:rsidRPr="00AC41E0">
              <w:t>IoT data level of sophistication</w:t>
            </w:r>
          </w:p>
        </w:tc>
        <w:tc>
          <w:tcPr>
            <w:tcW w:w="0" w:type="dxa"/>
            <w:tcBorders>
              <w:top w:val="single" w:sz="4" w:space="0" w:color="auto"/>
              <w:left w:val="single" w:sz="4" w:space="0" w:color="auto"/>
              <w:bottom w:val="single" w:sz="4" w:space="0" w:color="auto"/>
              <w:right w:val="single" w:sz="4" w:space="0" w:color="auto"/>
            </w:tcBorders>
            <w:shd w:val="clear" w:color="auto" w:fill="1F497D" w:themeFill="text2"/>
          </w:tcPr>
          <w:p w14:paraId="748C0BDE" w14:textId="1F7DACA6" w:rsidR="000E73A5" w:rsidRPr="00AC41E0" w:rsidRDefault="000E73A5">
            <w:pPr>
              <w:pStyle w:val="DCSbodytext"/>
              <w:spacing w:after="0"/>
              <w:ind w:left="0"/>
              <w:jc w:val="center"/>
              <w:cnfStyle w:val="100000000000" w:firstRow="1" w:lastRow="0" w:firstColumn="0" w:lastColumn="0" w:oddVBand="0" w:evenVBand="0" w:oddHBand="0" w:evenHBand="0" w:firstRowFirstColumn="0" w:firstRowLastColumn="0" w:lastRowFirstColumn="0" w:lastRowLastColumn="0"/>
              <w:rPr>
                <w:rFonts w:cs="Arial"/>
                <w:b w:val="0"/>
              </w:rPr>
            </w:pPr>
            <w:r w:rsidRPr="00AC41E0">
              <w:t>Example</w:t>
            </w:r>
          </w:p>
        </w:tc>
        <w:tc>
          <w:tcPr>
            <w:tcW w:w="0" w:type="dxa"/>
            <w:tcBorders>
              <w:top w:val="single" w:sz="4" w:space="0" w:color="auto"/>
              <w:left w:val="single" w:sz="4" w:space="0" w:color="auto"/>
              <w:bottom w:val="single" w:sz="4" w:space="0" w:color="auto"/>
              <w:right w:val="single" w:sz="4" w:space="0" w:color="auto"/>
            </w:tcBorders>
            <w:shd w:val="clear" w:color="auto" w:fill="1F497D" w:themeFill="text2"/>
          </w:tcPr>
          <w:p w14:paraId="3BB039D0" w14:textId="33553159" w:rsidR="000E73A5" w:rsidRPr="00AC41E0" w:rsidRDefault="000E73A5">
            <w:pPr>
              <w:pStyle w:val="DCSbodytext"/>
              <w:spacing w:after="0"/>
              <w:ind w:left="0"/>
              <w:jc w:val="center"/>
              <w:cnfStyle w:val="100000000000" w:firstRow="1" w:lastRow="0" w:firstColumn="0" w:lastColumn="0" w:oddVBand="0" w:evenVBand="0" w:oddHBand="0" w:evenHBand="0" w:firstRowFirstColumn="0" w:firstRowLastColumn="0" w:lastRowFirstColumn="0" w:lastRowLastColumn="0"/>
              <w:rPr>
                <w:rFonts w:cs="Arial"/>
                <w:b w:val="0"/>
              </w:rPr>
            </w:pPr>
            <w:r w:rsidRPr="00AC41E0">
              <w:t>Benefits</w:t>
            </w:r>
          </w:p>
        </w:tc>
      </w:tr>
      <w:tr w:rsidR="00DA7764" w:rsidRPr="00AC41E0" w14:paraId="2AA78F9A" w14:textId="77777777" w:rsidTr="00652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tcBorders>
              <w:top w:val="single" w:sz="4" w:space="0" w:color="auto"/>
            </w:tcBorders>
          </w:tcPr>
          <w:p w14:paraId="7E1F378E" w14:textId="5241AB76" w:rsidR="0019702B" w:rsidRPr="00AC41E0" w:rsidRDefault="0019702B" w:rsidP="0019702B">
            <w:pPr>
              <w:pStyle w:val="DCSbodytext"/>
              <w:spacing w:after="0"/>
              <w:ind w:left="0"/>
              <w:jc w:val="center"/>
              <w:rPr>
                <w:rFonts w:cs="Arial"/>
              </w:rPr>
            </w:pPr>
            <w:r w:rsidRPr="00AC41E0">
              <w:rPr>
                <w:rFonts w:cs="Arial"/>
              </w:rPr>
              <w:t>Raw data</w:t>
            </w:r>
          </w:p>
        </w:tc>
        <w:tc>
          <w:tcPr>
            <w:tcW w:w="3798" w:type="dxa"/>
            <w:tcBorders>
              <w:top w:val="single" w:sz="4" w:space="0" w:color="auto"/>
            </w:tcBorders>
          </w:tcPr>
          <w:p w14:paraId="0EA34D95" w14:textId="695BF2B2" w:rsidR="0019702B" w:rsidRPr="00AC41E0" w:rsidRDefault="0019702B" w:rsidP="0022369F">
            <w:pPr>
              <w:pStyle w:val="DCSbodytext"/>
              <w:spacing w:after="0"/>
              <w:ind w:left="0"/>
              <w:cnfStyle w:val="000000100000" w:firstRow="0" w:lastRow="0" w:firstColumn="0" w:lastColumn="0" w:oddVBand="0" w:evenVBand="0" w:oddHBand="1" w:evenHBand="0" w:firstRowFirstColumn="0" w:firstRowLastColumn="0" w:lastRowFirstColumn="0" w:lastRowLastColumn="0"/>
              <w:rPr>
                <w:rFonts w:cs="Arial"/>
              </w:rPr>
            </w:pPr>
            <w:r w:rsidRPr="00AC41E0">
              <w:rPr>
                <w:rFonts w:cs="Arial"/>
              </w:rPr>
              <w:t>A farmer p</w:t>
            </w:r>
            <w:r w:rsidR="009D580E" w:rsidRPr="00AC41E0">
              <w:rPr>
                <w:rFonts w:cs="Arial"/>
              </w:rPr>
              <w:t>uts</w:t>
            </w:r>
            <w:r w:rsidRPr="00AC41E0">
              <w:rPr>
                <w:rFonts w:cs="Arial"/>
              </w:rPr>
              <w:t xml:space="preserve"> sensors in fields to understand the temperature and moisture content of the soil.</w:t>
            </w:r>
          </w:p>
        </w:tc>
        <w:tc>
          <w:tcPr>
            <w:tcW w:w="3260" w:type="dxa"/>
            <w:tcBorders>
              <w:top w:val="single" w:sz="4" w:space="0" w:color="auto"/>
            </w:tcBorders>
          </w:tcPr>
          <w:p w14:paraId="3F613BC3" w14:textId="77777777" w:rsidR="0019702B" w:rsidRPr="00AC41E0" w:rsidRDefault="0019702B" w:rsidP="0019702B">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C41E0">
              <w:rPr>
                <w:rFonts w:ascii="Arial" w:hAnsi="Arial" w:cs="Arial"/>
                <w:sz w:val="22"/>
                <w:szCs w:val="22"/>
              </w:rPr>
              <w:t>Accurate real-time answers to:</w:t>
            </w:r>
          </w:p>
          <w:p w14:paraId="07B36948" w14:textId="77777777" w:rsidR="0019702B" w:rsidRPr="00AC41E0" w:rsidRDefault="0019702B" w:rsidP="00003096">
            <w:pPr>
              <w:pStyle w:val="ListParagraph"/>
              <w:numPr>
                <w:ilvl w:val="0"/>
                <w:numId w:val="107"/>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Which fields need irrigating?</w:t>
            </w:r>
          </w:p>
          <w:p w14:paraId="29E3FE82" w14:textId="140B11B8" w:rsidR="0019702B" w:rsidRPr="00AC41E0" w:rsidRDefault="0019702B" w:rsidP="00003096">
            <w:pPr>
              <w:pStyle w:val="ListParagraph"/>
              <w:numPr>
                <w:ilvl w:val="0"/>
                <w:numId w:val="107"/>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Do we need to use fertiliser?</w:t>
            </w:r>
          </w:p>
        </w:tc>
      </w:tr>
      <w:tr w:rsidR="00DA7764" w:rsidRPr="00AC41E0" w14:paraId="6F0D071E" w14:textId="77777777" w:rsidTr="00652D8C">
        <w:tc>
          <w:tcPr>
            <w:cnfStyle w:val="001000000000" w:firstRow="0" w:lastRow="0" w:firstColumn="1" w:lastColumn="0" w:oddVBand="0" w:evenVBand="0" w:oddHBand="0" w:evenHBand="0" w:firstRowFirstColumn="0" w:firstRowLastColumn="0" w:lastRowFirstColumn="0" w:lastRowLastColumn="0"/>
            <w:tcW w:w="1708" w:type="dxa"/>
          </w:tcPr>
          <w:p w14:paraId="793CE0A2" w14:textId="38711FA7" w:rsidR="0019702B" w:rsidRPr="00AC41E0" w:rsidRDefault="0019702B" w:rsidP="0019702B">
            <w:pPr>
              <w:pStyle w:val="DCSbodytext"/>
              <w:spacing w:after="0"/>
              <w:ind w:left="0"/>
              <w:jc w:val="center"/>
              <w:rPr>
                <w:rFonts w:cs="Arial"/>
              </w:rPr>
            </w:pPr>
            <w:r w:rsidRPr="00AC41E0">
              <w:rPr>
                <w:rFonts w:cs="Arial"/>
              </w:rPr>
              <w:t>Combined data</w:t>
            </w:r>
          </w:p>
        </w:tc>
        <w:tc>
          <w:tcPr>
            <w:tcW w:w="3798" w:type="dxa"/>
          </w:tcPr>
          <w:p w14:paraId="2F8290F4" w14:textId="5D6F6773" w:rsidR="0019702B" w:rsidRPr="00AC41E0" w:rsidRDefault="0019702B" w:rsidP="0022369F">
            <w:pPr>
              <w:pStyle w:val="DCSbodytext"/>
              <w:spacing w:after="0"/>
              <w:ind w:left="0"/>
              <w:cnfStyle w:val="000000000000" w:firstRow="0" w:lastRow="0" w:firstColumn="0" w:lastColumn="0" w:oddVBand="0" w:evenVBand="0" w:oddHBand="0" w:evenHBand="0" w:firstRowFirstColumn="0" w:firstRowLastColumn="0" w:lastRowFirstColumn="0" w:lastRowLastColumn="0"/>
              <w:rPr>
                <w:rFonts w:cs="Arial"/>
              </w:rPr>
            </w:pPr>
            <w:r w:rsidRPr="00AC41E0">
              <w:rPr>
                <w:rFonts w:cs="Arial"/>
              </w:rPr>
              <w:t>The farmer combines MetService</w:t>
            </w:r>
            <w:r w:rsidR="004A2B3D" w:rsidRPr="00AC41E0">
              <w:rPr>
                <w:rFonts w:cs="Arial"/>
              </w:rPr>
              <w:t xml:space="preserve"> (NZ)</w:t>
            </w:r>
            <w:r w:rsidRPr="00AC41E0">
              <w:rPr>
                <w:rFonts w:cs="Arial"/>
              </w:rPr>
              <w:t xml:space="preserve"> weather data with soil temperature and moisture readings.</w:t>
            </w:r>
          </w:p>
        </w:tc>
        <w:tc>
          <w:tcPr>
            <w:tcW w:w="3260" w:type="dxa"/>
          </w:tcPr>
          <w:p w14:paraId="3EFF9BE9" w14:textId="30703071" w:rsidR="0019702B" w:rsidRPr="00AC41E0" w:rsidRDefault="0019702B" w:rsidP="0022369F">
            <w:pPr>
              <w:pStyle w:val="DCSbodytext"/>
              <w:spacing w:after="0"/>
              <w:ind w:left="0"/>
              <w:cnfStyle w:val="000000000000" w:firstRow="0" w:lastRow="0" w:firstColumn="0" w:lastColumn="0" w:oddVBand="0" w:evenVBand="0" w:oddHBand="0" w:evenHBand="0" w:firstRowFirstColumn="0" w:firstRowLastColumn="0" w:lastRowFirstColumn="0" w:lastRowLastColumn="0"/>
              <w:rPr>
                <w:rFonts w:cs="Arial"/>
              </w:rPr>
            </w:pPr>
            <w:r w:rsidRPr="00AC41E0">
              <w:rPr>
                <w:rFonts w:cs="Arial"/>
                <w:szCs w:val="22"/>
              </w:rPr>
              <w:t>Ensures the irrigation systems will not waste precious water irrigating crops when rain is forecast.</w:t>
            </w:r>
          </w:p>
        </w:tc>
      </w:tr>
      <w:tr w:rsidR="00DA7764" w:rsidRPr="00AC41E0" w14:paraId="02F3B4F1" w14:textId="77777777" w:rsidTr="00652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tcPr>
          <w:p w14:paraId="61D7030E" w14:textId="5245AB13" w:rsidR="0019702B" w:rsidRPr="00AC41E0" w:rsidRDefault="0019702B" w:rsidP="0019702B">
            <w:pPr>
              <w:pStyle w:val="DCSbodytext"/>
              <w:spacing w:after="0"/>
              <w:ind w:left="0"/>
              <w:jc w:val="center"/>
              <w:rPr>
                <w:rFonts w:cs="Arial"/>
              </w:rPr>
            </w:pPr>
            <w:r w:rsidRPr="00AC41E0">
              <w:rPr>
                <w:rFonts w:cs="Arial"/>
              </w:rPr>
              <w:t>Analytics</w:t>
            </w:r>
          </w:p>
        </w:tc>
        <w:tc>
          <w:tcPr>
            <w:tcW w:w="3798" w:type="dxa"/>
          </w:tcPr>
          <w:p w14:paraId="109D255A" w14:textId="16B6A37A" w:rsidR="0019702B" w:rsidRPr="00AC41E0" w:rsidRDefault="0019702B" w:rsidP="0022369F">
            <w:pPr>
              <w:pStyle w:val="DCSbodytext"/>
              <w:spacing w:after="0"/>
              <w:ind w:left="0"/>
              <w:cnfStyle w:val="000000100000" w:firstRow="0" w:lastRow="0" w:firstColumn="0" w:lastColumn="0" w:oddVBand="0" w:evenVBand="0" w:oddHBand="1" w:evenHBand="0" w:firstRowFirstColumn="0" w:firstRowLastColumn="0" w:lastRowFirstColumn="0" w:lastRowLastColumn="0"/>
              <w:rPr>
                <w:rFonts w:cs="Arial"/>
              </w:rPr>
            </w:pPr>
            <w:r w:rsidRPr="00AC41E0">
              <w:rPr>
                <w:rFonts w:cs="Arial"/>
              </w:rPr>
              <w:t>Sensors continuously monitor soil health and crop levels. New data sources are fed into the mix, such as aggregate data from other farms or commodity prices in the Asia Pacific. Predictive analytics provides insights from all this data using algorithms.</w:t>
            </w:r>
          </w:p>
        </w:tc>
        <w:tc>
          <w:tcPr>
            <w:tcW w:w="3260" w:type="dxa"/>
          </w:tcPr>
          <w:p w14:paraId="5AFF318C" w14:textId="77777777" w:rsidR="0019702B" w:rsidRPr="00AC41E0" w:rsidRDefault="0019702B" w:rsidP="0019702B">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C41E0">
              <w:rPr>
                <w:rFonts w:ascii="Arial" w:hAnsi="Arial" w:cs="Arial"/>
                <w:sz w:val="22"/>
                <w:szCs w:val="22"/>
              </w:rPr>
              <w:t>Accurate, real-time answers to:</w:t>
            </w:r>
          </w:p>
          <w:p w14:paraId="0B1CA12D" w14:textId="77777777" w:rsidR="0019702B" w:rsidRPr="00AC41E0" w:rsidRDefault="0019702B" w:rsidP="00003096">
            <w:pPr>
              <w:pStyle w:val="ListParagraph"/>
              <w:numPr>
                <w:ilvl w:val="0"/>
                <w:numId w:val="10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When should we sow seeds to get the greatest yield?</w:t>
            </w:r>
          </w:p>
          <w:p w14:paraId="6D83D6A5" w14:textId="77777777" w:rsidR="0019702B" w:rsidRPr="00AC41E0" w:rsidRDefault="0019702B" w:rsidP="00003096">
            <w:pPr>
              <w:pStyle w:val="ListParagraph"/>
              <w:numPr>
                <w:ilvl w:val="0"/>
                <w:numId w:val="10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What fertiliser should we use?</w:t>
            </w:r>
          </w:p>
          <w:p w14:paraId="77AEAB6F" w14:textId="6C2F4C02" w:rsidR="0019702B" w:rsidRPr="00AC41E0" w:rsidRDefault="0019702B" w:rsidP="00003096">
            <w:pPr>
              <w:pStyle w:val="ListParagraph"/>
              <w:numPr>
                <w:ilvl w:val="0"/>
                <w:numId w:val="10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When and what crops should we plant to get the biggest profit?</w:t>
            </w:r>
          </w:p>
        </w:tc>
      </w:tr>
    </w:tbl>
    <w:p w14:paraId="0C187D38" w14:textId="6347FEC5" w:rsidR="001C7E88" w:rsidRPr="00E46FB0" w:rsidRDefault="001C7E88" w:rsidP="0022369F">
      <w:pPr>
        <w:pStyle w:val="DCSbodytext"/>
        <w:spacing w:before="120"/>
        <w:ind w:left="868"/>
        <w:rPr>
          <w:rStyle w:val="Hyperlink"/>
          <w:sz w:val="20"/>
          <w:szCs w:val="20"/>
        </w:rPr>
      </w:pPr>
      <w:r w:rsidRPr="00AC41E0">
        <w:rPr>
          <w:i/>
          <w:sz w:val="20"/>
          <w:szCs w:val="20"/>
        </w:rPr>
        <w:t>Source</w:t>
      </w:r>
      <w:r w:rsidRPr="00AC41E0">
        <w:rPr>
          <w:sz w:val="20"/>
          <w:szCs w:val="20"/>
        </w:rPr>
        <w:t>:</w:t>
      </w:r>
      <w:r w:rsidR="00762B67" w:rsidRPr="00AC41E0">
        <w:rPr>
          <w:sz w:val="20"/>
          <w:szCs w:val="20"/>
        </w:rPr>
        <w:t xml:space="preserve"> Adapted from</w:t>
      </w:r>
      <w:r w:rsidRPr="00AC41E0">
        <w:rPr>
          <w:sz w:val="20"/>
          <w:szCs w:val="20"/>
        </w:rPr>
        <w:t xml:space="preserve"> </w:t>
      </w:r>
      <w:hyperlink r:id="rId70" w:history="1">
        <w:r w:rsidRPr="00AC41E0">
          <w:rPr>
            <w:rStyle w:val="Hyperlink"/>
            <w:sz w:val="20"/>
            <w:szCs w:val="20"/>
          </w:rPr>
          <w:t>Beca (2018)</w:t>
        </w:r>
      </w:hyperlink>
    </w:p>
    <w:p w14:paraId="5C05BE48" w14:textId="40147F1C" w:rsidR="00FA0EFA" w:rsidRPr="00AC41E0" w:rsidRDefault="00FA0EFA" w:rsidP="0022369F">
      <w:pPr>
        <w:pStyle w:val="DCSbodytext"/>
        <w:spacing w:before="120"/>
        <w:ind w:left="868"/>
        <w:rPr>
          <w:rStyle w:val="Hyperlink"/>
          <w:rFonts w:cs="Arial"/>
          <w:sz w:val="20"/>
          <w:szCs w:val="20"/>
          <w:lang w:eastAsia="en-AU"/>
        </w:rPr>
      </w:pPr>
    </w:p>
    <w:p w14:paraId="22889653" w14:textId="0256A71F" w:rsidR="001C7E88" w:rsidRPr="00AC41E0" w:rsidRDefault="00DA376E" w:rsidP="00FA0EFA">
      <w:pPr>
        <w:pStyle w:val="DCSbodytext"/>
        <w:ind w:left="1560"/>
        <w:rPr>
          <w:rFonts w:cs="Arial"/>
        </w:rPr>
      </w:pPr>
      <w:r w:rsidRPr="00E46FB0">
        <w:rPr>
          <w:noProof/>
        </w:rPr>
        <w:lastRenderedPageBreak/>
        <w:drawing>
          <wp:anchor distT="0" distB="0" distL="114300" distR="114300" simplePos="0" relativeHeight="251658262" behindDoc="1" locked="0" layoutInCell="1" allowOverlap="1" wp14:anchorId="5155B77F" wp14:editId="759DACCE">
            <wp:simplePos x="0" y="0"/>
            <wp:positionH relativeFrom="margin">
              <wp:posOffset>457708</wp:posOffset>
            </wp:positionH>
            <wp:positionV relativeFrom="paragraph">
              <wp:posOffset>7620</wp:posOffset>
            </wp:positionV>
            <wp:extent cx="450850" cy="450850"/>
            <wp:effectExtent l="0" t="0" r="0" b="6350"/>
            <wp:wrapTight wrapText="bothSides">
              <wp:wrapPolygon edited="0">
                <wp:start x="8214" y="0"/>
                <wp:lineTo x="1825" y="3651"/>
                <wp:lineTo x="0" y="9127"/>
                <wp:lineTo x="1825" y="15515"/>
                <wp:lineTo x="7301" y="20992"/>
                <wp:lineTo x="12777" y="20992"/>
                <wp:lineTo x="19166" y="15515"/>
                <wp:lineTo x="20079" y="10039"/>
                <wp:lineTo x="17341" y="3651"/>
                <wp:lineTo x="12777" y="0"/>
                <wp:lineTo x="8214" y="0"/>
              </wp:wrapPolygon>
            </wp:wrapTight>
            <wp:docPr id="18" name="Graphic 18"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r w:rsidRPr="00E46FB0">
        <w:rPr>
          <w:rFonts w:cs="Arial"/>
          <w:i/>
          <w:iCs/>
        </w:rPr>
        <w:t xml:space="preserve">Tip: </w:t>
      </w:r>
      <w:r w:rsidR="00CF4C70" w:rsidRPr="00E46FB0">
        <w:rPr>
          <w:rFonts w:cs="Arial"/>
          <w:i/>
          <w:iCs/>
        </w:rPr>
        <w:t>C</w:t>
      </w:r>
      <w:r w:rsidR="001C7E88" w:rsidRPr="00AC41E0">
        <w:rPr>
          <w:rFonts w:cs="Arial"/>
          <w:i/>
          <w:iCs/>
        </w:rPr>
        <w:t xml:space="preserve">onsider the frequency of the data, including whether ‘real-time’ data is required. Collecting more data or more frequent data than is needed to achieve your business outcome can </w:t>
      </w:r>
      <w:r w:rsidR="00652D8C" w:rsidRPr="00AC41E0">
        <w:rPr>
          <w:rFonts w:cs="Arial"/>
          <w:i/>
          <w:iCs/>
        </w:rPr>
        <w:t>create</w:t>
      </w:r>
      <w:r w:rsidR="001C7E88" w:rsidRPr="00AC41E0">
        <w:rPr>
          <w:rFonts w:cs="Arial"/>
          <w:i/>
          <w:iCs/>
        </w:rPr>
        <w:t xml:space="preserve"> a data processing and storage burden, </w:t>
      </w:r>
      <w:r w:rsidR="00CF4C70" w:rsidRPr="00AC41E0">
        <w:rPr>
          <w:rFonts w:cs="Arial"/>
          <w:i/>
          <w:iCs/>
        </w:rPr>
        <w:t>and</w:t>
      </w:r>
      <w:r w:rsidR="001C7E88" w:rsidRPr="00AC41E0">
        <w:rPr>
          <w:rFonts w:cs="Arial"/>
          <w:i/>
          <w:iCs/>
        </w:rPr>
        <w:t xml:space="preserve"> increased privacy and security risks.</w:t>
      </w:r>
      <w:r w:rsidR="001C7E88" w:rsidRPr="00AC41E0">
        <w:rPr>
          <w:rFonts w:cs="Arial"/>
        </w:rPr>
        <w:t xml:space="preserve">  </w:t>
      </w:r>
    </w:p>
    <w:p w14:paraId="6CFBC4D8" w14:textId="77777777" w:rsidR="001C7E88" w:rsidRPr="00E46FB0" w:rsidRDefault="001C7E88" w:rsidP="00110CB8">
      <w:pPr>
        <w:spacing w:line="256" w:lineRule="auto"/>
        <w:ind w:left="74" w:firstLine="646"/>
        <w:rPr>
          <w:rFonts w:ascii="Arial" w:hAnsi="Arial" w:cs="Arial"/>
          <w:color w:val="222222"/>
        </w:rPr>
      </w:pPr>
      <w:r w:rsidRPr="00E46FB0">
        <w:rPr>
          <w:rFonts w:ascii="Arial" w:hAnsi="Arial" w:cs="Arial"/>
          <w:noProof/>
        </w:rPr>
        <mc:AlternateContent>
          <mc:Choice Requires="wps">
            <w:drawing>
              <wp:inline distT="0" distB="0" distL="0" distR="0" wp14:anchorId="647941BB" wp14:editId="0D18F384">
                <wp:extent cx="5575300" cy="3870960"/>
                <wp:effectExtent l="0" t="0" r="25400" b="1524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3871356"/>
                        </a:xfrm>
                        <a:prstGeom prst="rect">
                          <a:avLst/>
                        </a:prstGeom>
                        <a:solidFill>
                          <a:schemeClr val="accent1">
                            <a:lumMod val="20000"/>
                            <a:lumOff val="80000"/>
                          </a:schemeClr>
                        </a:solidFill>
                        <a:ln w="9525">
                          <a:solidFill>
                            <a:srgbClr val="000000"/>
                          </a:solidFill>
                          <a:miter lim="800000"/>
                          <a:headEnd/>
                          <a:tailEnd/>
                        </a:ln>
                      </wps:spPr>
                      <wps:txbx>
                        <w:txbxContent>
                          <w:p w14:paraId="51A5D118" w14:textId="57E28365" w:rsidR="004A5EF4" w:rsidRPr="002C7FAA" w:rsidRDefault="004A5EF4" w:rsidP="00A34BCA">
                            <w:pPr>
                              <w:pStyle w:val="DCSbodytext"/>
                              <w:ind w:left="0"/>
                              <w:jc w:val="center"/>
                              <w:rPr>
                                <w:b/>
                              </w:rPr>
                            </w:pPr>
                            <w:r>
                              <w:rPr>
                                <w:b/>
                              </w:rPr>
                              <w:t xml:space="preserve">Case Study </w:t>
                            </w:r>
                            <w:r w:rsidRPr="00A241DB">
                              <w:rPr>
                                <w:b/>
                              </w:rPr>
                              <w:t>–</w:t>
                            </w:r>
                            <w:r>
                              <w:rPr>
                                <w:b/>
                              </w:rPr>
                              <w:t xml:space="preserve"> </w:t>
                            </w:r>
                            <w:r w:rsidRPr="002C7FAA">
                              <w:rPr>
                                <w:b/>
                              </w:rPr>
                              <w:t>SA Water sensor</w:t>
                            </w:r>
                            <w:r>
                              <w:rPr>
                                <w:b/>
                              </w:rPr>
                              <w:t xml:space="preserve"> deployment</w:t>
                            </w:r>
                            <w:r w:rsidRPr="002C7FAA">
                              <w:rPr>
                                <w:b/>
                              </w:rPr>
                              <w:t xml:space="preserve"> to improve services</w:t>
                            </w:r>
                          </w:p>
                          <w:p w14:paraId="61535418" w14:textId="4AFC10A2" w:rsidR="004A5EF4" w:rsidRPr="00432EB5" w:rsidRDefault="004A5EF4" w:rsidP="008042F5">
                            <w:pPr>
                              <w:pStyle w:val="DCSbodytext"/>
                              <w:ind w:left="0"/>
                            </w:pPr>
                            <w:r w:rsidRPr="009B224A">
                              <w:t>SA Water</w:t>
                            </w:r>
                            <w:r>
                              <w:t>, a water utility in South Australia,</w:t>
                            </w:r>
                            <w:r w:rsidRPr="009B224A">
                              <w:t xml:space="preserve"> i</w:t>
                            </w:r>
                            <w:r>
                              <w:t>nstalled</w:t>
                            </w:r>
                            <w:r w:rsidRPr="009B224A">
                              <w:t xml:space="preserve"> IoT sensors </w:t>
                            </w:r>
                            <w:r>
                              <w:t>into its pipes</w:t>
                            </w:r>
                            <w:r w:rsidRPr="009B224A">
                              <w:t xml:space="preserve"> as part of a </w:t>
                            </w:r>
                            <w:hyperlink r:id="rId71" w:history="1">
                              <w:r w:rsidRPr="00EE5087">
                                <w:rPr>
                                  <w:rStyle w:val="Hyperlink"/>
                                </w:rPr>
                                <w:t>pilot program</w:t>
                              </w:r>
                            </w:hyperlink>
                            <w:r w:rsidRPr="009B224A">
                              <w:t xml:space="preserve"> to create a smart water network</w:t>
                            </w:r>
                            <w:r>
                              <w:t xml:space="preserve"> to monitor water flow and pressure and provide smart meters to customers. SA Water wanted to utilise the data collected from the IoT sensors to predict potential failures in its system and identify and address issues faster. It was the first water utility in the world to implement an IoT solution.</w:t>
                            </w:r>
                          </w:p>
                          <w:p w14:paraId="54CDF668" w14:textId="274382DB" w:rsidR="004A5EF4" w:rsidRPr="0031289A" w:rsidRDefault="004A5EF4" w:rsidP="008042F5">
                            <w:pPr>
                              <w:pStyle w:val="DCSbodytext"/>
                              <w:ind w:left="0"/>
                            </w:pPr>
                            <w:r>
                              <w:t xml:space="preserve">SA Water identified that these business outcomes required real-time data monitoring and analytics. Understanding their business needs led SA Water to develop </w:t>
                            </w:r>
                            <w:r w:rsidRPr="009B224A">
                              <w:t>a cloud-based data collection solution and a data analytics platform for notifications and visualisations. This enable</w:t>
                            </w:r>
                            <w:r>
                              <w:t>s</w:t>
                            </w:r>
                            <w:r w:rsidRPr="009B224A">
                              <w:t xml:space="preserve"> the regulator to access real-time information about its systems drawn from the sensor-outfitted pressure sensors, water quality platforms and flowmeters.</w:t>
                            </w:r>
                          </w:p>
                          <w:p w14:paraId="7C72DDE0" w14:textId="2DD36677" w:rsidR="004A5EF4" w:rsidRPr="005071F5" w:rsidRDefault="004A5EF4" w:rsidP="008042F5">
                            <w:pPr>
                              <w:pStyle w:val="DCSbodytext"/>
                              <w:ind w:left="0"/>
                            </w:pPr>
                            <w:r>
                              <w:t xml:space="preserve">Since installing IoT sensors in its pipe network, </w:t>
                            </w:r>
                            <w:r w:rsidRPr="009B224A">
                              <w:t xml:space="preserve">SA Water </w:t>
                            </w:r>
                            <w:r>
                              <w:t>has used</w:t>
                            </w:r>
                            <w:r w:rsidRPr="009B224A">
                              <w:t xml:space="preserve"> the data </w:t>
                            </w:r>
                            <w:r>
                              <w:t xml:space="preserve">collected </w:t>
                            </w:r>
                            <w:r w:rsidRPr="009B224A">
                              <w:t xml:space="preserve">to prevent </w:t>
                            </w:r>
                            <w:r>
                              <w:t>ten</w:t>
                            </w:r>
                            <w:r w:rsidRPr="009B224A">
                              <w:t xml:space="preserve"> major water main failures, detect a 100 litre per minute leak and save one customer $15,000 per month.</w:t>
                            </w:r>
                            <w:r>
                              <w:t xml:space="preserve"> The predictive maintenance and remote monitoring enabled by the project has allowed SA Water to make better data-driven decisions and created opportunities for cost-savings and future-proofing the network. </w:t>
                            </w:r>
                          </w:p>
                        </w:txbxContent>
                      </wps:txbx>
                      <wps:bodyPr rot="0" vert="horz" wrap="square" lIns="91440" tIns="45720" rIns="91440" bIns="45720" anchor="t" anchorCtr="0">
                        <a:noAutofit/>
                      </wps:bodyPr>
                    </wps:wsp>
                  </a:graphicData>
                </a:graphic>
              </wp:inline>
            </w:drawing>
          </mc:Choice>
          <mc:Fallback>
            <w:pict>
              <v:shape w14:anchorId="647941BB" id="Text Box 3" o:spid="_x0000_s1032" type="#_x0000_t202" style="width:439pt;height:30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" fillcolor="#dbe5f1 [660]">
                <v:textbox>
                  <w:txbxContent>
                    <w:p w14:paraId="51A5D118" w14:textId="57E28365" w:rsidR="004A5EF4" w:rsidRPr="002C7FAA" w:rsidRDefault="004A5EF4" w:rsidP="00A34BCA">
                      <w:pPr>
                        <w:pStyle w:val="DCSbodytext"/>
                        <w:ind w:left="0"/>
                        <w:jc w:val="center"/>
                        <w:rPr>
                          <w:b/>
                        </w:rPr>
                      </w:pPr>
                      <w:r>
                        <w:rPr>
                          <w:b/>
                        </w:rPr>
                        <w:t xml:space="preserve">Case Study </w:t>
                      </w:r>
                      <w:r w:rsidRPr="00A241DB">
                        <w:rPr>
                          <w:b/>
                        </w:rPr>
                        <w:t>–</w:t>
                      </w:r>
                      <w:r>
                        <w:rPr>
                          <w:b/>
                        </w:rPr>
                        <w:t xml:space="preserve"> </w:t>
                      </w:r>
                      <w:r w:rsidRPr="002C7FAA">
                        <w:rPr>
                          <w:b/>
                        </w:rPr>
                        <w:t>SA Water sensor</w:t>
                      </w:r>
                      <w:r>
                        <w:rPr>
                          <w:b/>
                        </w:rPr>
                        <w:t xml:space="preserve"> deployment</w:t>
                      </w:r>
                      <w:r w:rsidRPr="002C7FAA">
                        <w:rPr>
                          <w:b/>
                        </w:rPr>
                        <w:t xml:space="preserve"> to improve services</w:t>
                      </w:r>
                    </w:p>
                    <w:p w14:paraId="61535418" w14:textId="4AFC10A2" w:rsidR="004A5EF4" w:rsidRPr="00432EB5" w:rsidRDefault="004A5EF4" w:rsidP="008042F5">
                      <w:pPr>
                        <w:pStyle w:val="DCSbodytext"/>
                        <w:ind w:left="0"/>
                      </w:pPr>
                      <w:r w:rsidRPr="009B224A">
                        <w:t>SA Water</w:t>
                      </w:r>
                      <w:r>
                        <w:t>, a water utility in South Australia,</w:t>
                      </w:r>
                      <w:r w:rsidRPr="009B224A">
                        <w:t xml:space="preserve"> i</w:t>
                      </w:r>
                      <w:r>
                        <w:t>nstalled</w:t>
                      </w:r>
                      <w:r w:rsidRPr="009B224A">
                        <w:t xml:space="preserve"> IoT sensors </w:t>
                      </w:r>
                      <w:r>
                        <w:t>into its pipes</w:t>
                      </w:r>
                      <w:r w:rsidRPr="009B224A">
                        <w:t xml:space="preserve"> as part of a </w:t>
                      </w:r>
                      <w:hyperlink r:id="rId72" w:history="1">
                        <w:r w:rsidRPr="00EE5087">
                          <w:rPr>
                            <w:rStyle w:val="Hyperlink"/>
                          </w:rPr>
                          <w:t>pilot program</w:t>
                        </w:r>
                      </w:hyperlink>
                      <w:r w:rsidRPr="009B224A">
                        <w:t xml:space="preserve"> to create a smart water network</w:t>
                      </w:r>
                      <w:r>
                        <w:t xml:space="preserve"> to monitor water flow and pressure and provide smart meters to customers. SA Water wanted to utilise the data collected from the IoT sensors to predict potential failures in its system and identify and address issues faster. It was the first water utility in the world to implement an IoT solution.</w:t>
                      </w:r>
                    </w:p>
                    <w:p w14:paraId="54CDF668" w14:textId="274382DB" w:rsidR="004A5EF4" w:rsidRPr="0031289A" w:rsidRDefault="004A5EF4" w:rsidP="008042F5">
                      <w:pPr>
                        <w:pStyle w:val="DCSbodytext"/>
                        <w:ind w:left="0"/>
                      </w:pPr>
                      <w:r>
                        <w:t xml:space="preserve">SA Water identified that these business outcomes required real-time data monitoring and analytics. Understanding their business needs led SA Water to develop </w:t>
                      </w:r>
                      <w:r w:rsidRPr="009B224A">
                        <w:t>a cloud-based data collection solution and a data analytics platform for notifications and visualisations. This enable</w:t>
                      </w:r>
                      <w:r>
                        <w:t>s</w:t>
                      </w:r>
                      <w:r w:rsidRPr="009B224A">
                        <w:t xml:space="preserve"> the regulator to access real-time information about its systems drawn from the sensor-outfitted pressure sensors, water quality platforms and flowmeters.</w:t>
                      </w:r>
                    </w:p>
                    <w:p w14:paraId="7C72DDE0" w14:textId="2DD36677" w:rsidR="004A5EF4" w:rsidRPr="005071F5" w:rsidRDefault="004A5EF4" w:rsidP="008042F5">
                      <w:pPr>
                        <w:pStyle w:val="DCSbodytext"/>
                        <w:ind w:left="0"/>
                      </w:pPr>
                      <w:r>
                        <w:t xml:space="preserve">Since installing IoT sensors in its pipe network, </w:t>
                      </w:r>
                      <w:r w:rsidRPr="009B224A">
                        <w:t xml:space="preserve">SA Water </w:t>
                      </w:r>
                      <w:r>
                        <w:t>has used</w:t>
                      </w:r>
                      <w:r w:rsidRPr="009B224A">
                        <w:t xml:space="preserve"> the data </w:t>
                      </w:r>
                      <w:r>
                        <w:t xml:space="preserve">collected </w:t>
                      </w:r>
                      <w:r w:rsidRPr="009B224A">
                        <w:t xml:space="preserve">to prevent </w:t>
                      </w:r>
                      <w:r>
                        <w:t>ten</w:t>
                      </w:r>
                      <w:r w:rsidRPr="009B224A">
                        <w:t xml:space="preserve"> major water main failures, detect a 100 litre per minute leak and save one customer $15,000 per month.</w:t>
                      </w:r>
                      <w:r>
                        <w:t xml:space="preserve"> The predictive maintenance and remote monitoring enabled by the project has allowed SA Water to make better data-driven decisions and created opportunities for cost-savings and future-proofing the network. </w:t>
                      </w:r>
                    </w:p>
                  </w:txbxContent>
                </v:textbox>
                <w10:anchorlock/>
              </v:shape>
            </w:pict>
          </mc:Fallback>
        </mc:AlternateContent>
      </w:r>
    </w:p>
    <w:p w14:paraId="0C35EE63" w14:textId="2935840D" w:rsidR="00505201" w:rsidRPr="00AC41E0" w:rsidRDefault="00505201" w:rsidP="00EE1C88">
      <w:pPr>
        <w:pStyle w:val="Heading3"/>
        <w:rPr>
          <w:rFonts w:ascii="Arial" w:hAnsi="Arial"/>
        </w:rPr>
      </w:pPr>
      <w:bookmarkStart w:id="491" w:name="_Toc65760498"/>
      <w:r w:rsidRPr="00AC41E0">
        <w:rPr>
          <w:rFonts w:ascii="Arial" w:hAnsi="Arial"/>
        </w:rPr>
        <w:t>Engag</w:t>
      </w:r>
      <w:r w:rsidR="00E7559F" w:rsidRPr="00AC41E0">
        <w:rPr>
          <w:rFonts w:ascii="Arial" w:hAnsi="Arial"/>
        </w:rPr>
        <w:t>ing</w:t>
      </w:r>
      <w:r w:rsidR="005A0B14" w:rsidRPr="00AC41E0">
        <w:rPr>
          <w:rFonts w:ascii="Arial" w:hAnsi="Arial"/>
        </w:rPr>
        <w:t xml:space="preserve"> with</w:t>
      </w:r>
      <w:r w:rsidR="001373B4" w:rsidRPr="00AC41E0">
        <w:rPr>
          <w:rFonts w:ascii="Arial" w:hAnsi="Arial"/>
        </w:rPr>
        <w:t xml:space="preserve"> </w:t>
      </w:r>
      <w:r w:rsidRPr="00AC41E0">
        <w:rPr>
          <w:rFonts w:ascii="Arial" w:hAnsi="Arial"/>
        </w:rPr>
        <w:t>stakeholders</w:t>
      </w:r>
      <w:r w:rsidR="005A0B14" w:rsidRPr="00AC41E0">
        <w:rPr>
          <w:rFonts w:ascii="Arial" w:hAnsi="Arial"/>
        </w:rPr>
        <w:t xml:space="preserve"> about data</w:t>
      </w:r>
      <w:bookmarkEnd w:id="491"/>
    </w:p>
    <w:p w14:paraId="011476C9" w14:textId="4F2ABAED" w:rsidR="00A02D37" w:rsidRPr="00AC41E0" w:rsidRDefault="00336ED7" w:rsidP="0022369F">
      <w:pPr>
        <w:pStyle w:val="DCSbodytext"/>
        <w:spacing w:after="120"/>
        <w:rPr>
          <w:rFonts w:cs="Arial"/>
        </w:rPr>
      </w:pPr>
      <w:r w:rsidRPr="00AC41E0">
        <w:rPr>
          <w:rFonts w:cs="Arial"/>
        </w:rPr>
        <w:t xml:space="preserve">Talking </w:t>
      </w:r>
      <w:r w:rsidR="00505201" w:rsidRPr="00AC41E0">
        <w:rPr>
          <w:rFonts w:cs="Arial"/>
        </w:rPr>
        <w:t>to business and community stakeholders</w:t>
      </w:r>
      <w:r w:rsidRPr="00AC41E0">
        <w:rPr>
          <w:rFonts w:cs="Arial"/>
        </w:rPr>
        <w:t xml:space="preserve"> </w:t>
      </w:r>
      <w:r w:rsidR="00BC5E63" w:rsidRPr="00AC41E0">
        <w:rPr>
          <w:rFonts w:cs="Arial"/>
        </w:rPr>
        <w:t xml:space="preserve">will help </w:t>
      </w:r>
      <w:r w:rsidR="003A2629" w:rsidRPr="00AC41E0">
        <w:rPr>
          <w:rFonts w:cs="Arial"/>
        </w:rPr>
        <w:t>ensure the IoT approach you design</w:t>
      </w:r>
      <w:r w:rsidR="00505201" w:rsidRPr="00AC41E0">
        <w:rPr>
          <w:rFonts w:cs="Arial"/>
        </w:rPr>
        <w:t xml:space="preserve"> genuinely meet</w:t>
      </w:r>
      <w:r w:rsidR="003A2629" w:rsidRPr="00AC41E0">
        <w:rPr>
          <w:rFonts w:cs="Arial"/>
        </w:rPr>
        <w:t>s</w:t>
      </w:r>
      <w:r w:rsidR="00505201" w:rsidRPr="00AC41E0">
        <w:rPr>
          <w:rFonts w:cs="Arial"/>
        </w:rPr>
        <w:t xml:space="preserve"> business needs.</w:t>
      </w:r>
      <w:r w:rsidR="00A02D37" w:rsidRPr="00AC41E0">
        <w:rPr>
          <w:rFonts w:cs="Arial"/>
        </w:rPr>
        <w:t xml:space="preserve"> </w:t>
      </w:r>
      <w:r w:rsidR="00BC5E63" w:rsidRPr="00AC41E0">
        <w:rPr>
          <w:rFonts w:cs="Arial"/>
        </w:rPr>
        <w:t xml:space="preserve">It can also assist with </w:t>
      </w:r>
      <w:r w:rsidR="00B34A57" w:rsidRPr="00AC41E0">
        <w:rPr>
          <w:rFonts w:cs="Arial"/>
        </w:rPr>
        <w:t xml:space="preserve">getting </w:t>
      </w:r>
      <w:r w:rsidR="00966D93" w:rsidRPr="00AC41E0">
        <w:rPr>
          <w:rFonts w:cs="Arial"/>
        </w:rPr>
        <w:t>buy-</w:t>
      </w:r>
      <w:r w:rsidR="00BC5E63" w:rsidRPr="00AC41E0">
        <w:rPr>
          <w:rFonts w:cs="Arial"/>
        </w:rPr>
        <w:t>in and</w:t>
      </w:r>
      <w:r w:rsidR="006C2341" w:rsidRPr="00AC41E0">
        <w:rPr>
          <w:rFonts w:cs="Arial"/>
        </w:rPr>
        <w:t xml:space="preserve"> fulfilling stakeholder needs:</w:t>
      </w:r>
    </w:p>
    <w:p w14:paraId="77F28FA5" w14:textId="355202BF" w:rsidR="00505201" w:rsidRPr="00AC41E0" w:rsidRDefault="00EF38B0" w:rsidP="00003096">
      <w:pPr>
        <w:pStyle w:val="DCSbodytext"/>
        <w:numPr>
          <w:ilvl w:val="0"/>
          <w:numId w:val="113"/>
        </w:numPr>
        <w:spacing w:after="120"/>
        <w:rPr>
          <w:rFonts w:cs="Arial"/>
        </w:rPr>
      </w:pPr>
      <w:r w:rsidRPr="00AC41E0">
        <w:rPr>
          <w:rFonts w:cs="Arial"/>
        </w:rPr>
        <w:t>As you design you</w:t>
      </w:r>
      <w:r w:rsidR="0084165B" w:rsidRPr="00AC41E0">
        <w:rPr>
          <w:rFonts w:cs="Arial"/>
        </w:rPr>
        <w:t>r</w:t>
      </w:r>
      <w:r w:rsidRPr="00AC41E0">
        <w:rPr>
          <w:rFonts w:cs="Arial"/>
        </w:rPr>
        <w:t xml:space="preserve"> data requirements, consult with stakeholder</w:t>
      </w:r>
      <w:r w:rsidR="0084165B" w:rsidRPr="00AC41E0">
        <w:rPr>
          <w:rFonts w:cs="Arial"/>
        </w:rPr>
        <w:t xml:space="preserve">s including those who will use the insights generated from your IoT solution. This will help you </w:t>
      </w:r>
      <w:r w:rsidR="00505201" w:rsidRPr="00AC41E0">
        <w:rPr>
          <w:rFonts w:cs="Arial"/>
        </w:rPr>
        <w:t>understand the purpose and benefit of your IoT data collection and use</w:t>
      </w:r>
      <w:r w:rsidR="0084165B" w:rsidRPr="00AC41E0">
        <w:rPr>
          <w:rFonts w:cs="Arial"/>
        </w:rPr>
        <w:t xml:space="preserve">, </w:t>
      </w:r>
      <w:r w:rsidR="00450D0E" w:rsidRPr="00AC41E0">
        <w:rPr>
          <w:rFonts w:cs="Arial"/>
        </w:rPr>
        <w:t xml:space="preserve">design an approach </w:t>
      </w:r>
      <w:r w:rsidR="00966D93" w:rsidRPr="00AC41E0">
        <w:rPr>
          <w:rFonts w:cs="Arial"/>
        </w:rPr>
        <w:t xml:space="preserve">that </w:t>
      </w:r>
      <w:r w:rsidR="00450D0E" w:rsidRPr="00AC41E0">
        <w:rPr>
          <w:rFonts w:cs="Arial"/>
        </w:rPr>
        <w:t xml:space="preserve">is fit for purpose and delivers the best community benefit, </w:t>
      </w:r>
      <w:r w:rsidR="0084165B" w:rsidRPr="00AC41E0">
        <w:rPr>
          <w:rFonts w:cs="Arial"/>
        </w:rPr>
        <w:t xml:space="preserve">and </w:t>
      </w:r>
      <w:r w:rsidR="00505201" w:rsidRPr="00AC41E0">
        <w:rPr>
          <w:rFonts w:cs="Arial"/>
        </w:rPr>
        <w:t xml:space="preserve">meets </w:t>
      </w:r>
      <w:r w:rsidR="0084165B" w:rsidRPr="00AC41E0">
        <w:rPr>
          <w:rFonts w:cs="Arial"/>
        </w:rPr>
        <w:t xml:space="preserve">stakeholders’ </w:t>
      </w:r>
      <w:r w:rsidR="00505201" w:rsidRPr="00AC41E0">
        <w:rPr>
          <w:rFonts w:cs="Arial"/>
        </w:rPr>
        <w:t xml:space="preserve">requirements </w:t>
      </w:r>
      <w:r w:rsidR="001056A2" w:rsidRPr="00AC41E0">
        <w:rPr>
          <w:rFonts w:cs="Arial"/>
        </w:rPr>
        <w:t xml:space="preserve">while </w:t>
      </w:r>
      <w:r w:rsidR="00505201" w:rsidRPr="00AC41E0">
        <w:rPr>
          <w:rFonts w:cs="Arial"/>
        </w:rPr>
        <w:t>provid</w:t>
      </w:r>
      <w:r w:rsidR="001056A2" w:rsidRPr="00AC41E0">
        <w:rPr>
          <w:rFonts w:cs="Arial"/>
        </w:rPr>
        <w:t>ing</w:t>
      </w:r>
      <w:r w:rsidR="00505201" w:rsidRPr="00AC41E0">
        <w:rPr>
          <w:rFonts w:cs="Arial"/>
        </w:rPr>
        <w:t xml:space="preserve"> a good user experience. </w:t>
      </w:r>
    </w:p>
    <w:p w14:paraId="0F7166B4" w14:textId="77777777" w:rsidR="003B411B" w:rsidRPr="00AC41E0" w:rsidRDefault="003B411B" w:rsidP="00003096">
      <w:pPr>
        <w:pStyle w:val="DCSbodytext"/>
        <w:numPr>
          <w:ilvl w:val="0"/>
          <w:numId w:val="113"/>
        </w:numPr>
        <w:spacing w:after="120"/>
        <w:rPr>
          <w:rFonts w:cs="Arial"/>
        </w:rPr>
      </w:pPr>
      <w:r w:rsidRPr="00AC41E0">
        <w:rPr>
          <w:rFonts w:cs="Arial"/>
        </w:rPr>
        <w:t xml:space="preserve">Seek public engagement on proposed IoT initiatives to maintain public trust by providing transparency and choice around what data is collected and how it will be used. Always consider whether your planned data uses are in line with your community’s expectations and delivers value to the community. </w:t>
      </w:r>
    </w:p>
    <w:p w14:paraId="5FE6F53A" w14:textId="118E1737" w:rsidR="00950D18" w:rsidRPr="00AC41E0" w:rsidRDefault="00950D18" w:rsidP="00003096">
      <w:pPr>
        <w:pStyle w:val="DCSbodytext"/>
        <w:numPr>
          <w:ilvl w:val="0"/>
          <w:numId w:val="113"/>
        </w:numPr>
        <w:rPr>
          <w:lang w:eastAsia="en-AU"/>
        </w:rPr>
      </w:pPr>
      <w:r w:rsidRPr="00AC41E0">
        <w:rPr>
          <w:rFonts w:cs="Arial"/>
        </w:rPr>
        <w:t xml:space="preserve">The data and insights generated from your project may be useful for purposes other than those originally intended. Consult as broadly as possible to identify these opportunities so that data sharing and reuse opportunities can be incorporated into </w:t>
      </w:r>
      <w:r w:rsidR="00095EFF" w:rsidRPr="00AC41E0">
        <w:rPr>
          <w:rFonts w:cs="Arial"/>
        </w:rPr>
        <w:t>your project</w:t>
      </w:r>
      <w:r w:rsidRPr="00AC41E0">
        <w:rPr>
          <w:rFonts w:cs="Arial"/>
        </w:rPr>
        <w:t xml:space="preserve"> design. </w:t>
      </w:r>
    </w:p>
    <w:p w14:paraId="3211195F" w14:textId="00ACCA28" w:rsidR="00EE1C88" w:rsidRPr="00AC41E0" w:rsidRDefault="00E7559F" w:rsidP="00EE1C88">
      <w:pPr>
        <w:pStyle w:val="Heading3"/>
        <w:rPr>
          <w:rFonts w:ascii="Arial" w:hAnsi="Arial"/>
        </w:rPr>
      </w:pPr>
      <w:bookmarkStart w:id="492" w:name="_Toc65760499"/>
      <w:r w:rsidRPr="00AC41E0">
        <w:rPr>
          <w:rFonts w:ascii="Arial" w:hAnsi="Arial"/>
        </w:rPr>
        <w:lastRenderedPageBreak/>
        <w:t>L</w:t>
      </w:r>
      <w:r w:rsidR="00EE1C88" w:rsidRPr="00AC41E0">
        <w:rPr>
          <w:rFonts w:ascii="Arial" w:hAnsi="Arial"/>
        </w:rPr>
        <w:t>imitations in your operating environment</w:t>
      </w:r>
      <w:bookmarkEnd w:id="492"/>
    </w:p>
    <w:p w14:paraId="55072C40" w14:textId="7FD42024" w:rsidR="00EE1C88" w:rsidRPr="00AC41E0" w:rsidRDefault="00EE1C88" w:rsidP="00EE1C88">
      <w:pPr>
        <w:pStyle w:val="DCSbodytext"/>
      </w:pPr>
      <w:r w:rsidRPr="00AC41E0">
        <w:rPr>
          <w:shd w:val="clear" w:color="auto" w:fill="FFFFFF"/>
        </w:rPr>
        <w:t xml:space="preserve">IoT works best when combined with existing business data and </w:t>
      </w:r>
      <w:r w:rsidR="00322388" w:rsidRPr="00AC41E0">
        <w:rPr>
          <w:shd w:val="clear" w:color="auto" w:fill="FFFFFF"/>
        </w:rPr>
        <w:t>data</w:t>
      </w:r>
      <w:r w:rsidRPr="00AC41E0">
        <w:rPr>
          <w:shd w:val="clear" w:color="auto" w:fill="FFFFFF"/>
        </w:rPr>
        <w:t xml:space="preserve"> environ</w:t>
      </w:r>
      <w:r w:rsidR="00322388" w:rsidRPr="00AC41E0">
        <w:rPr>
          <w:shd w:val="clear" w:color="auto" w:fill="FFFFFF"/>
        </w:rPr>
        <w:t>ments</w:t>
      </w:r>
      <w:r w:rsidR="00036796" w:rsidRPr="00AC41E0">
        <w:rPr>
          <w:shd w:val="clear" w:color="auto" w:fill="FFFFFF"/>
        </w:rPr>
        <w:t>;</w:t>
      </w:r>
      <w:r w:rsidR="00322388" w:rsidRPr="00AC41E0">
        <w:rPr>
          <w:shd w:val="clear" w:color="auto" w:fill="FFFFFF"/>
        </w:rPr>
        <w:t xml:space="preserve"> </w:t>
      </w:r>
      <w:r w:rsidR="00036796" w:rsidRPr="00AC41E0">
        <w:rPr>
          <w:shd w:val="clear" w:color="auto" w:fill="FFFFFF"/>
        </w:rPr>
        <w:t>it has the potential to unlock significant</w:t>
      </w:r>
      <w:r w:rsidRPr="00AC41E0">
        <w:rPr>
          <w:shd w:val="clear" w:color="auto" w:fill="FFFFFF"/>
        </w:rPr>
        <w:t xml:space="preserve"> value and customer outcomes. </w:t>
      </w:r>
      <w:r w:rsidR="003E7E17" w:rsidRPr="00AC41E0">
        <w:rPr>
          <w:shd w:val="clear" w:color="auto" w:fill="FFFFFF"/>
        </w:rPr>
        <w:t>Do your best to</w:t>
      </w:r>
      <w:r w:rsidRPr="00AC41E0">
        <w:t xml:space="preserve"> </w:t>
      </w:r>
      <w:r w:rsidR="005034D1" w:rsidRPr="00AC41E0">
        <w:t xml:space="preserve">make sure </w:t>
      </w:r>
      <w:r w:rsidR="003A10D3" w:rsidRPr="00AC41E0">
        <w:t xml:space="preserve">that </w:t>
      </w:r>
      <w:r w:rsidRPr="00AC41E0">
        <w:t xml:space="preserve">data about key processes can be easily integrated from across different business areas and data sources across your organisation, to generate maximum insights. </w:t>
      </w:r>
      <w:r w:rsidRPr="00AC41E0">
        <w:tab/>
      </w:r>
    </w:p>
    <w:p w14:paraId="0F396BD2" w14:textId="26401B67" w:rsidR="00EE1C88" w:rsidRPr="00AC41E0" w:rsidRDefault="005034D1" w:rsidP="00EE1C88">
      <w:pPr>
        <w:pStyle w:val="DCSbodytext"/>
        <w:spacing w:after="120"/>
        <w:rPr>
          <w:shd w:val="clear" w:color="auto" w:fill="FFFFFF"/>
        </w:rPr>
      </w:pPr>
      <w:r w:rsidRPr="00AC41E0">
        <w:t xml:space="preserve">Make sure </w:t>
      </w:r>
      <w:r w:rsidR="00EE1C88" w:rsidRPr="00AC41E0">
        <w:t xml:space="preserve">you understand and address any issues with your operating environment that </w:t>
      </w:r>
      <w:r w:rsidR="00043776" w:rsidRPr="00AC41E0">
        <w:t xml:space="preserve">may </w:t>
      </w:r>
      <w:r w:rsidR="00EE1C88" w:rsidRPr="00AC41E0">
        <w:t>inhibit your ability to use the data generated by your IoT initiatives and to integrate this data with your work processes. K</w:t>
      </w:r>
      <w:r w:rsidR="00EE1C88" w:rsidRPr="00AC41E0">
        <w:rPr>
          <w:shd w:val="clear" w:color="auto" w:fill="FFFFFF"/>
        </w:rPr>
        <w:t xml:space="preserve">ey data-related inhibitors to IoT success </w:t>
      </w:r>
      <w:r w:rsidR="00226A18" w:rsidRPr="00AC41E0">
        <w:rPr>
          <w:shd w:val="clear" w:color="auto" w:fill="FFFFFF"/>
        </w:rPr>
        <w:t>are</w:t>
      </w:r>
      <w:r w:rsidR="00EE1C88" w:rsidRPr="00AC41E0">
        <w:rPr>
          <w:shd w:val="clear" w:color="auto" w:fill="FFFFFF"/>
        </w:rPr>
        <w:t xml:space="preserve">: </w:t>
      </w:r>
    </w:p>
    <w:p w14:paraId="28E9FF3A" w14:textId="29FFA40C" w:rsidR="00EE1C88" w:rsidRPr="00AC41E0" w:rsidRDefault="00BD7E58" w:rsidP="00D978A4">
      <w:pPr>
        <w:pStyle w:val="DCSbodytext"/>
        <w:numPr>
          <w:ilvl w:val="0"/>
          <w:numId w:val="98"/>
        </w:numPr>
        <w:spacing w:after="120"/>
      </w:pPr>
      <w:r w:rsidRPr="00AC41E0">
        <w:t>i</w:t>
      </w:r>
      <w:r w:rsidR="00EE1C88" w:rsidRPr="00AC41E0">
        <w:t xml:space="preserve">nflexible legacy architectures </w:t>
      </w:r>
    </w:p>
    <w:p w14:paraId="33F126CB" w14:textId="20A72AC2" w:rsidR="00EE1C88" w:rsidRPr="00AC41E0" w:rsidRDefault="00BD7E58" w:rsidP="00D978A4">
      <w:pPr>
        <w:pStyle w:val="DCSbodytext"/>
        <w:numPr>
          <w:ilvl w:val="0"/>
          <w:numId w:val="98"/>
        </w:numPr>
        <w:spacing w:after="120"/>
      </w:pPr>
      <w:r w:rsidRPr="00AC41E0">
        <w:t>l</w:t>
      </w:r>
      <w:r w:rsidR="00EE1C88" w:rsidRPr="00AC41E0">
        <w:t xml:space="preserve">ack of consistent standards </w:t>
      </w:r>
    </w:p>
    <w:p w14:paraId="456A019A" w14:textId="3CB18C3E" w:rsidR="00EE1C88" w:rsidRPr="00AC41E0" w:rsidRDefault="00BD7E58" w:rsidP="00D978A4">
      <w:pPr>
        <w:pStyle w:val="DCSbodytext"/>
        <w:numPr>
          <w:ilvl w:val="0"/>
          <w:numId w:val="98"/>
        </w:numPr>
        <w:spacing w:after="120"/>
      </w:pPr>
      <w:r w:rsidRPr="00AC41E0">
        <w:t>l</w:t>
      </w:r>
      <w:r w:rsidR="00EE1C88" w:rsidRPr="00AC41E0">
        <w:t xml:space="preserve">ow cyber security maturity levels </w:t>
      </w:r>
    </w:p>
    <w:p w14:paraId="0ECC5235" w14:textId="6B485FCD" w:rsidR="00EE1C88" w:rsidRPr="00AC41E0" w:rsidRDefault="00BD7E58" w:rsidP="00D978A4">
      <w:pPr>
        <w:pStyle w:val="DCSbodytext"/>
        <w:numPr>
          <w:ilvl w:val="0"/>
          <w:numId w:val="98"/>
        </w:numPr>
        <w:spacing w:after="120"/>
      </w:pPr>
      <w:r w:rsidRPr="00AC41E0">
        <w:t>i</w:t>
      </w:r>
      <w:r w:rsidR="00EE1C88" w:rsidRPr="00AC41E0">
        <w:t>nteroperability challenges</w:t>
      </w:r>
    </w:p>
    <w:p w14:paraId="4F7A65E3" w14:textId="7AFDF4B7" w:rsidR="00EE1C88" w:rsidRPr="00AC41E0" w:rsidRDefault="00BD7E58" w:rsidP="00D978A4">
      <w:pPr>
        <w:pStyle w:val="DCSbodytext"/>
        <w:numPr>
          <w:ilvl w:val="0"/>
          <w:numId w:val="98"/>
        </w:numPr>
        <w:spacing w:after="120"/>
      </w:pPr>
      <w:r w:rsidRPr="00AC41E0">
        <w:t>i</w:t>
      </w:r>
      <w:r w:rsidR="00EE1C88" w:rsidRPr="00AC41E0">
        <w:t>nconsistent data formats, terminology, capture standards</w:t>
      </w:r>
      <w:r w:rsidR="00966D93" w:rsidRPr="00AC41E0">
        <w:t>,</w:t>
      </w:r>
      <w:r w:rsidR="00EE1C88" w:rsidRPr="00AC41E0">
        <w:t xml:space="preserve"> and quality requirements </w:t>
      </w:r>
    </w:p>
    <w:p w14:paraId="25A39CDE" w14:textId="3E0E4FEB" w:rsidR="00EE1C88" w:rsidRPr="00AC41E0" w:rsidRDefault="00BD7E58" w:rsidP="00D978A4">
      <w:pPr>
        <w:pStyle w:val="DCSbodytext"/>
        <w:numPr>
          <w:ilvl w:val="0"/>
          <w:numId w:val="98"/>
        </w:numPr>
      </w:pPr>
      <w:r w:rsidRPr="00AC41E0">
        <w:t>i</w:t>
      </w:r>
      <w:r w:rsidR="00EE1C88" w:rsidRPr="00AC41E0">
        <w:t xml:space="preserve">nflexible provision of data from </w:t>
      </w:r>
      <w:r w:rsidR="00536866" w:rsidRPr="00AC41E0">
        <w:t>IoT service providers</w:t>
      </w:r>
      <w:r w:rsidR="00EE1C88" w:rsidRPr="00AC41E0">
        <w:t>.</w:t>
      </w:r>
    </w:p>
    <w:p w14:paraId="10BA904E" w14:textId="5B5E88ED" w:rsidR="009813F7" w:rsidRPr="00AC41E0" w:rsidRDefault="009813F7" w:rsidP="009813F7">
      <w:pPr>
        <w:pStyle w:val="Heading3"/>
        <w:rPr>
          <w:rFonts w:ascii="Arial" w:hAnsi="Arial"/>
        </w:rPr>
      </w:pPr>
      <w:bookmarkStart w:id="493" w:name="_Toc65760500"/>
      <w:r w:rsidRPr="00AC41E0">
        <w:rPr>
          <w:rFonts w:ascii="Arial" w:hAnsi="Arial"/>
        </w:rPr>
        <w:t>Improv</w:t>
      </w:r>
      <w:r w:rsidR="00E7559F" w:rsidRPr="00AC41E0">
        <w:rPr>
          <w:rFonts w:ascii="Arial" w:hAnsi="Arial"/>
        </w:rPr>
        <w:t>ing</w:t>
      </w:r>
      <w:r w:rsidRPr="00AC41E0">
        <w:rPr>
          <w:rFonts w:ascii="Arial" w:hAnsi="Arial"/>
        </w:rPr>
        <w:t xml:space="preserve"> data </w:t>
      </w:r>
      <w:r w:rsidR="003470E5" w:rsidRPr="00AC41E0">
        <w:rPr>
          <w:rFonts w:ascii="Arial" w:hAnsi="Arial"/>
        </w:rPr>
        <w:t xml:space="preserve">governance and </w:t>
      </w:r>
      <w:r w:rsidRPr="00AC41E0">
        <w:rPr>
          <w:rFonts w:ascii="Arial" w:hAnsi="Arial"/>
        </w:rPr>
        <w:t>management practices</w:t>
      </w:r>
      <w:bookmarkEnd w:id="493"/>
    </w:p>
    <w:p w14:paraId="52EA245C" w14:textId="22DD0E2F" w:rsidR="009B45A9" w:rsidRPr="00AC41E0" w:rsidRDefault="009B45A9" w:rsidP="008060F0">
      <w:pPr>
        <w:pStyle w:val="DCSbodytext"/>
      </w:pPr>
      <w:r w:rsidRPr="00AC41E0">
        <w:t>Good data governance, management</w:t>
      </w:r>
      <w:r w:rsidR="00966D93" w:rsidRPr="00AC41E0">
        <w:t>,</w:t>
      </w:r>
      <w:r w:rsidRPr="00AC41E0">
        <w:t xml:space="preserve"> and practice need to be designed and </w:t>
      </w:r>
      <w:r w:rsidR="00966D93" w:rsidRPr="00AC41E0">
        <w:t>built-</w:t>
      </w:r>
      <w:r w:rsidRPr="00AC41E0">
        <w:t xml:space="preserve">in from the beginning </w:t>
      </w:r>
      <w:r w:rsidR="00C71414" w:rsidRPr="00AC41E0">
        <w:t>so</w:t>
      </w:r>
      <w:r w:rsidRPr="00AC41E0">
        <w:t xml:space="preserve"> that </w:t>
      </w:r>
      <w:r w:rsidR="00866927" w:rsidRPr="00AC41E0">
        <w:t xml:space="preserve">the </w:t>
      </w:r>
      <w:r w:rsidRPr="00AC41E0">
        <w:t xml:space="preserve">data generated is useful, accessible, secure and of dependable quality. </w:t>
      </w:r>
    </w:p>
    <w:p w14:paraId="6951DAFB" w14:textId="1575EB42" w:rsidR="00894ED1" w:rsidRPr="00AC41E0" w:rsidRDefault="009813F7" w:rsidP="00EE1C88">
      <w:pPr>
        <w:pStyle w:val="DCSbodytext"/>
      </w:pPr>
      <w:r w:rsidRPr="00AC41E0">
        <w:t xml:space="preserve">Data management and governance processes must be rigorous for new IoT generated data as well as existing business data so that </w:t>
      </w:r>
      <w:r w:rsidR="00894ED1" w:rsidRPr="00AC41E0">
        <w:rPr>
          <w:color w:val="080E14"/>
          <w:shd w:val="clear" w:color="auto" w:fill="FFFFFF"/>
        </w:rPr>
        <w:t xml:space="preserve">the data </w:t>
      </w:r>
      <w:r w:rsidRPr="00AC41E0">
        <w:rPr>
          <w:color w:val="080E14"/>
          <w:shd w:val="clear" w:color="auto" w:fill="FFFFFF"/>
        </w:rPr>
        <w:t xml:space="preserve">can be combined. </w:t>
      </w:r>
      <w:r w:rsidRPr="00AC41E0">
        <w:t xml:space="preserve">The better the quality of existing business data, the easier it </w:t>
      </w:r>
      <w:r w:rsidR="00B63A81" w:rsidRPr="00AC41E0">
        <w:t>is</w:t>
      </w:r>
      <w:r w:rsidRPr="00AC41E0">
        <w:t xml:space="preserve"> </w:t>
      </w:r>
      <w:r w:rsidR="0095482F" w:rsidRPr="00AC41E0">
        <w:t xml:space="preserve">to </w:t>
      </w:r>
      <w:r w:rsidRPr="00AC41E0">
        <w:t xml:space="preserve">integrate with IoT data to generate richer and more relevant insights. </w:t>
      </w:r>
    </w:p>
    <w:p w14:paraId="595BDA15" w14:textId="741D35F1" w:rsidR="00DD0634" w:rsidRPr="00AC41E0" w:rsidRDefault="009813F7" w:rsidP="00EE1C88">
      <w:pPr>
        <w:pStyle w:val="DCSbodytext"/>
      </w:pPr>
      <w:r w:rsidRPr="00AC41E0">
        <w:t xml:space="preserve">You cannot use data with inconsistent formats or definitions and expect IoT processes and applications to make sense of it or use it to train </w:t>
      </w:r>
      <w:r w:rsidR="00464D20" w:rsidRPr="00AC41E0">
        <w:t>a</w:t>
      </w:r>
      <w:r w:rsidRPr="00AC41E0">
        <w:t xml:space="preserve">rtificial </w:t>
      </w:r>
      <w:r w:rsidR="00464D20" w:rsidRPr="00AC41E0">
        <w:t>i</w:t>
      </w:r>
      <w:r w:rsidRPr="00AC41E0">
        <w:t xml:space="preserve">ntelligence. You need to create a solid and useful data platform first. </w:t>
      </w:r>
      <w:r w:rsidR="00DD0634" w:rsidRPr="00AC41E0">
        <w:t>Similarly, vendor lock</w:t>
      </w:r>
      <w:r w:rsidR="00374CED" w:rsidRPr="00AC41E0">
        <w:t>-</w:t>
      </w:r>
      <w:r w:rsidR="00DD0634" w:rsidRPr="00AC41E0">
        <w:t>in, where an IoT service provider restricts access to data or the way it can be used, can be just as costly in the long run as a major data breach or system failure.</w:t>
      </w:r>
    </w:p>
    <w:p w14:paraId="5F2933E2" w14:textId="08CEDD75" w:rsidR="009813F7" w:rsidRPr="00AC41E0" w:rsidRDefault="009813F7" w:rsidP="00EE1C88">
      <w:pPr>
        <w:pStyle w:val="DCSbodytext"/>
      </w:pPr>
      <w:r w:rsidRPr="00AC41E0">
        <w:t xml:space="preserve">Much of the data sitting in existing systems </w:t>
      </w:r>
      <w:r w:rsidR="00966D93" w:rsidRPr="00AC41E0">
        <w:t xml:space="preserve">are </w:t>
      </w:r>
      <w:r w:rsidRPr="00AC41E0">
        <w:t xml:space="preserve">siloed, not only on-premises but also in various cloud silos, third-party datacentres, on personal devices, in legacy environments, and all contained in various formats and data standards. Identifying </w:t>
      </w:r>
      <w:r w:rsidR="00966D93" w:rsidRPr="00AC41E0">
        <w:t>high-</w:t>
      </w:r>
      <w:r w:rsidRPr="00AC41E0">
        <w:t xml:space="preserve">value data in these environments, centralising and standardising it and making it available to your IoT initiatives can add significant value to these initiatives. </w:t>
      </w:r>
    </w:p>
    <w:p w14:paraId="4AB83E6A" w14:textId="20FCD1DE" w:rsidR="009813F7" w:rsidRPr="00AC41E0" w:rsidRDefault="009813F7" w:rsidP="00EE1C88">
      <w:pPr>
        <w:pStyle w:val="DCSbodytext"/>
      </w:pPr>
      <w:r w:rsidRPr="00AC41E0">
        <w:t>Revised organisational policies on data governance and management may need to be established to ensure</w:t>
      </w:r>
      <w:r w:rsidR="00745F49" w:rsidRPr="00AC41E0">
        <w:t xml:space="preserve"> that</w:t>
      </w:r>
      <w:r w:rsidRPr="00AC41E0">
        <w:t xml:space="preserve"> high quality and relevant business data is captured, stored, secured and used, and is available in formats and standards that enable its interoperability and use across the organisation. To support this and facilitate consistent practices across government, government policies, standards and processes are available via the </w:t>
      </w:r>
      <w:hyperlink r:id="rId73" w:history="1">
        <w:r w:rsidR="002535A6" w:rsidRPr="00AC41E0">
          <w:rPr>
            <w:rStyle w:val="Hyperlink"/>
            <w:rFonts w:cs="Arial"/>
          </w:rPr>
          <w:t>D</w:t>
        </w:r>
        <w:r w:rsidRPr="00AC41E0">
          <w:rPr>
            <w:rStyle w:val="Hyperlink"/>
            <w:rFonts w:cs="Arial"/>
          </w:rPr>
          <w:t>ata.NSW Program</w:t>
        </w:r>
      </w:hyperlink>
      <w:r w:rsidRPr="00E46FB0">
        <w:t xml:space="preserve">. </w:t>
      </w:r>
    </w:p>
    <w:p w14:paraId="193F5621" w14:textId="5618175C" w:rsidR="009813F7" w:rsidRPr="00AC41E0" w:rsidRDefault="00B548C5" w:rsidP="00DD6280">
      <w:pPr>
        <w:pStyle w:val="DCSbodytext"/>
        <w:ind w:left="1701"/>
        <w:rPr>
          <w:i/>
        </w:rPr>
      </w:pPr>
      <w:r w:rsidRPr="00E46FB0">
        <w:rPr>
          <w:i/>
          <w:noProof/>
        </w:rPr>
        <w:lastRenderedPageBreak/>
        <w:drawing>
          <wp:anchor distT="0" distB="0" distL="114300" distR="114300" simplePos="0" relativeHeight="251658263" behindDoc="1" locked="0" layoutInCell="1" allowOverlap="1" wp14:anchorId="09B02433" wp14:editId="65161D33">
            <wp:simplePos x="0" y="0"/>
            <wp:positionH relativeFrom="margin">
              <wp:posOffset>511175</wp:posOffset>
            </wp:positionH>
            <wp:positionV relativeFrom="paragraph">
              <wp:posOffset>35293</wp:posOffset>
            </wp:positionV>
            <wp:extent cx="450850" cy="450850"/>
            <wp:effectExtent l="0" t="0" r="0" b="6350"/>
            <wp:wrapTight wrapText="bothSides">
              <wp:wrapPolygon edited="0">
                <wp:start x="8214" y="0"/>
                <wp:lineTo x="1825" y="3651"/>
                <wp:lineTo x="0" y="9127"/>
                <wp:lineTo x="1825" y="15515"/>
                <wp:lineTo x="7301" y="20992"/>
                <wp:lineTo x="12777" y="20992"/>
                <wp:lineTo x="19166" y="15515"/>
                <wp:lineTo x="20079" y="10039"/>
                <wp:lineTo x="17341" y="3651"/>
                <wp:lineTo x="12777" y="0"/>
                <wp:lineTo x="8214" y="0"/>
              </wp:wrapPolygon>
            </wp:wrapTight>
            <wp:docPr id="19" name="Graphic 19"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r w:rsidRPr="00E46FB0">
        <w:rPr>
          <w:i/>
          <w:iCs/>
        </w:rPr>
        <w:t xml:space="preserve">Tip: </w:t>
      </w:r>
      <w:r w:rsidR="005C2055" w:rsidRPr="00E46FB0">
        <w:rPr>
          <w:i/>
          <w:iCs/>
        </w:rPr>
        <w:t xml:space="preserve">Prioritise </w:t>
      </w:r>
      <w:r w:rsidR="00401D2F" w:rsidRPr="00AC41E0">
        <w:rPr>
          <w:i/>
          <w:iCs/>
        </w:rPr>
        <w:t xml:space="preserve">data consistency and standardisation across your organisation </w:t>
      </w:r>
      <w:r w:rsidR="005C2055" w:rsidRPr="00AC41E0">
        <w:rPr>
          <w:i/>
          <w:iCs/>
        </w:rPr>
        <w:t>in the manner that best</w:t>
      </w:r>
      <w:r w:rsidR="00401D2F" w:rsidRPr="00AC41E0">
        <w:rPr>
          <w:i/>
          <w:iCs/>
        </w:rPr>
        <w:t xml:space="preserve"> cater</w:t>
      </w:r>
      <w:r w:rsidR="007E2567" w:rsidRPr="00AC41E0">
        <w:rPr>
          <w:i/>
          <w:iCs/>
        </w:rPr>
        <w:t>s</w:t>
      </w:r>
      <w:r w:rsidR="00401D2F" w:rsidRPr="00AC41E0">
        <w:rPr>
          <w:i/>
          <w:iCs/>
        </w:rPr>
        <w:t xml:space="preserve"> to your organisation’s needs</w:t>
      </w:r>
      <w:r w:rsidR="00B02ED6" w:rsidRPr="00AC41E0">
        <w:rPr>
          <w:i/>
          <w:iCs/>
        </w:rPr>
        <w:t xml:space="preserve"> - </w:t>
      </w:r>
      <w:r w:rsidR="007E2567" w:rsidRPr="00AC41E0">
        <w:rPr>
          <w:i/>
          <w:iCs/>
        </w:rPr>
        <w:t>there is no one right way</w:t>
      </w:r>
      <w:r w:rsidR="00401D2F" w:rsidRPr="00AC41E0">
        <w:rPr>
          <w:i/>
          <w:iCs/>
        </w:rPr>
        <w:t xml:space="preserve">. </w:t>
      </w:r>
      <w:r w:rsidR="0016015A" w:rsidRPr="00AC41E0">
        <w:rPr>
          <w:i/>
          <w:iCs/>
        </w:rPr>
        <w:t>For example, o</w:t>
      </w:r>
      <w:r w:rsidR="00401D2F" w:rsidRPr="00AC41E0">
        <w:rPr>
          <w:i/>
          <w:iCs/>
        </w:rPr>
        <w:t>ne approach is to create a centralised data office in your organisation, and a single authority or point of truth for data advice and standards.</w:t>
      </w:r>
      <w:r w:rsidR="009813F7" w:rsidRPr="00AC41E0">
        <w:rPr>
          <w:i/>
          <w:iCs/>
        </w:rPr>
        <w:t xml:space="preserve"> </w:t>
      </w:r>
    </w:p>
    <w:p w14:paraId="4176A475" w14:textId="77777777" w:rsidR="00256096" w:rsidRPr="00AC41E0" w:rsidRDefault="00256096" w:rsidP="00256096">
      <w:pPr>
        <w:pStyle w:val="Heading3"/>
        <w:rPr>
          <w:rFonts w:ascii="Arial" w:hAnsi="Arial"/>
        </w:rPr>
      </w:pPr>
      <w:bookmarkStart w:id="494" w:name="_Toc65760501"/>
      <w:r w:rsidRPr="00AC41E0">
        <w:rPr>
          <w:rFonts w:ascii="Arial" w:hAnsi="Arial"/>
        </w:rPr>
        <w:t>Data requirements specification</w:t>
      </w:r>
      <w:bookmarkEnd w:id="494"/>
    </w:p>
    <w:p w14:paraId="338BB3BA" w14:textId="0A2F2EE9" w:rsidR="007F26B7" w:rsidRPr="00AC41E0" w:rsidRDefault="007F26B7" w:rsidP="0022369F">
      <w:pPr>
        <w:pStyle w:val="BodyText"/>
        <w:spacing w:line="276" w:lineRule="auto"/>
      </w:pPr>
      <w:bookmarkStart w:id="495" w:name="_Specifying_data_requirements"/>
      <w:bookmarkEnd w:id="495"/>
      <w:r w:rsidRPr="00AC41E0">
        <w:rPr>
          <w:lang w:eastAsia="en-AU"/>
        </w:rPr>
        <w:t xml:space="preserve">You need to </w:t>
      </w:r>
      <w:r w:rsidR="00116118" w:rsidRPr="00AC41E0">
        <w:rPr>
          <w:rStyle w:val="DCSbodytextChar"/>
        </w:rPr>
        <w:t>design</w:t>
      </w:r>
      <w:r w:rsidRPr="00AC41E0">
        <w:rPr>
          <w:rStyle w:val="DCSbodytextChar"/>
        </w:rPr>
        <w:t xml:space="preserve"> your data</w:t>
      </w:r>
      <w:r w:rsidR="00275F34" w:rsidRPr="00AC41E0">
        <w:rPr>
          <w:rStyle w:val="DCSbodytextChar"/>
        </w:rPr>
        <w:t xml:space="preserve"> requirement</w:t>
      </w:r>
      <w:r w:rsidR="00CC3958" w:rsidRPr="00AC41E0">
        <w:rPr>
          <w:rStyle w:val="DCSbodytextChar"/>
        </w:rPr>
        <w:t>s</w:t>
      </w:r>
      <w:r w:rsidRPr="00AC41E0">
        <w:rPr>
          <w:rStyle w:val="DCSbodytextChar"/>
        </w:rPr>
        <w:t xml:space="preserve"> </w:t>
      </w:r>
      <w:r w:rsidR="00F449BC" w:rsidRPr="00AC41E0">
        <w:rPr>
          <w:rStyle w:val="DCSbodytextChar"/>
        </w:rPr>
        <w:t>specification</w:t>
      </w:r>
      <w:r w:rsidRPr="00AC41E0">
        <w:rPr>
          <w:rStyle w:val="DCSbodytextChar"/>
        </w:rPr>
        <w:t xml:space="preserve"> as part of your data needs assessment. Follow the </w:t>
      </w:r>
      <w:r w:rsidR="00771AE7" w:rsidRPr="00AC41E0">
        <w:rPr>
          <w:rStyle w:val="DCSbodytextChar"/>
        </w:rPr>
        <w:t>steps</w:t>
      </w:r>
      <w:r w:rsidR="00771AE7" w:rsidRPr="00AC41E0">
        <w:rPr>
          <w:lang w:eastAsia="en-AU"/>
        </w:rPr>
        <w:t xml:space="preserve"> </w:t>
      </w:r>
      <w:r w:rsidR="00D45284" w:rsidRPr="00AC41E0">
        <w:rPr>
          <w:lang w:eastAsia="en-AU"/>
        </w:rPr>
        <w:t xml:space="preserve">below </w:t>
      </w:r>
      <w:r w:rsidR="00107C83" w:rsidRPr="00AC41E0">
        <w:rPr>
          <w:lang w:eastAsia="en-AU"/>
        </w:rPr>
        <w:t xml:space="preserve">to </w:t>
      </w:r>
      <w:r w:rsidR="00D83525" w:rsidRPr="00AC41E0">
        <w:rPr>
          <w:lang w:eastAsia="en-AU"/>
        </w:rPr>
        <w:t>specify</w:t>
      </w:r>
      <w:r w:rsidR="00577DB4" w:rsidRPr="00AC41E0">
        <w:rPr>
          <w:lang w:eastAsia="en-AU"/>
        </w:rPr>
        <w:t xml:space="preserve"> your </w:t>
      </w:r>
      <w:r w:rsidR="00BC23EC" w:rsidRPr="00AC41E0">
        <w:rPr>
          <w:lang w:eastAsia="en-AU"/>
        </w:rPr>
        <w:t xml:space="preserve">basic </w:t>
      </w:r>
      <w:r w:rsidR="00577DB4" w:rsidRPr="00AC41E0">
        <w:rPr>
          <w:lang w:eastAsia="en-AU"/>
        </w:rPr>
        <w:t>data requirements</w:t>
      </w:r>
      <w:r w:rsidR="00D83525" w:rsidRPr="00AC41E0">
        <w:rPr>
          <w:lang w:eastAsia="en-AU"/>
        </w:rPr>
        <w:t xml:space="preserve">, in addition to any other </w:t>
      </w:r>
      <w:r w:rsidR="00683707" w:rsidRPr="00AC41E0">
        <w:rPr>
          <w:lang w:eastAsia="en-AU"/>
        </w:rPr>
        <w:t>data requirements relevant to your project</w:t>
      </w:r>
      <w:r w:rsidR="003F7813" w:rsidRPr="00AC41E0">
        <w:rPr>
          <w:lang w:eastAsia="en-AU"/>
        </w:rPr>
        <w:t>.</w:t>
      </w:r>
    </w:p>
    <w:p w14:paraId="476EDC67" w14:textId="7FFA74A1" w:rsidR="00044703" w:rsidRPr="00AC41E0" w:rsidRDefault="007F26B7" w:rsidP="00003096">
      <w:pPr>
        <w:pStyle w:val="DCSbodytext"/>
        <w:numPr>
          <w:ilvl w:val="0"/>
          <w:numId w:val="109"/>
        </w:numPr>
        <w:rPr>
          <w:rFonts w:cs="Arial"/>
          <w:b/>
        </w:rPr>
      </w:pPr>
      <w:r w:rsidRPr="00AC41E0">
        <w:rPr>
          <w:b/>
        </w:rPr>
        <w:t>Describe the d</w:t>
      </w:r>
      <w:r w:rsidR="009E2B80" w:rsidRPr="00AC41E0">
        <w:rPr>
          <w:b/>
        </w:rPr>
        <w:t>ata to be collected</w:t>
      </w:r>
    </w:p>
    <w:p w14:paraId="5F2B6B0B" w14:textId="0CF6134E" w:rsidR="001C7E88" w:rsidRPr="00AC41E0" w:rsidRDefault="0004074F" w:rsidP="009813F7">
      <w:pPr>
        <w:pStyle w:val="DCSbodytext"/>
        <w:rPr>
          <w:rFonts w:cs="Arial"/>
        </w:rPr>
      </w:pPr>
      <w:r w:rsidRPr="00AC41E0">
        <w:rPr>
          <w:rFonts w:cs="Arial"/>
        </w:rPr>
        <w:t>D</w:t>
      </w:r>
      <w:r w:rsidR="001C7E88" w:rsidRPr="00AC41E0">
        <w:rPr>
          <w:rFonts w:cs="Arial"/>
        </w:rPr>
        <w:t>escrib</w:t>
      </w:r>
      <w:r w:rsidR="00325176" w:rsidRPr="00AC41E0">
        <w:rPr>
          <w:rFonts w:cs="Arial"/>
        </w:rPr>
        <w:t>e</w:t>
      </w:r>
      <w:r w:rsidR="001C7E88" w:rsidRPr="00AC41E0">
        <w:rPr>
          <w:rFonts w:cs="Arial"/>
        </w:rPr>
        <w:t xml:space="preserve"> the data to be collected from IoT sensors or devices (e.g. measurements such as temperature, soil moisture content, water pressure or blood glucose levels) and from other data sources. </w:t>
      </w:r>
    </w:p>
    <w:p w14:paraId="04BF3D65" w14:textId="18F34ED7" w:rsidR="009E2B80" w:rsidRPr="00AC41E0" w:rsidRDefault="007F26B7" w:rsidP="00003096">
      <w:pPr>
        <w:pStyle w:val="DCSbodytext"/>
        <w:numPr>
          <w:ilvl w:val="0"/>
          <w:numId w:val="109"/>
        </w:numPr>
        <w:rPr>
          <w:b/>
        </w:rPr>
      </w:pPr>
      <w:r w:rsidRPr="00AC41E0">
        <w:rPr>
          <w:b/>
        </w:rPr>
        <w:t>Specify the m</w:t>
      </w:r>
      <w:r w:rsidR="009E2B80" w:rsidRPr="00AC41E0">
        <w:rPr>
          <w:b/>
        </w:rPr>
        <w:t>etadata</w:t>
      </w:r>
      <w:r w:rsidRPr="00AC41E0">
        <w:rPr>
          <w:b/>
        </w:rPr>
        <w:t xml:space="preserve"> of your data</w:t>
      </w:r>
    </w:p>
    <w:p w14:paraId="28C306CC" w14:textId="77777777" w:rsidR="00237E15" w:rsidRPr="00AC41E0" w:rsidRDefault="00237E15" w:rsidP="0022369F">
      <w:pPr>
        <w:pStyle w:val="DCSbodytext"/>
        <w:rPr>
          <w:rFonts w:cs="Arial"/>
        </w:rPr>
      </w:pPr>
      <w:r w:rsidRPr="00AC41E0">
        <w:rPr>
          <w:rFonts w:cs="Arial"/>
        </w:rPr>
        <w:t xml:space="preserve">Metadata is ‘data about data’. </w:t>
      </w:r>
      <w:r w:rsidR="001C7E88" w:rsidRPr="00AC41E0">
        <w:rPr>
          <w:rFonts w:cs="Arial"/>
        </w:rPr>
        <w:t xml:space="preserve">Specify metadata to ensure the data you collect is meaningful, </w:t>
      </w:r>
      <w:hyperlink w:anchor="_What_is_interoperability?" w:history="1">
        <w:r w:rsidR="001C7E88" w:rsidRPr="00AC41E0">
          <w:rPr>
            <w:rStyle w:val="Hyperlink"/>
            <w:rFonts w:cs="Arial"/>
          </w:rPr>
          <w:t>interoperable</w:t>
        </w:r>
      </w:hyperlink>
      <w:r w:rsidR="001C7E88" w:rsidRPr="00E46FB0">
        <w:rPr>
          <w:rFonts w:cs="Arial"/>
        </w:rPr>
        <w:t xml:space="preserve">, and can be compared with other data sources within your organisation and externally. </w:t>
      </w:r>
    </w:p>
    <w:p w14:paraId="1FB67192" w14:textId="574F57FF" w:rsidR="001C7E88" w:rsidRPr="00AC41E0" w:rsidRDefault="001C7E88" w:rsidP="009813F7">
      <w:pPr>
        <w:pStyle w:val="DCSbodytext"/>
        <w:spacing w:after="120"/>
        <w:rPr>
          <w:rFonts w:cs="Arial"/>
        </w:rPr>
      </w:pPr>
      <w:r w:rsidRPr="00AC41E0">
        <w:rPr>
          <w:rFonts w:cs="Arial"/>
        </w:rPr>
        <w:t>Depending on the data, metadata may include:</w:t>
      </w:r>
    </w:p>
    <w:p w14:paraId="352FA915" w14:textId="77777777" w:rsidR="001C7E88" w:rsidRPr="00AC41E0" w:rsidRDefault="001C7E88" w:rsidP="00D978A4">
      <w:pPr>
        <w:pStyle w:val="DCSbodytext"/>
        <w:numPr>
          <w:ilvl w:val="0"/>
          <w:numId w:val="89"/>
        </w:numPr>
        <w:spacing w:after="120"/>
        <w:ind w:left="1228"/>
        <w:rPr>
          <w:rFonts w:cs="Arial"/>
        </w:rPr>
      </w:pPr>
      <w:r w:rsidRPr="00AC41E0">
        <w:rPr>
          <w:rFonts w:cs="Arial"/>
        </w:rPr>
        <w:t>the unit of measurement (e.g. degrees Celsius for temperature)</w:t>
      </w:r>
    </w:p>
    <w:p w14:paraId="00766991" w14:textId="77777777" w:rsidR="001C7E88" w:rsidRPr="00AC41E0" w:rsidRDefault="001C7E88" w:rsidP="00D978A4">
      <w:pPr>
        <w:pStyle w:val="DCSbodytext"/>
        <w:numPr>
          <w:ilvl w:val="0"/>
          <w:numId w:val="89"/>
        </w:numPr>
        <w:spacing w:after="120"/>
        <w:ind w:left="1228"/>
        <w:rPr>
          <w:rFonts w:cs="Arial"/>
        </w:rPr>
      </w:pPr>
      <w:r w:rsidRPr="00AC41E0">
        <w:rPr>
          <w:rFonts w:cs="Arial"/>
        </w:rPr>
        <w:t>the frequency of measurement (e.g. every 10 minutes, every hour, once a day)</w:t>
      </w:r>
    </w:p>
    <w:p w14:paraId="59BC9878" w14:textId="77777777" w:rsidR="001C7E88" w:rsidRPr="00AC41E0" w:rsidRDefault="001C7E88" w:rsidP="00D978A4">
      <w:pPr>
        <w:pStyle w:val="DCSbodytext"/>
        <w:numPr>
          <w:ilvl w:val="0"/>
          <w:numId w:val="89"/>
        </w:numPr>
        <w:spacing w:after="120"/>
        <w:ind w:left="1228"/>
        <w:rPr>
          <w:rFonts w:cs="Arial"/>
        </w:rPr>
      </w:pPr>
      <w:r w:rsidRPr="00AC41E0">
        <w:rPr>
          <w:rFonts w:cs="Arial"/>
        </w:rPr>
        <w:t>the format</w:t>
      </w:r>
    </w:p>
    <w:p w14:paraId="333227A9" w14:textId="77777777" w:rsidR="001C7E88" w:rsidRPr="00AC41E0" w:rsidRDefault="001C7E88" w:rsidP="00D978A4">
      <w:pPr>
        <w:pStyle w:val="DCSbodytext"/>
        <w:numPr>
          <w:ilvl w:val="0"/>
          <w:numId w:val="89"/>
        </w:numPr>
        <w:ind w:left="1228"/>
        <w:rPr>
          <w:rFonts w:cs="Arial"/>
        </w:rPr>
      </w:pPr>
      <w:r w:rsidRPr="00AC41E0">
        <w:rPr>
          <w:rFonts w:cs="Arial"/>
        </w:rPr>
        <w:t xml:space="preserve">any rules to be applied to the data. </w:t>
      </w:r>
    </w:p>
    <w:p w14:paraId="024A28C0" w14:textId="4144940A" w:rsidR="009E2B80" w:rsidRPr="00AC41E0" w:rsidRDefault="007F26B7" w:rsidP="00003096">
      <w:pPr>
        <w:pStyle w:val="DCSbodytext"/>
        <w:numPr>
          <w:ilvl w:val="0"/>
          <w:numId w:val="109"/>
        </w:numPr>
        <w:rPr>
          <w:rFonts w:eastAsia="Calibri" w:cs="Arial"/>
          <w:b/>
        </w:rPr>
      </w:pPr>
      <w:r w:rsidRPr="00AC41E0">
        <w:rPr>
          <w:rFonts w:eastAsia="Calibri" w:cs="Arial"/>
          <w:b/>
        </w:rPr>
        <w:t>Specify the d</w:t>
      </w:r>
      <w:r w:rsidR="009E2B80" w:rsidRPr="00AC41E0">
        <w:rPr>
          <w:rFonts w:eastAsia="Calibri" w:cs="Arial"/>
          <w:b/>
        </w:rPr>
        <w:t>evice metadata</w:t>
      </w:r>
    </w:p>
    <w:p w14:paraId="72D99DF8" w14:textId="1F81BB2A" w:rsidR="001C7E88" w:rsidRPr="00AC41E0" w:rsidRDefault="001C7E88" w:rsidP="001061D6">
      <w:pPr>
        <w:pStyle w:val="DCSbodytext"/>
        <w:spacing w:after="120"/>
        <w:ind w:left="868"/>
        <w:rPr>
          <w:rFonts w:cs="Arial"/>
        </w:rPr>
      </w:pPr>
      <w:r w:rsidRPr="00AC41E0">
        <w:rPr>
          <w:rFonts w:eastAsia="Calibri" w:cs="Arial"/>
        </w:rPr>
        <w:t xml:space="preserve">In addition to specifying data metadata, it is important to specify </w:t>
      </w:r>
      <w:hyperlink r:id="rId74" w:history="1">
        <w:r w:rsidRPr="00AC41E0">
          <w:rPr>
            <w:rStyle w:val="Hyperlink"/>
            <w:rFonts w:eastAsia="Calibri" w:cs="Arial"/>
          </w:rPr>
          <w:t>metadata for the IoT devices</w:t>
        </w:r>
      </w:hyperlink>
      <w:r w:rsidRPr="00E46FB0">
        <w:rPr>
          <w:rFonts w:eastAsia="Calibri" w:cs="Arial"/>
        </w:rPr>
        <w:t xml:space="preserve"> that collect the data. </w:t>
      </w:r>
      <w:r w:rsidRPr="00AC41E0">
        <w:rPr>
          <w:rFonts w:cs="Arial"/>
        </w:rPr>
        <w:t xml:space="preserve">Device metadata can be used to negotiate communications protocols between devices and enable interoperability. It can also be used to map legacy devices and </w:t>
      </w:r>
      <w:r w:rsidR="0000257C" w:rsidRPr="00AC41E0">
        <w:rPr>
          <w:rFonts w:cs="Arial"/>
        </w:rPr>
        <w:t xml:space="preserve">achieve </w:t>
      </w:r>
      <w:r w:rsidRPr="00AC41E0">
        <w:rPr>
          <w:rFonts w:cs="Arial"/>
        </w:rPr>
        <w:t>ongoing compatibility and accessibility of older data sources. Device metadata may include</w:t>
      </w:r>
      <w:r w:rsidRPr="00AC41E0">
        <w:rPr>
          <w:rFonts w:eastAsia="Calibri" w:cs="Arial"/>
        </w:rPr>
        <w:t>:</w:t>
      </w:r>
    </w:p>
    <w:p w14:paraId="218E2703" w14:textId="7B4871EA" w:rsidR="001C7E88" w:rsidRPr="00AC41E0" w:rsidRDefault="00903D98" w:rsidP="00D978A4">
      <w:pPr>
        <w:pStyle w:val="DCSbodytext"/>
        <w:numPr>
          <w:ilvl w:val="0"/>
          <w:numId w:val="86"/>
        </w:numPr>
        <w:spacing w:after="120"/>
        <w:ind w:left="1228"/>
        <w:rPr>
          <w:rFonts w:eastAsia="Calibri" w:cs="Arial"/>
        </w:rPr>
      </w:pPr>
      <w:r w:rsidRPr="00AC41E0">
        <w:rPr>
          <w:rFonts w:eastAsia="Calibri" w:cs="Arial"/>
        </w:rPr>
        <w:t>s</w:t>
      </w:r>
      <w:r w:rsidR="001C7E88" w:rsidRPr="00AC41E0">
        <w:rPr>
          <w:rFonts w:eastAsia="Calibri" w:cs="Arial"/>
        </w:rPr>
        <w:t>ensor make and model</w:t>
      </w:r>
    </w:p>
    <w:p w14:paraId="657B5190" w14:textId="3416F2AC" w:rsidR="001C7E88" w:rsidRPr="00AC41E0" w:rsidRDefault="00903D98" w:rsidP="00D978A4">
      <w:pPr>
        <w:pStyle w:val="DCSbodytext"/>
        <w:numPr>
          <w:ilvl w:val="0"/>
          <w:numId w:val="86"/>
        </w:numPr>
        <w:spacing w:after="120"/>
        <w:ind w:left="1228"/>
        <w:rPr>
          <w:rFonts w:eastAsia="Calibri" w:cs="Arial"/>
        </w:rPr>
      </w:pPr>
      <w:r w:rsidRPr="00AC41E0">
        <w:rPr>
          <w:rFonts w:eastAsia="Calibri" w:cs="Arial"/>
        </w:rPr>
        <w:t>c</w:t>
      </w:r>
      <w:r w:rsidR="001C7E88" w:rsidRPr="00AC41E0">
        <w:rPr>
          <w:rFonts w:eastAsia="Calibri" w:cs="Arial"/>
        </w:rPr>
        <w:t>lass or type</w:t>
      </w:r>
    </w:p>
    <w:p w14:paraId="46F4F959" w14:textId="18C6015F" w:rsidR="001C7E88" w:rsidRPr="00AC41E0" w:rsidRDefault="00903D98" w:rsidP="00D978A4">
      <w:pPr>
        <w:pStyle w:val="DCSbodytext"/>
        <w:numPr>
          <w:ilvl w:val="0"/>
          <w:numId w:val="86"/>
        </w:numPr>
        <w:spacing w:after="120"/>
        <w:ind w:left="1228"/>
        <w:rPr>
          <w:rFonts w:eastAsia="Calibri" w:cs="Arial"/>
        </w:rPr>
      </w:pPr>
      <w:r w:rsidRPr="00AC41E0">
        <w:rPr>
          <w:rFonts w:eastAsia="Calibri" w:cs="Arial"/>
        </w:rPr>
        <w:t>m</w:t>
      </w:r>
      <w:r w:rsidR="001C7E88" w:rsidRPr="00AC41E0">
        <w:rPr>
          <w:rFonts w:eastAsia="Calibri" w:cs="Arial"/>
        </w:rPr>
        <w:t>anufacturer</w:t>
      </w:r>
    </w:p>
    <w:p w14:paraId="3F0EA4B9" w14:textId="545E9AF2" w:rsidR="001C7E88" w:rsidRPr="00AC41E0" w:rsidRDefault="00903D98" w:rsidP="00D978A4">
      <w:pPr>
        <w:pStyle w:val="DCSbodytext"/>
        <w:numPr>
          <w:ilvl w:val="0"/>
          <w:numId w:val="86"/>
        </w:numPr>
        <w:spacing w:after="120"/>
        <w:ind w:left="1228"/>
        <w:rPr>
          <w:rFonts w:eastAsia="Calibri" w:cs="Arial"/>
        </w:rPr>
      </w:pPr>
      <w:r w:rsidRPr="00AC41E0">
        <w:rPr>
          <w:rFonts w:eastAsia="Calibri" w:cs="Arial"/>
        </w:rPr>
        <w:t>d</w:t>
      </w:r>
      <w:r w:rsidR="001C7E88" w:rsidRPr="00AC41E0">
        <w:rPr>
          <w:rFonts w:eastAsia="Calibri" w:cs="Arial"/>
        </w:rPr>
        <w:t>ate manufactured</w:t>
      </w:r>
    </w:p>
    <w:p w14:paraId="2FD21B6F" w14:textId="41063F45" w:rsidR="001C7E88" w:rsidRPr="00AC41E0" w:rsidRDefault="00903D98" w:rsidP="00D978A4">
      <w:pPr>
        <w:pStyle w:val="DCSbodytext"/>
        <w:numPr>
          <w:ilvl w:val="0"/>
          <w:numId w:val="86"/>
        </w:numPr>
        <w:spacing w:after="120"/>
        <w:ind w:left="1228"/>
        <w:rPr>
          <w:rFonts w:eastAsia="Calibri" w:cs="Arial"/>
        </w:rPr>
      </w:pPr>
      <w:r w:rsidRPr="00AC41E0">
        <w:rPr>
          <w:rFonts w:eastAsia="Calibri" w:cs="Arial"/>
        </w:rPr>
        <w:t>s</w:t>
      </w:r>
      <w:r w:rsidR="001C7E88" w:rsidRPr="00AC41E0">
        <w:rPr>
          <w:rFonts w:eastAsia="Calibri" w:cs="Arial"/>
        </w:rPr>
        <w:t>erial number</w:t>
      </w:r>
    </w:p>
    <w:p w14:paraId="2A733D14" w14:textId="0F433BAA" w:rsidR="001C7E88" w:rsidRPr="00AC41E0" w:rsidRDefault="00903D98" w:rsidP="00D978A4">
      <w:pPr>
        <w:pStyle w:val="DCSbodytext"/>
        <w:numPr>
          <w:ilvl w:val="0"/>
          <w:numId w:val="86"/>
        </w:numPr>
        <w:spacing w:after="120"/>
        <w:ind w:left="1225" w:hanging="357"/>
        <w:rPr>
          <w:rFonts w:eastAsia="Calibri" w:cs="Arial"/>
        </w:rPr>
      </w:pPr>
      <w:r w:rsidRPr="00AC41E0">
        <w:rPr>
          <w:rFonts w:eastAsia="Calibri" w:cs="Arial"/>
        </w:rPr>
        <w:t>r</w:t>
      </w:r>
      <w:r w:rsidR="001C7E88" w:rsidRPr="00AC41E0">
        <w:rPr>
          <w:rFonts w:eastAsia="Calibri" w:cs="Arial"/>
        </w:rPr>
        <w:t>evision</w:t>
      </w:r>
    </w:p>
    <w:p w14:paraId="21FAF43F" w14:textId="4BED5420" w:rsidR="001C7E88" w:rsidRPr="00AC41E0" w:rsidRDefault="00903D98" w:rsidP="00D978A4">
      <w:pPr>
        <w:pStyle w:val="DCSbodytext"/>
        <w:numPr>
          <w:ilvl w:val="0"/>
          <w:numId w:val="86"/>
        </w:numPr>
        <w:spacing w:after="120"/>
        <w:ind w:left="1228"/>
        <w:rPr>
          <w:rFonts w:eastAsia="Calibri" w:cs="Arial"/>
        </w:rPr>
      </w:pPr>
      <w:r w:rsidRPr="00AC41E0">
        <w:rPr>
          <w:rFonts w:eastAsia="Calibri" w:cs="Arial"/>
        </w:rPr>
        <w:t>p</w:t>
      </w:r>
      <w:r w:rsidR="001C7E88" w:rsidRPr="00AC41E0">
        <w:rPr>
          <w:rFonts w:eastAsia="Calibri" w:cs="Arial"/>
        </w:rPr>
        <w:t xml:space="preserve">hysical location of the device (See </w:t>
      </w:r>
      <w:hyperlink w:anchor="_Spatial_data_requirements_2" w:history="1">
        <w:r w:rsidR="009839A0" w:rsidRPr="00AC41E0">
          <w:rPr>
            <w:rStyle w:val="Hyperlink"/>
            <w:rFonts w:eastAsia="Calibri" w:cs="Arial"/>
          </w:rPr>
          <w:t>Chapter 6.2 S</w:t>
        </w:r>
        <w:r w:rsidR="001C7E88" w:rsidRPr="00AC41E0">
          <w:rPr>
            <w:rStyle w:val="Hyperlink"/>
            <w:rFonts w:eastAsia="Calibri" w:cs="Arial"/>
          </w:rPr>
          <w:t>patial data requirements</w:t>
        </w:r>
      </w:hyperlink>
      <w:r w:rsidR="001C7E88" w:rsidRPr="00E46FB0">
        <w:rPr>
          <w:rFonts w:eastAsia="Calibri" w:cs="Arial"/>
        </w:rPr>
        <w:t>)</w:t>
      </w:r>
    </w:p>
    <w:p w14:paraId="3378CF68" w14:textId="1B395FDA" w:rsidR="001C7E88" w:rsidRPr="00AC41E0" w:rsidRDefault="00903D98" w:rsidP="00D978A4">
      <w:pPr>
        <w:pStyle w:val="DCSbodytext"/>
        <w:numPr>
          <w:ilvl w:val="0"/>
          <w:numId w:val="86"/>
        </w:numPr>
        <w:spacing w:after="120"/>
        <w:ind w:left="1228"/>
        <w:rPr>
          <w:rFonts w:eastAsia="Calibri" w:cs="Arial"/>
        </w:rPr>
      </w:pPr>
      <w:r w:rsidRPr="00AC41E0">
        <w:rPr>
          <w:rFonts w:eastAsia="Calibri" w:cs="Arial"/>
        </w:rPr>
        <w:t>c</w:t>
      </w:r>
      <w:r w:rsidR="001C7E88" w:rsidRPr="00AC41E0">
        <w:rPr>
          <w:rFonts w:eastAsia="Calibri" w:cs="Arial"/>
        </w:rPr>
        <w:t>alibration of the device</w:t>
      </w:r>
    </w:p>
    <w:p w14:paraId="3CB99D4D" w14:textId="56A128AB" w:rsidR="001C7E88" w:rsidRPr="00AC41E0" w:rsidRDefault="00903D98" w:rsidP="00D978A4">
      <w:pPr>
        <w:pStyle w:val="DCSbodytext"/>
        <w:numPr>
          <w:ilvl w:val="0"/>
          <w:numId w:val="86"/>
        </w:numPr>
        <w:spacing w:after="120"/>
        <w:ind w:left="1228"/>
        <w:rPr>
          <w:rFonts w:eastAsia="Calibri" w:cs="Arial"/>
        </w:rPr>
      </w:pPr>
      <w:r w:rsidRPr="00AC41E0">
        <w:rPr>
          <w:rFonts w:eastAsia="Calibri" w:cs="Arial"/>
        </w:rPr>
        <w:lastRenderedPageBreak/>
        <w:t>p</w:t>
      </w:r>
      <w:r w:rsidR="001C7E88" w:rsidRPr="00AC41E0">
        <w:rPr>
          <w:rFonts w:eastAsia="Calibri" w:cs="Arial"/>
        </w:rPr>
        <w:t>ower source (e.g. battery)</w:t>
      </w:r>
    </w:p>
    <w:p w14:paraId="37D4689E" w14:textId="0565E0B8" w:rsidR="001C7E88" w:rsidRPr="00AC41E0" w:rsidRDefault="00903D98" w:rsidP="00D978A4">
      <w:pPr>
        <w:pStyle w:val="DCSbodytext"/>
        <w:numPr>
          <w:ilvl w:val="0"/>
          <w:numId w:val="86"/>
        </w:numPr>
        <w:spacing w:after="120"/>
        <w:ind w:left="1228"/>
        <w:rPr>
          <w:rFonts w:eastAsia="Calibri" w:cs="Arial"/>
        </w:rPr>
      </w:pPr>
      <w:r w:rsidRPr="00AC41E0">
        <w:rPr>
          <w:rFonts w:eastAsia="Calibri" w:cs="Arial"/>
        </w:rPr>
        <w:t>w</w:t>
      </w:r>
      <w:r w:rsidR="001C7E88" w:rsidRPr="00AC41E0">
        <w:rPr>
          <w:rFonts w:eastAsia="Calibri" w:cs="Arial"/>
        </w:rPr>
        <w:t>ireless network (e.g. 5G enabled)</w:t>
      </w:r>
    </w:p>
    <w:p w14:paraId="6ABE4079" w14:textId="0572F55D" w:rsidR="001C7E88" w:rsidRPr="00AC41E0" w:rsidRDefault="00903D98" w:rsidP="00D978A4">
      <w:pPr>
        <w:pStyle w:val="DCSbodytext"/>
        <w:numPr>
          <w:ilvl w:val="0"/>
          <w:numId w:val="86"/>
        </w:numPr>
        <w:ind w:left="1228"/>
        <w:rPr>
          <w:rFonts w:eastAsia="Calibri" w:cs="Arial"/>
        </w:rPr>
      </w:pPr>
      <w:r w:rsidRPr="00AC41E0">
        <w:rPr>
          <w:rFonts w:eastAsia="Calibri" w:cs="Arial"/>
        </w:rPr>
        <w:t>p</w:t>
      </w:r>
      <w:r w:rsidR="001C7E88" w:rsidRPr="00AC41E0">
        <w:rPr>
          <w:rFonts w:eastAsia="Calibri" w:cs="Arial"/>
        </w:rPr>
        <w:t>rotocols for storing and sharing the data.</w:t>
      </w:r>
    </w:p>
    <w:p w14:paraId="76619C54" w14:textId="0DC8E48B" w:rsidR="00C73933" w:rsidRPr="00AC41E0" w:rsidRDefault="00C73933" w:rsidP="00003096">
      <w:pPr>
        <w:pStyle w:val="DCSbodytext"/>
        <w:numPr>
          <w:ilvl w:val="0"/>
          <w:numId w:val="109"/>
        </w:numPr>
        <w:rPr>
          <w:rFonts w:eastAsia="Calibri"/>
        </w:rPr>
      </w:pPr>
      <w:r w:rsidRPr="00AC41E0">
        <w:rPr>
          <w:b/>
        </w:rPr>
        <w:t>Determine your d</w:t>
      </w:r>
      <w:r w:rsidRPr="00AC41E0">
        <w:rPr>
          <w:rFonts w:eastAsia="Calibri"/>
          <w:b/>
        </w:rPr>
        <w:t>ata model</w:t>
      </w:r>
    </w:p>
    <w:p w14:paraId="19B73D8D" w14:textId="4CBECA54" w:rsidR="00C73933" w:rsidRPr="00AC41E0" w:rsidRDefault="00C73933" w:rsidP="0022369F">
      <w:pPr>
        <w:pStyle w:val="DCSbodytext"/>
        <w:rPr>
          <w:rFonts w:eastAsia="Calibri" w:cs="Arial"/>
        </w:rPr>
      </w:pPr>
      <w:r w:rsidRPr="00AC41E0">
        <w:rPr>
          <w:rFonts w:cs="Arial"/>
        </w:rPr>
        <w:t xml:space="preserve">The data model/structure should be clearly defined and documented. </w:t>
      </w:r>
      <w:r w:rsidRPr="00AC41E0">
        <w:rPr>
          <w:rFonts w:eastAsia="Calibri" w:cs="Arial"/>
        </w:rPr>
        <w:t xml:space="preserve">Seek common data models for the exposure of data, either privately or where appropriate publicly. They can </w:t>
      </w:r>
      <w:r w:rsidR="003B1A0F" w:rsidRPr="00AC41E0">
        <w:rPr>
          <w:rFonts w:eastAsia="Calibri" w:cs="Arial"/>
        </w:rPr>
        <w:t>adhere</w:t>
      </w:r>
      <w:r w:rsidRPr="00AC41E0">
        <w:rPr>
          <w:rFonts w:eastAsia="Calibri" w:cs="Arial"/>
        </w:rPr>
        <w:t xml:space="preserve"> to international standards or emerging frameworks developed by other international bodies (e.g. FIWare and Open &amp; Agile Smart Cities for Smart City-related IoT data). Other sector</w:t>
      </w:r>
      <w:r w:rsidR="00336FA8" w:rsidRPr="00AC41E0">
        <w:rPr>
          <w:rFonts w:eastAsia="Calibri" w:cs="Arial"/>
        </w:rPr>
        <w:t>-</w:t>
      </w:r>
      <w:r w:rsidRPr="00AC41E0">
        <w:rPr>
          <w:rFonts w:eastAsia="Calibri" w:cs="Arial"/>
        </w:rPr>
        <w:t>specific standards and guidelines relating to safety, security</w:t>
      </w:r>
      <w:r w:rsidR="000A54C0" w:rsidRPr="00AC41E0">
        <w:rPr>
          <w:rFonts w:eastAsia="Calibri" w:cs="Arial"/>
        </w:rPr>
        <w:t>,</w:t>
      </w:r>
      <w:r w:rsidRPr="00AC41E0">
        <w:rPr>
          <w:rFonts w:eastAsia="Calibri" w:cs="Arial"/>
        </w:rPr>
        <w:t xml:space="preserve"> and privacy should also be used. </w:t>
      </w:r>
    </w:p>
    <w:p w14:paraId="25C10797" w14:textId="77777777" w:rsidR="00C73933" w:rsidRPr="00AC41E0" w:rsidRDefault="00C73933" w:rsidP="00C73933">
      <w:pPr>
        <w:pStyle w:val="DCSbodytext"/>
        <w:rPr>
          <w:rFonts w:eastAsia="Calibri" w:cs="Arial"/>
        </w:rPr>
      </w:pPr>
      <w:r w:rsidRPr="00AC41E0">
        <w:rPr>
          <w:rFonts w:cs="Arial"/>
        </w:rPr>
        <w:t xml:space="preserve">The information security classification of the data should also be determined and recorded in accordance with the </w:t>
      </w:r>
      <w:hyperlink r:id="rId75" w:history="1">
        <w:r w:rsidRPr="00AC41E0">
          <w:rPr>
            <w:rStyle w:val="Hyperlink"/>
            <w:rFonts w:cs="Arial"/>
          </w:rPr>
          <w:t>NSW Government Information Classification, Labelling and Handling Guidelines</w:t>
        </w:r>
      </w:hyperlink>
      <w:r w:rsidRPr="00E46FB0">
        <w:rPr>
          <w:rFonts w:cs="Arial"/>
        </w:rPr>
        <w:t>.</w:t>
      </w:r>
    </w:p>
    <w:p w14:paraId="0B2BE4B1" w14:textId="7A91E080" w:rsidR="009E2B80" w:rsidRPr="00AC41E0" w:rsidRDefault="007F26B7" w:rsidP="00003096">
      <w:pPr>
        <w:pStyle w:val="DCSbodytext"/>
        <w:numPr>
          <w:ilvl w:val="0"/>
          <w:numId w:val="109"/>
        </w:numPr>
        <w:rPr>
          <w:rFonts w:eastAsia="Calibri"/>
          <w:b/>
        </w:rPr>
      </w:pPr>
      <w:r w:rsidRPr="00AC41E0">
        <w:rPr>
          <w:b/>
        </w:rPr>
        <w:t>Define d</w:t>
      </w:r>
      <w:r w:rsidR="009E2B80" w:rsidRPr="00AC41E0">
        <w:rPr>
          <w:rFonts w:eastAsia="Calibri"/>
          <w:b/>
        </w:rPr>
        <w:t>ata quality</w:t>
      </w:r>
    </w:p>
    <w:p w14:paraId="28535E8C" w14:textId="77777777" w:rsidR="009A73A5" w:rsidRPr="00AC41E0" w:rsidRDefault="001C7E88" w:rsidP="001061D6">
      <w:pPr>
        <w:pStyle w:val="DCSbodytext"/>
        <w:rPr>
          <w:rFonts w:cs="Arial"/>
        </w:rPr>
      </w:pPr>
      <w:r w:rsidRPr="00AC41E0">
        <w:rPr>
          <w:rFonts w:cs="Arial"/>
        </w:rPr>
        <w:t xml:space="preserve">The data specification should also define data quality requirements to ensure the data generated in your IoT-enabled project is fit for purpose. </w:t>
      </w:r>
    </w:p>
    <w:p w14:paraId="1914504F" w14:textId="2B0AAC89" w:rsidR="001C7E88" w:rsidRPr="00AC41E0" w:rsidRDefault="001C7E88" w:rsidP="001061D6">
      <w:pPr>
        <w:pStyle w:val="DCSbodytext"/>
      </w:pPr>
      <w:r w:rsidRPr="00AC41E0">
        <w:rPr>
          <w:rFonts w:cs="Arial"/>
          <w:shd w:val="clear" w:color="auto" w:fill="FFFFFF"/>
        </w:rPr>
        <w:t xml:space="preserve">Organisations </w:t>
      </w:r>
      <w:r w:rsidR="004331FB" w:rsidRPr="00AC41E0">
        <w:rPr>
          <w:rFonts w:cs="Arial"/>
          <w:shd w:val="clear" w:color="auto" w:fill="FFFFFF"/>
        </w:rPr>
        <w:t>need to</w:t>
      </w:r>
      <w:r w:rsidRPr="00AC41E0">
        <w:rPr>
          <w:rFonts w:cs="Arial"/>
          <w:shd w:val="clear" w:color="auto" w:fill="FFFFFF"/>
        </w:rPr>
        <w:t xml:space="preserve"> establish well</w:t>
      </w:r>
      <w:r w:rsidR="004E79C7" w:rsidRPr="00AC41E0">
        <w:rPr>
          <w:rFonts w:cs="Arial"/>
          <w:shd w:val="clear" w:color="auto" w:fill="FFFFFF"/>
        </w:rPr>
        <w:t>-</w:t>
      </w:r>
      <w:r w:rsidRPr="00AC41E0">
        <w:rPr>
          <w:rFonts w:cs="Arial"/>
          <w:shd w:val="clear" w:color="auto" w:fill="FFFFFF"/>
        </w:rPr>
        <w:t>governed processes to ensure their IoT data is of sufficient quality for use and re-use.</w:t>
      </w:r>
      <w:r w:rsidR="004331FB" w:rsidRPr="00AC41E0">
        <w:rPr>
          <w:rFonts w:cs="Arial"/>
          <w:shd w:val="clear" w:color="auto" w:fill="FFFFFF"/>
        </w:rPr>
        <w:t xml:space="preserve"> D</w:t>
      </w:r>
      <w:r w:rsidRPr="00AC41E0">
        <w:rPr>
          <w:rFonts w:cs="Arial"/>
          <w:shd w:val="clear" w:color="auto" w:fill="FFFFFF"/>
        </w:rPr>
        <w:t>ata quality assessment processes should be automated</w:t>
      </w:r>
      <w:r w:rsidR="004331FB" w:rsidRPr="00AC41E0">
        <w:rPr>
          <w:rFonts w:cs="Arial"/>
          <w:shd w:val="clear" w:color="auto" w:fill="FFFFFF"/>
        </w:rPr>
        <w:t xml:space="preserve"> (where possible)</w:t>
      </w:r>
      <w:r w:rsidRPr="00AC41E0">
        <w:rPr>
          <w:rFonts w:cs="Arial"/>
          <w:shd w:val="clear" w:color="auto" w:fill="FFFFFF"/>
        </w:rPr>
        <w:t xml:space="preserve">. </w:t>
      </w:r>
    </w:p>
    <w:p w14:paraId="2F145B54" w14:textId="77777777" w:rsidR="00FE5F48" w:rsidRPr="00AC41E0" w:rsidRDefault="00FE5F48" w:rsidP="00FE5F48">
      <w:pPr>
        <w:pStyle w:val="Heading3"/>
        <w:rPr>
          <w:rFonts w:ascii="Arial" w:hAnsi="Arial"/>
        </w:rPr>
      </w:pPr>
      <w:bookmarkStart w:id="496" w:name="_Design_and_configuration"/>
      <w:bookmarkStart w:id="497" w:name="_Toc65760502"/>
      <w:bookmarkEnd w:id="496"/>
      <w:r w:rsidRPr="00AC41E0">
        <w:rPr>
          <w:rFonts w:ascii="Arial" w:hAnsi="Arial"/>
        </w:rPr>
        <w:t>Design and configuration for data collection</w:t>
      </w:r>
      <w:bookmarkEnd w:id="497"/>
      <w:r w:rsidRPr="00AC41E0">
        <w:rPr>
          <w:rFonts w:ascii="Arial" w:hAnsi="Arial"/>
        </w:rPr>
        <w:t xml:space="preserve"> </w:t>
      </w:r>
    </w:p>
    <w:p w14:paraId="3B0077A3" w14:textId="77777777" w:rsidR="00FE5F48" w:rsidRPr="00AC41E0" w:rsidRDefault="00FE5F48" w:rsidP="00FE5F48">
      <w:pPr>
        <w:pStyle w:val="DCSbodytext"/>
        <w:rPr>
          <w:rFonts w:cs="Arial"/>
        </w:rPr>
      </w:pPr>
      <w:r w:rsidRPr="00AC41E0">
        <w:rPr>
          <w:rFonts w:cs="Arial"/>
        </w:rPr>
        <w:t xml:space="preserve">You may need to work with service providers to design devices and software configuration so that the required data can be collected and used. </w:t>
      </w:r>
    </w:p>
    <w:p w14:paraId="1BFA850E" w14:textId="77777777" w:rsidR="00FE5F48" w:rsidRPr="00AC41E0" w:rsidRDefault="00FE5F48" w:rsidP="00FE5F48">
      <w:pPr>
        <w:pStyle w:val="DCSbodytext"/>
        <w:rPr>
          <w:rFonts w:cs="Arial"/>
          <w:szCs w:val="22"/>
        </w:rPr>
      </w:pPr>
      <w:r w:rsidRPr="00AC41E0">
        <w:rPr>
          <w:rFonts w:cs="Arial"/>
          <w:szCs w:val="22"/>
        </w:rPr>
        <w:t xml:space="preserve">IoT sensors are precisely calibrated devices designed to gather specific data over time. The number and frequency of observations multiplied by the number of sensors will dictate the rate at which data is accumulated and the storage needs. </w:t>
      </w:r>
    </w:p>
    <w:p w14:paraId="3B59B7D9" w14:textId="7DF7E2C2" w:rsidR="001C7E88" w:rsidRPr="00AC41E0" w:rsidRDefault="00E56BA1" w:rsidP="009A41BE">
      <w:pPr>
        <w:pStyle w:val="Heading3"/>
        <w:rPr>
          <w:rFonts w:ascii="Arial" w:hAnsi="Arial"/>
          <w:shd w:val="clear" w:color="auto" w:fill="FFFFFF"/>
        </w:rPr>
      </w:pPr>
      <w:bookmarkStart w:id="498" w:name="_Toc65760503"/>
      <w:r w:rsidRPr="00AC41E0">
        <w:rPr>
          <w:rFonts w:ascii="Arial" w:hAnsi="Arial"/>
        </w:rPr>
        <w:t>Data analytics</w:t>
      </w:r>
      <w:bookmarkEnd w:id="498"/>
      <w:r w:rsidRPr="00AC41E0">
        <w:rPr>
          <w:rFonts w:ascii="Arial" w:hAnsi="Arial"/>
        </w:rPr>
        <w:t xml:space="preserve"> </w:t>
      </w:r>
      <w:r w:rsidR="001C7E88" w:rsidRPr="00AC41E0">
        <w:rPr>
          <w:rFonts w:ascii="Arial" w:hAnsi="Arial"/>
          <w:shd w:val="clear" w:color="auto" w:fill="FFFFFF"/>
        </w:rPr>
        <w:t xml:space="preserve"> </w:t>
      </w:r>
    </w:p>
    <w:p w14:paraId="7BEECECE" w14:textId="77777777" w:rsidR="001C7E88" w:rsidRPr="00AC41E0" w:rsidRDefault="001C7E88" w:rsidP="001061D6">
      <w:pPr>
        <w:pStyle w:val="DCSbodytext"/>
        <w:spacing w:after="120"/>
        <w:rPr>
          <w:rFonts w:cs="Arial"/>
          <w:shd w:val="clear" w:color="auto" w:fill="FFFFFF"/>
        </w:rPr>
      </w:pPr>
      <w:r w:rsidRPr="00AC41E0">
        <w:rPr>
          <w:rFonts w:cs="Arial"/>
          <w:shd w:val="clear" w:color="auto" w:fill="FFFFFF"/>
        </w:rPr>
        <w:t>The analytics you use will depend on the outcomes you wish to achieve. These may be:</w:t>
      </w:r>
    </w:p>
    <w:p w14:paraId="13809FE9" w14:textId="77777777" w:rsidR="001C7E88" w:rsidRPr="00AC41E0" w:rsidRDefault="001C7E88" w:rsidP="00D978A4">
      <w:pPr>
        <w:pStyle w:val="DCSbodytext"/>
        <w:numPr>
          <w:ilvl w:val="0"/>
          <w:numId w:val="97"/>
        </w:numPr>
        <w:spacing w:after="120"/>
      </w:pPr>
      <w:r w:rsidRPr="00AC41E0">
        <w:t>descriptive (‘What happened?’)</w:t>
      </w:r>
    </w:p>
    <w:p w14:paraId="488376D9" w14:textId="77777777" w:rsidR="001C7E88" w:rsidRPr="00AC41E0" w:rsidRDefault="001C7E88" w:rsidP="00D978A4">
      <w:pPr>
        <w:pStyle w:val="DCSbodytext"/>
        <w:numPr>
          <w:ilvl w:val="0"/>
          <w:numId w:val="97"/>
        </w:numPr>
        <w:spacing w:after="120"/>
      </w:pPr>
      <w:r w:rsidRPr="00AC41E0">
        <w:t>diagnostic (‘Why did it happen?’)</w:t>
      </w:r>
    </w:p>
    <w:p w14:paraId="76734E6D" w14:textId="17346BC6" w:rsidR="001C7E88" w:rsidRPr="00AC41E0" w:rsidRDefault="001C7E88" w:rsidP="00D978A4">
      <w:pPr>
        <w:pStyle w:val="DCSbodytext"/>
        <w:numPr>
          <w:ilvl w:val="0"/>
          <w:numId w:val="97"/>
        </w:numPr>
        <w:spacing w:after="120"/>
      </w:pPr>
      <w:r w:rsidRPr="00AC41E0">
        <w:t>predictive (‘What will happen?’)</w:t>
      </w:r>
    </w:p>
    <w:p w14:paraId="4094A582" w14:textId="51173929" w:rsidR="001C7E88" w:rsidRPr="00AC41E0" w:rsidRDefault="001C7E88" w:rsidP="00D978A4">
      <w:pPr>
        <w:pStyle w:val="DCSbodytext"/>
        <w:numPr>
          <w:ilvl w:val="0"/>
          <w:numId w:val="97"/>
        </w:numPr>
        <w:spacing w:after="120"/>
      </w:pPr>
      <w:r w:rsidRPr="00AC41E0">
        <w:t>prescriptive (‘What action could be taken?’)</w:t>
      </w:r>
    </w:p>
    <w:p w14:paraId="219E3416" w14:textId="061BBD1B" w:rsidR="001C7E88" w:rsidRPr="00AC41E0" w:rsidRDefault="001C7E88" w:rsidP="00D978A4">
      <w:pPr>
        <w:pStyle w:val="DCSbodytext"/>
        <w:numPr>
          <w:ilvl w:val="0"/>
          <w:numId w:val="97"/>
        </w:numPr>
      </w:pPr>
      <w:r w:rsidRPr="00AC41E0">
        <w:t>cognitive (‘What is the best action?’).</w:t>
      </w:r>
    </w:p>
    <w:p w14:paraId="18778235" w14:textId="031277CC" w:rsidR="00A73118" w:rsidRPr="00AC41E0" w:rsidRDefault="001C7E88" w:rsidP="001C7E88">
      <w:pPr>
        <w:pStyle w:val="DCSbodytext"/>
        <w:ind w:left="868"/>
        <w:rPr>
          <w:rFonts w:cs="Arial"/>
        </w:rPr>
      </w:pPr>
      <w:r w:rsidRPr="00AC41E0">
        <w:rPr>
          <w:rFonts w:cs="Arial"/>
        </w:rPr>
        <w:t xml:space="preserve">Consider if the analytics and presentation of insights provided with the device or sensor meet your needs or if you will need to develop a bespoke solution. </w:t>
      </w:r>
    </w:p>
    <w:p w14:paraId="4D40EAE3" w14:textId="323438E5" w:rsidR="001C7E88" w:rsidRPr="00AC41E0" w:rsidRDefault="001C7E88" w:rsidP="001C7E88">
      <w:pPr>
        <w:pStyle w:val="DCSbodytext"/>
        <w:ind w:left="868"/>
        <w:rPr>
          <w:rFonts w:cs="Arial"/>
        </w:rPr>
      </w:pPr>
      <w:r w:rsidRPr="00AC41E0">
        <w:rPr>
          <w:rFonts w:cs="Arial"/>
        </w:rPr>
        <w:lastRenderedPageBreak/>
        <w:t xml:space="preserve">If you intend to use data from another source, consider how you will integrate that data with your IoT data. </w:t>
      </w:r>
    </w:p>
    <w:p w14:paraId="4E7FD776" w14:textId="539B6981" w:rsidR="001C7E88" w:rsidRPr="00AC41E0" w:rsidRDefault="00BA3599" w:rsidP="009A41BE">
      <w:pPr>
        <w:pStyle w:val="Heading3"/>
        <w:rPr>
          <w:rFonts w:ascii="Arial" w:hAnsi="Arial"/>
        </w:rPr>
      </w:pPr>
      <w:bookmarkStart w:id="499" w:name="_Toc65760504"/>
      <w:r w:rsidRPr="00AC41E0">
        <w:rPr>
          <w:rFonts w:ascii="Arial" w:hAnsi="Arial"/>
        </w:rPr>
        <w:t>Data retention</w:t>
      </w:r>
      <w:bookmarkEnd w:id="499"/>
      <w:r w:rsidRPr="00AC41E0">
        <w:rPr>
          <w:rFonts w:ascii="Arial" w:hAnsi="Arial"/>
        </w:rPr>
        <w:t xml:space="preserve"> </w:t>
      </w:r>
    </w:p>
    <w:p w14:paraId="1979B145" w14:textId="768A799D" w:rsidR="001C7E88" w:rsidRPr="00AC41E0" w:rsidRDefault="001C7E88" w:rsidP="009A41BE">
      <w:pPr>
        <w:pStyle w:val="DCSbodytext"/>
        <w:spacing w:after="120"/>
        <w:ind w:left="868"/>
      </w:pPr>
      <w:r w:rsidRPr="00AC41E0">
        <w:t>IoT generates vast amounts of data</w:t>
      </w:r>
      <w:r w:rsidR="002E31CD" w:rsidRPr="00AC41E0">
        <w:t xml:space="preserve"> depend</w:t>
      </w:r>
      <w:r w:rsidR="00054E84" w:rsidRPr="00AC41E0">
        <w:t>ing</w:t>
      </w:r>
      <w:r w:rsidR="002E31CD" w:rsidRPr="00AC41E0">
        <w:t xml:space="preserve"> on the size of sensor networks and </w:t>
      </w:r>
      <w:r w:rsidR="00966D93" w:rsidRPr="00AC41E0">
        <w:t xml:space="preserve">the </w:t>
      </w:r>
      <w:r w:rsidR="002E31CD" w:rsidRPr="00AC41E0">
        <w:t>complexity and frequency of observations</w:t>
      </w:r>
      <w:r w:rsidRPr="00AC41E0">
        <w:t>. To avoid large storage costs (or to minimise</w:t>
      </w:r>
      <w:r w:rsidR="00B94BB1" w:rsidRPr="00AC41E0">
        <w:t xml:space="preserve"> the</w:t>
      </w:r>
      <w:r w:rsidRPr="00AC41E0">
        <w:t xml:space="preserve"> risk of premature data destruction) conduct a business, risk, accountability and customer needs assessment to identify considerations that apply to the retention and destruction of data. This </w:t>
      </w:r>
      <w:r w:rsidR="00CC44F6" w:rsidRPr="00AC41E0">
        <w:t>i</w:t>
      </w:r>
      <w:r w:rsidRPr="00AC41E0">
        <w:t>nclude</w:t>
      </w:r>
      <w:r w:rsidR="00CC44F6" w:rsidRPr="00AC41E0">
        <w:t>s</w:t>
      </w:r>
      <w:r w:rsidRPr="00AC41E0">
        <w:t xml:space="preserve"> considerations such as:</w:t>
      </w:r>
    </w:p>
    <w:p w14:paraId="4326CD95" w14:textId="6DC8F1F8" w:rsidR="0099675A" w:rsidRPr="00AC41E0" w:rsidRDefault="001C7E88" w:rsidP="0099675A">
      <w:pPr>
        <w:pStyle w:val="DCSbodytext"/>
        <w:numPr>
          <w:ilvl w:val="0"/>
          <w:numId w:val="87"/>
        </w:numPr>
        <w:spacing w:after="120"/>
        <w:ind w:left="1228"/>
        <w:rPr>
          <w:szCs w:val="22"/>
        </w:rPr>
      </w:pPr>
      <w:r w:rsidRPr="00AC41E0">
        <w:t xml:space="preserve">Is there personal data in your IoT transmissions? If so, under the </w:t>
      </w:r>
      <w:hyperlink r:id="rId76" w:anchor="/view/act/1998/133" w:history="1">
        <w:r w:rsidR="00D660AE" w:rsidRPr="00AC41E0">
          <w:rPr>
            <w:rStyle w:val="Hyperlink"/>
            <w:i/>
          </w:rPr>
          <w:t>Privacy and Personal Information Protection Act 1998</w:t>
        </w:r>
        <w:r w:rsidR="00D660AE" w:rsidRPr="00AC41E0">
          <w:rPr>
            <w:rStyle w:val="Hyperlink"/>
          </w:rPr>
          <w:t xml:space="preserve"> (NSW)</w:t>
        </w:r>
      </w:hyperlink>
      <w:r w:rsidRPr="00E46FB0">
        <w:t>, personal information should be destroyed as soon as the objective it was collected for is completed</w:t>
      </w:r>
      <w:r w:rsidR="005602C4" w:rsidRPr="00AC41E0">
        <w:t xml:space="preserve"> </w:t>
      </w:r>
      <w:r w:rsidR="00DF34F2" w:rsidRPr="00AC41E0">
        <w:t>(but note that if it</w:t>
      </w:r>
      <w:r w:rsidR="0099675A" w:rsidRPr="00AC41E0">
        <w:t xml:space="preserve"> is a state record</w:t>
      </w:r>
      <w:r w:rsidR="009F2E61" w:rsidRPr="00AC41E0">
        <w:t xml:space="preserve"> then</w:t>
      </w:r>
      <w:r w:rsidR="0099675A" w:rsidRPr="00AC41E0">
        <w:t xml:space="preserve"> the rules in the </w:t>
      </w:r>
      <w:r w:rsidR="0099675A" w:rsidRPr="00AC41E0">
        <w:rPr>
          <w:i/>
          <w:iCs/>
        </w:rPr>
        <w:t>State Records Act 1998</w:t>
      </w:r>
      <w:r w:rsidR="0099675A" w:rsidRPr="00AC41E0">
        <w:t xml:space="preserve"> (NSW) will also need to be considered</w:t>
      </w:r>
      <w:r w:rsidR="00E27695" w:rsidRPr="00AC41E0">
        <w:t>)</w:t>
      </w:r>
      <w:r w:rsidR="0099675A" w:rsidRPr="00AC41E0">
        <w:t>.</w:t>
      </w:r>
    </w:p>
    <w:p w14:paraId="49069532" w14:textId="77777777" w:rsidR="001C7E88" w:rsidRPr="00AC41E0" w:rsidRDefault="001C7E88" w:rsidP="00D978A4">
      <w:pPr>
        <w:pStyle w:val="DCSbodytext"/>
        <w:numPr>
          <w:ilvl w:val="0"/>
          <w:numId w:val="87"/>
        </w:numPr>
        <w:spacing w:after="120"/>
        <w:ind w:left="1228"/>
      </w:pPr>
      <w:r w:rsidRPr="00AC41E0">
        <w:t xml:space="preserve">Are internal or external services dependent on the data? </w:t>
      </w:r>
    </w:p>
    <w:p w14:paraId="1C968AFD" w14:textId="39687832" w:rsidR="001C7E88" w:rsidRPr="00AC41E0" w:rsidRDefault="001C7E88" w:rsidP="00D978A4">
      <w:pPr>
        <w:pStyle w:val="DCSbodytext"/>
        <w:numPr>
          <w:ilvl w:val="0"/>
          <w:numId w:val="87"/>
        </w:numPr>
        <w:spacing w:after="120"/>
        <w:ind w:left="1228"/>
      </w:pPr>
      <w:r w:rsidRPr="00AC41E0">
        <w:t xml:space="preserve">Are very large volumes of data involved? If so, it may </w:t>
      </w:r>
      <w:r w:rsidR="00157EE4" w:rsidRPr="00AC41E0">
        <w:t xml:space="preserve">not be </w:t>
      </w:r>
      <w:r w:rsidRPr="00AC41E0">
        <w:t>economical to maintain the data for long periods of time</w:t>
      </w:r>
      <w:r w:rsidR="00C91CD6" w:rsidRPr="00AC41E0">
        <w:t>. A</w:t>
      </w:r>
      <w:r w:rsidRPr="00AC41E0">
        <w:t>pproaches will be needed to routinely purge data that is not needed for ongoing purposes.</w:t>
      </w:r>
    </w:p>
    <w:p w14:paraId="565ECDFF" w14:textId="77777777" w:rsidR="001C7E88" w:rsidRPr="00AC41E0" w:rsidRDefault="001C7E88" w:rsidP="00D978A4">
      <w:pPr>
        <w:pStyle w:val="DCSbodytext"/>
        <w:numPr>
          <w:ilvl w:val="0"/>
          <w:numId w:val="87"/>
        </w:numPr>
        <w:ind w:left="1228"/>
      </w:pPr>
      <w:r w:rsidRPr="00AC41E0">
        <w:t xml:space="preserve">Are there any audit or accountability requirements applying to your IoT process? </w:t>
      </w:r>
    </w:p>
    <w:p w14:paraId="0E11916C" w14:textId="7E150ADF" w:rsidR="001C7E88" w:rsidRPr="00AC41E0" w:rsidRDefault="00247163" w:rsidP="001C7E88">
      <w:pPr>
        <w:pStyle w:val="DCSbodytext"/>
        <w:ind w:left="868"/>
      </w:pPr>
      <w:r w:rsidRPr="00AC41E0">
        <w:t>T</w:t>
      </w:r>
      <w:r w:rsidR="001C7E88" w:rsidRPr="00AC41E0">
        <w:t xml:space="preserve">he </w:t>
      </w:r>
      <w:hyperlink r:id="rId77" w:anchor="/view/act/1998/17" w:history="1">
        <w:r w:rsidR="001C7E88" w:rsidRPr="00AC41E0">
          <w:rPr>
            <w:rStyle w:val="Hyperlink"/>
            <w:i/>
          </w:rPr>
          <w:t>State Records Act</w:t>
        </w:r>
        <w:r w:rsidR="001C7E88" w:rsidRPr="00AC41E0">
          <w:rPr>
            <w:rStyle w:val="Hyperlink"/>
          </w:rPr>
          <w:t xml:space="preserve"> </w:t>
        </w:r>
        <w:r w:rsidR="001C7E88" w:rsidRPr="00AC41E0">
          <w:rPr>
            <w:rStyle w:val="Hyperlink"/>
            <w:i/>
          </w:rPr>
          <w:t>1998</w:t>
        </w:r>
        <w:r w:rsidR="001C7E88" w:rsidRPr="00AC41E0">
          <w:rPr>
            <w:rStyle w:val="Hyperlink"/>
          </w:rPr>
          <w:t xml:space="preserve"> (NSW)</w:t>
        </w:r>
      </w:hyperlink>
      <w:r w:rsidR="001C7E88" w:rsidRPr="00E46FB0">
        <w:t xml:space="preserve"> </w:t>
      </w:r>
      <w:r w:rsidR="0082064A" w:rsidRPr="00AC41E0">
        <w:t xml:space="preserve">sets the rules for </w:t>
      </w:r>
      <w:r w:rsidR="001C7E88" w:rsidRPr="00AC41E0">
        <w:t xml:space="preserve">how long government information needs to be </w:t>
      </w:r>
      <w:r w:rsidR="002E31CD" w:rsidRPr="00AC41E0">
        <w:t>retained</w:t>
      </w:r>
      <w:r w:rsidR="001C7E88" w:rsidRPr="00AC41E0">
        <w:t xml:space="preserve">. Depending on the business purpose of your project, your IoT data will have different legal retention and destruction requirements. Refer to the </w:t>
      </w:r>
      <w:hyperlink r:id="rId78" w:history="1">
        <w:r w:rsidR="001C7E88" w:rsidRPr="00AC41E0">
          <w:rPr>
            <w:rStyle w:val="Hyperlink"/>
          </w:rPr>
          <w:t>NSW State Archives and Records website</w:t>
        </w:r>
      </w:hyperlink>
      <w:r w:rsidR="001C7E88" w:rsidRPr="00E46FB0">
        <w:t xml:space="preserve"> for more information. </w:t>
      </w:r>
    </w:p>
    <w:p w14:paraId="53049148" w14:textId="755AC78F" w:rsidR="001C7E88" w:rsidRPr="00AC41E0" w:rsidRDefault="004D67C7" w:rsidP="001C7E88">
      <w:pPr>
        <w:pStyle w:val="DCSbodytext"/>
        <w:ind w:left="868"/>
      </w:pPr>
      <w:r w:rsidRPr="00AC41E0">
        <w:t>You need to c</w:t>
      </w:r>
      <w:r w:rsidR="00D13A68" w:rsidRPr="00AC41E0">
        <w:t>onsider how to create a cohesive and connected record i</w:t>
      </w:r>
      <w:r w:rsidR="001C7E88" w:rsidRPr="00AC41E0">
        <w:t xml:space="preserve">f </w:t>
      </w:r>
      <w:r w:rsidRPr="00AC41E0">
        <w:t>the</w:t>
      </w:r>
      <w:r w:rsidR="001C7E88" w:rsidRPr="00AC41E0">
        <w:t xml:space="preserve"> IoT data </w:t>
      </w:r>
      <w:r w:rsidRPr="00AC41E0">
        <w:t>needs to be retained for</w:t>
      </w:r>
      <w:r w:rsidR="001C7E88" w:rsidRPr="00AC41E0">
        <w:t xml:space="preserve"> </w:t>
      </w:r>
      <w:r w:rsidR="00966D93" w:rsidRPr="00AC41E0">
        <w:t>a longer-</w:t>
      </w:r>
      <w:r w:rsidR="001C7E88" w:rsidRPr="00AC41E0">
        <w:t xml:space="preserve">term. This can be difficult to achieve between generations of sensors. To create a persistent, longitudinal record, you </w:t>
      </w:r>
      <w:r w:rsidR="00A62D6C" w:rsidRPr="00AC41E0">
        <w:t>may need to reduce the frequency or precision of observations in order to match time</w:t>
      </w:r>
      <w:r w:rsidR="00E1123B" w:rsidRPr="00AC41E0">
        <w:t>-</w:t>
      </w:r>
      <w:r w:rsidR="00A62D6C" w:rsidRPr="00AC41E0">
        <w:t>series at an equivalent level of detail</w:t>
      </w:r>
      <w:r w:rsidR="001C7E88" w:rsidRPr="00AC41E0">
        <w:t xml:space="preserve">. Document any decisions of this type in a data quality statement.  </w:t>
      </w:r>
    </w:p>
    <w:p w14:paraId="71466812" w14:textId="2162E5AF" w:rsidR="001C7E88" w:rsidRPr="00AC41E0" w:rsidRDefault="001C7E88" w:rsidP="001C7E88">
      <w:pPr>
        <w:pStyle w:val="DCSbodytext"/>
        <w:ind w:left="868"/>
      </w:pPr>
      <w:r w:rsidRPr="00AC41E0">
        <w:t xml:space="preserve">All retention and destruction decisions need to be authorised and documented </w:t>
      </w:r>
      <w:r w:rsidR="00547011" w:rsidRPr="00AC41E0">
        <w:t>to achieve</w:t>
      </w:r>
      <w:r w:rsidRPr="00AC41E0">
        <w:t xml:space="preserve"> transparency and accountability over the destruction of government information assets. </w:t>
      </w:r>
    </w:p>
    <w:p w14:paraId="3513707A" w14:textId="7387D281" w:rsidR="001C7E88" w:rsidRPr="00AC41E0" w:rsidRDefault="00B83C6D" w:rsidP="001C7E88">
      <w:pPr>
        <w:pStyle w:val="DCSbodytext"/>
        <w:ind w:left="868"/>
      </w:pPr>
      <w:r w:rsidRPr="00E46FB0">
        <w:rPr>
          <w:i/>
          <w:noProof/>
        </w:rPr>
        <w:drawing>
          <wp:anchor distT="0" distB="0" distL="114300" distR="114300" simplePos="0" relativeHeight="251658264" behindDoc="1" locked="0" layoutInCell="1" allowOverlap="1" wp14:anchorId="4C230627" wp14:editId="1C6B0964">
            <wp:simplePos x="0" y="0"/>
            <wp:positionH relativeFrom="margin">
              <wp:posOffset>558165</wp:posOffset>
            </wp:positionH>
            <wp:positionV relativeFrom="paragraph">
              <wp:posOffset>34925</wp:posOffset>
            </wp:positionV>
            <wp:extent cx="465455" cy="465455"/>
            <wp:effectExtent l="0" t="0" r="0" b="0"/>
            <wp:wrapTight wrapText="bothSides">
              <wp:wrapPolygon edited="0">
                <wp:start x="7956" y="0"/>
                <wp:lineTo x="1768" y="3536"/>
                <wp:lineTo x="0" y="8840"/>
                <wp:lineTo x="1768" y="15029"/>
                <wp:lineTo x="7072" y="20333"/>
                <wp:lineTo x="12377" y="20333"/>
                <wp:lineTo x="18565" y="15029"/>
                <wp:lineTo x="19449" y="9724"/>
                <wp:lineTo x="16797" y="3536"/>
                <wp:lineTo x="12377" y="0"/>
                <wp:lineTo x="7956" y="0"/>
              </wp:wrapPolygon>
            </wp:wrapTight>
            <wp:docPr id="31" name="Graphic 31"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65455" cy="465455"/>
                    </a:xfrm>
                    <a:prstGeom prst="rect">
                      <a:avLst/>
                    </a:prstGeom>
                  </pic:spPr>
                </pic:pic>
              </a:graphicData>
            </a:graphic>
            <wp14:sizeRelH relativeFrom="margin">
              <wp14:pctWidth>0</wp14:pctWidth>
            </wp14:sizeRelH>
            <wp14:sizeRelV relativeFrom="margin">
              <wp14:pctHeight>0</wp14:pctHeight>
            </wp14:sizeRelV>
          </wp:anchor>
        </w:drawing>
      </w:r>
      <w:r w:rsidRPr="00E46FB0">
        <w:rPr>
          <w:i/>
          <w:iCs/>
        </w:rPr>
        <w:t>Tip:</w:t>
      </w:r>
      <w:r w:rsidRPr="00E46FB0">
        <w:t xml:space="preserve"> </w:t>
      </w:r>
      <w:r w:rsidR="001C7E88" w:rsidRPr="00AC41E0">
        <w:rPr>
          <w:i/>
          <w:iCs/>
        </w:rPr>
        <w:t xml:space="preserve">If you are working with multiple service providers, make </w:t>
      </w:r>
      <w:r w:rsidR="00DA3E0B" w:rsidRPr="00AC41E0">
        <w:rPr>
          <w:i/>
          <w:iCs/>
        </w:rPr>
        <w:t xml:space="preserve">sure </w:t>
      </w:r>
      <w:r w:rsidR="00D2162C" w:rsidRPr="00AC41E0">
        <w:rPr>
          <w:i/>
          <w:iCs/>
        </w:rPr>
        <w:t>they</w:t>
      </w:r>
      <w:r w:rsidR="001C7E88" w:rsidRPr="00AC41E0">
        <w:rPr>
          <w:i/>
          <w:iCs/>
        </w:rPr>
        <w:t xml:space="preserve"> can </w:t>
      </w:r>
      <w:r w:rsidR="00D2162C" w:rsidRPr="00AC41E0">
        <w:rPr>
          <w:i/>
          <w:iCs/>
        </w:rPr>
        <w:t xml:space="preserve">all </w:t>
      </w:r>
      <w:r w:rsidR="001C7E88" w:rsidRPr="00AC41E0">
        <w:rPr>
          <w:i/>
          <w:iCs/>
        </w:rPr>
        <w:t>support and deploy the data retention and destruction frameworks you require for your project.</w:t>
      </w:r>
    </w:p>
    <w:p w14:paraId="20807F00" w14:textId="4757D20D" w:rsidR="00772D12" w:rsidRPr="00AC41E0" w:rsidRDefault="00772D12" w:rsidP="009A41BE">
      <w:pPr>
        <w:pStyle w:val="Heading3"/>
        <w:rPr>
          <w:rFonts w:ascii="Arial" w:hAnsi="Arial"/>
        </w:rPr>
      </w:pPr>
      <w:bookmarkStart w:id="500" w:name="_Toc65760505"/>
      <w:r w:rsidRPr="00AC41E0">
        <w:rPr>
          <w:rFonts w:ascii="Arial" w:hAnsi="Arial"/>
        </w:rPr>
        <w:t>Data storage</w:t>
      </w:r>
      <w:bookmarkEnd w:id="500"/>
    </w:p>
    <w:p w14:paraId="5E7BB61F" w14:textId="75BC1409" w:rsidR="005B507B" w:rsidRPr="00AC41E0" w:rsidRDefault="004515D0" w:rsidP="0022369F">
      <w:pPr>
        <w:pStyle w:val="DCSbodytext"/>
        <w:rPr>
          <w:rFonts w:cs="Arial"/>
        </w:rPr>
      </w:pPr>
      <w:r w:rsidRPr="00AC41E0">
        <w:rPr>
          <w:rFonts w:cs="Arial"/>
        </w:rPr>
        <w:t>You need to decide</w:t>
      </w:r>
      <w:r w:rsidR="005A6E54" w:rsidRPr="00AC41E0">
        <w:rPr>
          <w:rFonts w:cs="Arial"/>
        </w:rPr>
        <w:t xml:space="preserve"> on</w:t>
      </w:r>
      <w:r w:rsidRPr="00AC41E0">
        <w:rPr>
          <w:rFonts w:cs="Arial"/>
        </w:rPr>
        <w:t xml:space="preserve"> suitable storage </w:t>
      </w:r>
      <w:r w:rsidR="00BE0CF6" w:rsidRPr="00AC41E0">
        <w:rPr>
          <w:rFonts w:cs="Arial"/>
        </w:rPr>
        <w:t xml:space="preserve">for </w:t>
      </w:r>
      <w:r w:rsidRPr="00AC41E0">
        <w:rPr>
          <w:rFonts w:cs="Arial"/>
        </w:rPr>
        <w:t xml:space="preserve">data generated by your IoT initiative. </w:t>
      </w:r>
      <w:r w:rsidR="005B507B" w:rsidRPr="00AC41E0">
        <w:t xml:space="preserve">Storage requirements for data produced via IoT networks will grow over time </w:t>
      </w:r>
      <w:r w:rsidR="00A636A7" w:rsidRPr="00AC41E0">
        <w:t>so</w:t>
      </w:r>
      <w:r w:rsidR="005B507B" w:rsidRPr="00AC41E0">
        <w:t xml:space="preserve"> storage models need to be considered as a key dependency in long</w:t>
      </w:r>
      <w:r w:rsidR="00A35609" w:rsidRPr="00AC41E0">
        <w:t>-</w:t>
      </w:r>
      <w:r w:rsidR="005B507B" w:rsidRPr="00AC41E0">
        <w:t xml:space="preserve">term solutions.  </w:t>
      </w:r>
    </w:p>
    <w:p w14:paraId="5E2279AE" w14:textId="7E9F0CF2" w:rsidR="0027132D" w:rsidRPr="00AC41E0" w:rsidRDefault="001C7E88" w:rsidP="0022369F">
      <w:pPr>
        <w:pStyle w:val="DCSbodytext"/>
        <w:spacing w:after="120"/>
        <w:rPr>
          <w:rFonts w:cs="Arial"/>
        </w:rPr>
      </w:pPr>
      <w:r w:rsidRPr="00AC41E0">
        <w:rPr>
          <w:rFonts w:cs="Arial"/>
        </w:rPr>
        <w:t>The storage you choose will depend on your data requirements. Considerations include</w:t>
      </w:r>
      <w:r w:rsidR="0027132D" w:rsidRPr="00AC41E0">
        <w:rPr>
          <w:rFonts w:cs="Arial"/>
        </w:rPr>
        <w:t>:</w:t>
      </w:r>
    </w:p>
    <w:p w14:paraId="610D7259" w14:textId="36C09E52" w:rsidR="0027132D" w:rsidRPr="00AC41E0" w:rsidRDefault="001C7E88" w:rsidP="00003096">
      <w:pPr>
        <w:pStyle w:val="DCSbodytext"/>
        <w:numPr>
          <w:ilvl w:val="0"/>
          <w:numId w:val="110"/>
        </w:numPr>
        <w:spacing w:after="120"/>
        <w:rPr>
          <w:rFonts w:cs="Arial"/>
        </w:rPr>
      </w:pPr>
      <w:r w:rsidRPr="00AC41E0">
        <w:rPr>
          <w:rFonts w:cs="Arial"/>
        </w:rPr>
        <w:t>how quickly the insights are needed (e.g. real-time)</w:t>
      </w:r>
    </w:p>
    <w:p w14:paraId="286992B6" w14:textId="168673C0" w:rsidR="0027132D" w:rsidRPr="00AC41E0" w:rsidRDefault="001C7E88" w:rsidP="00003096">
      <w:pPr>
        <w:pStyle w:val="DCSbodytext"/>
        <w:numPr>
          <w:ilvl w:val="0"/>
          <w:numId w:val="110"/>
        </w:numPr>
        <w:spacing w:after="120"/>
        <w:rPr>
          <w:rFonts w:cs="Arial"/>
        </w:rPr>
      </w:pPr>
      <w:r w:rsidRPr="00AC41E0">
        <w:rPr>
          <w:rFonts w:cs="Arial"/>
        </w:rPr>
        <w:lastRenderedPageBreak/>
        <w:t>type of data and the bandwidth required (e.g. video)</w:t>
      </w:r>
    </w:p>
    <w:p w14:paraId="58062F00" w14:textId="64E0B135" w:rsidR="0027132D" w:rsidRPr="00AC41E0" w:rsidRDefault="001C7E88" w:rsidP="00003096">
      <w:pPr>
        <w:pStyle w:val="DCSbodytext"/>
        <w:numPr>
          <w:ilvl w:val="0"/>
          <w:numId w:val="110"/>
        </w:numPr>
        <w:spacing w:after="120"/>
        <w:rPr>
          <w:rFonts w:cs="Arial"/>
        </w:rPr>
      </w:pPr>
      <w:r w:rsidRPr="00AC41E0">
        <w:rPr>
          <w:rFonts w:cs="Arial"/>
        </w:rPr>
        <w:t xml:space="preserve">level of connectivity (e.g. offline processing) </w:t>
      </w:r>
    </w:p>
    <w:p w14:paraId="4CE354AB" w14:textId="1AFB388A" w:rsidR="001C7E88" w:rsidRPr="00AC41E0" w:rsidRDefault="001C7E88" w:rsidP="00003096">
      <w:pPr>
        <w:pStyle w:val="DCSbodytext"/>
        <w:numPr>
          <w:ilvl w:val="0"/>
          <w:numId w:val="110"/>
        </w:numPr>
        <w:rPr>
          <w:rFonts w:cs="Arial"/>
        </w:rPr>
      </w:pPr>
      <w:r w:rsidRPr="00AC41E0">
        <w:rPr>
          <w:rFonts w:cs="Arial"/>
        </w:rPr>
        <w:t xml:space="preserve">level of security. </w:t>
      </w:r>
    </w:p>
    <w:p w14:paraId="4833FF75" w14:textId="77777777" w:rsidR="001C7E88" w:rsidRPr="00AC41E0" w:rsidRDefault="001C7E88" w:rsidP="0022369F">
      <w:pPr>
        <w:pStyle w:val="DCSbodytext"/>
        <w:spacing w:after="120"/>
        <w:ind w:left="851"/>
        <w:rPr>
          <w:rFonts w:cs="Arial"/>
        </w:rPr>
      </w:pPr>
      <w:r w:rsidRPr="00AC41E0">
        <w:rPr>
          <w:rFonts w:cs="Arial"/>
        </w:rPr>
        <w:t>Storage will also be impacted by IoT data flows. Various data flow scenarios are possible:</w:t>
      </w:r>
    </w:p>
    <w:p w14:paraId="0DDC1575" w14:textId="797C93A3" w:rsidR="001C7E88" w:rsidRPr="00AC41E0" w:rsidRDefault="004E4FEB" w:rsidP="00D978A4">
      <w:pPr>
        <w:pStyle w:val="DCSbodytext"/>
        <w:numPr>
          <w:ilvl w:val="0"/>
          <w:numId w:val="99"/>
        </w:numPr>
        <w:spacing w:after="120"/>
      </w:pPr>
      <w:r w:rsidRPr="00AC41E0">
        <w:t>s</w:t>
      </w:r>
      <w:r w:rsidR="001C7E88" w:rsidRPr="00AC41E0">
        <w:t>ensors send their data to a central cloud server for analysis and storage</w:t>
      </w:r>
    </w:p>
    <w:p w14:paraId="79364ACA" w14:textId="70773B7F" w:rsidR="00C27DF3" w:rsidRPr="00AC41E0" w:rsidRDefault="00C27DF3" w:rsidP="00D978A4">
      <w:pPr>
        <w:pStyle w:val="DCSbodytext"/>
        <w:numPr>
          <w:ilvl w:val="0"/>
          <w:numId w:val="99"/>
        </w:numPr>
        <w:spacing w:after="120"/>
      </w:pPr>
      <w:r w:rsidRPr="00AC41E0">
        <w:t xml:space="preserve">sensor data may be pre-processed (cleaned, filtered and/or aggregated) by local devices before sending </w:t>
      </w:r>
      <w:r w:rsidR="00966D93" w:rsidRPr="00AC41E0">
        <w:t xml:space="preserve">it </w:t>
      </w:r>
      <w:r w:rsidRPr="00AC41E0">
        <w:t>to a remote server</w:t>
      </w:r>
    </w:p>
    <w:p w14:paraId="7951A575" w14:textId="36A6C298" w:rsidR="001C7E88" w:rsidRPr="00AC41E0" w:rsidRDefault="004E4FEB" w:rsidP="00D978A4">
      <w:pPr>
        <w:pStyle w:val="DCSbodytext"/>
        <w:numPr>
          <w:ilvl w:val="0"/>
          <w:numId w:val="99"/>
        </w:numPr>
      </w:pPr>
      <w:r w:rsidRPr="00AC41E0">
        <w:t>d</w:t>
      </w:r>
      <w:r w:rsidR="001C7E88" w:rsidRPr="00AC41E0">
        <w:t>ata flows from peer to peer for example</w:t>
      </w:r>
      <w:r w:rsidR="00966D93" w:rsidRPr="00AC41E0">
        <w:t>,</w:t>
      </w:r>
      <w:r w:rsidR="001C7E88" w:rsidRPr="00AC41E0">
        <w:t xml:space="preserve"> a sensor supplying data to an actuator.  </w:t>
      </w:r>
    </w:p>
    <w:p w14:paraId="3CEB98BB" w14:textId="7439E395" w:rsidR="00035E1B" w:rsidRPr="00AC41E0" w:rsidRDefault="004960BE" w:rsidP="0022369F">
      <w:pPr>
        <w:pStyle w:val="DCSbodytext"/>
      </w:pPr>
      <w:r w:rsidRPr="00AC41E0">
        <w:t>The fidelity of wireless communications between devices is also important in understanding what the requirements for the architecture are, and where processing should be done. Reliability of transmissions is an important consideration.</w:t>
      </w:r>
    </w:p>
    <w:p w14:paraId="369EA53D" w14:textId="645B35CE" w:rsidR="00AC34FA" w:rsidRPr="00E46FB0" w:rsidRDefault="00AC34FA" w:rsidP="0022369F">
      <w:pPr>
        <w:pStyle w:val="DCSbodytext"/>
      </w:pPr>
      <w:r w:rsidRPr="00AC41E0">
        <w:t xml:space="preserve">In terms of data retention and associated storage costs, one approach is to engineer </w:t>
      </w:r>
      <w:r w:rsidR="00A06B11" w:rsidRPr="00AC41E0">
        <w:t xml:space="preserve">so </w:t>
      </w:r>
      <w:r w:rsidRPr="00AC41E0">
        <w:t>that sensor data</w:t>
      </w:r>
      <w:r w:rsidR="00A06B11" w:rsidRPr="00AC41E0">
        <w:t xml:space="preserve"> is only transmitted</w:t>
      </w:r>
      <w:r w:rsidRPr="00AC41E0">
        <w:t xml:space="preserve"> </w:t>
      </w:r>
      <w:r w:rsidR="00A06B11" w:rsidRPr="00AC41E0">
        <w:t>when</w:t>
      </w:r>
      <w:r w:rsidRPr="00AC41E0">
        <w:t xml:space="preserve"> there is change from the previous transmitted value. This requires some simple edge processing capability </w:t>
      </w:r>
      <w:r w:rsidR="00421000" w:rsidRPr="00AC41E0">
        <w:t>and</w:t>
      </w:r>
      <w:r w:rsidRPr="00AC41E0">
        <w:t xml:space="preserve"> i</w:t>
      </w:r>
      <w:r w:rsidR="00421000" w:rsidRPr="00AC41E0">
        <w:t>s</w:t>
      </w:r>
      <w:r w:rsidRPr="00AC41E0">
        <w:t xml:space="preserve"> increasingly becoming more common </w:t>
      </w:r>
      <w:r w:rsidR="00421000" w:rsidRPr="00AC41E0">
        <w:t>practice</w:t>
      </w:r>
      <w:r w:rsidRPr="00AC41E0">
        <w:t>.</w:t>
      </w:r>
    </w:p>
    <w:p w14:paraId="046B51D6" w14:textId="36840E9F" w:rsidR="001A05D1" w:rsidRPr="00AC41E0" w:rsidRDefault="001A05D1" w:rsidP="0022369F">
      <w:pPr>
        <w:pStyle w:val="DCSbodytext"/>
        <w:rPr>
          <w:rFonts w:cs="Arial"/>
        </w:rPr>
      </w:pPr>
      <w:r w:rsidRPr="00AC41E0">
        <w:rPr>
          <w:rFonts w:cs="Arial"/>
        </w:rPr>
        <w:t xml:space="preserve">Storage options include </w:t>
      </w:r>
      <w:r w:rsidR="00342832" w:rsidRPr="00AC41E0">
        <w:rPr>
          <w:rFonts w:cs="Arial"/>
        </w:rPr>
        <w:t>c</w:t>
      </w:r>
      <w:r w:rsidRPr="00AC41E0">
        <w:rPr>
          <w:rFonts w:cs="Arial"/>
        </w:rPr>
        <w:t xml:space="preserve">loud, </w:t>
      </w:r>
      <w:r w:rsidR="004F424F" w:rsidRPr="00AC41E0">
        <w:rPr>
          <w:rFonts w:cs="Arial"/>
        </w:rPr>
        <w:t>g</w:t>
      </w:r>
      <w:r w:rsidRPr="00AC41E0">
        <w:rPr>
          <w:rFonts w:cs="Arial"/>
        </w:rPr>
        <w:t xml:space="preserve">overnment </w:t>
      </w:r>
      <w:r w:rsidR="004F424F" w:rsidRPr="00AC41E0">
        <w:rPr>
          <w:rFonts w:cs="Arial"/>
        </w:rPr>
        <w:t>d</w:t>
      </w:r>
      <w:r w:rsidRPr="00AC41E0">
        <w:rPr>
          <w:rFonts w:cs="Arial"/>
        </w:rPr>
        <w:t xml:space="preserve">ata </w:t>
      </w:r>
      <w:r w:rsidR="004F424F" w:rsidRPr="00AC41E0">
        <w:rPr>
          <w:rFonts w:cs="Arial"/>
        </w:rPr>
        <w:t>c</w:t>
      </w:r>
      <w:r w:rsidRPr="00AC41E0">
        <w:rPr>
          <w:rFonts w:cs="Arial"/>
        </w:rPr>
        <w:t xml:space="preserve">entres, and </w:t>
      </w:r>
      <w:r w:rsidR="004F424F" w:rsidRPr="00AC41E0">
        <w:rPr>
          <w:rFonts w:cs="Arial"/>
        </w:rPr>
        <w:t>f</w:t>
      </w:r>
      <w:r w:rsidRPr="00AC41E0">
        <w:rPr>
          <w:rFonts w:cs="Arial"/>
        </w:rPr>
        <w:t xml:space="preserve">og or </w:t>
      </w:r>
      <w:r w:rsidR="004F424F" w:rsidRPr="00AC41E0">
        <w:rPr>
          <w:rFonts w:cs="Arial"/>
        </w:rPr>
        <w:t>e</w:t>
      </w:r>
      <w:r w:rsidRPr="00AC41E0">
        <w:rPr>
          <w:rFonts w:cs="Arial"/>
        </w:rPr>
        <w:t>dge computin</w:t>
      </w:r>
      <w:r w:rsidR="00E961BC" w:rsidRPr="00AC41E0">
        <w:rPr>
          <w:rFonts w:cs="Arial"/>
        </w:rPr>
        <w:t>g</w:t>
      </w:r>
      <w:r w:rsidRPr="00AC41E0">
        <w:rPr>
          <w:rFonts w:cs="Arial"/>
        </w:rPr>
        <w:t xml:space="preserve">. The latter </w:t>
      </w:r>
      <w:r w:rsidR="00966D93" w:rsidRPr="00AC41E0">
        <w:rPr>
          <w:rFonts w:cs="Arial"/>
        </w:rPr>
        <w:t xml:space="preserve">is </w:t>
      </w:r>
      <w:r w:rsidRPr="00AC41E0">
        <w:rPr>
          <w:rFonts w:cs="Arial"/>
        </w:rPr>
        <w:t>becoming increasingly important for IoT data as they tackle some of the issues associated with latency, bandwidth, security</w:t>
      </w:r>
      <w:r w:rsidR="00966D93" w:rsidRPr="00AC41E0">
        <w:rPr>
          <w:rFonts w:cs="Arial"/>
        </w:rPr>
        <w:t>,</w:t>
      </w:r>
      <w:r w:rsidRPr="00AC41E0">
        <w:rPr>
          <w:rFonts w:cs="Arial"/>
        </w:rPr>
        <w:t xml:space="preserve"> and offline access.</w:t>
      </w:r>
      <w:r w:rsidR="008D4543" w:rsidRPr="00AC41E0">
        <w:rPr>
          <w:rFonts w:cs="Arial"/>
        </w:rPr>
        <w:t xml:space="preserve"> They are considered below.</w:t>
      </w:r>
    </w:p>
    <w:p w14:paraId="475F7B41" w14:textId="278BE399" w:rsidR="00053062" w:rsidRPr="00AC41E0" w:rsidRDefault="00053062" w:rsidP="0022369F">
      <w:pPr>
        <w:pStyle w:val="DCSbodytext"/>
        <w:ind w:left="1843" w:hanging="975"/>
        <w:rPr>
          <w:rFonts w:cs="Arial"/>
        </w:rPr>
      </w:pPr>
      <w:r w:rsidRPr="00E46FB0">
        <w:rPr>
          <w:i/>
          <w:noProof/>
        </w:rPr>
        <w:drawing>
          <wp:anchor distT="0" distB="0" distL="114300" distR="114300" simplePos="0" relativeHeight="251658265" behindDoc="1" locked="0" layoutInCell="1" allowOverlap="1" wp14:anchorId="5D146F4E" wp14:editId="51540F54">
            <wp:simplePos x="0" y="0"/>
            <wp:positionH relativeFrom="margin">
              <wp:posOffset>624205</wp:posOffset>
            </wp:positionH>
            <wp:positionV relativeFrom="paragraph">
              <wp:posOffset>32948</wp:posOffset>
            </wp:positionV>
            <wp:extent cx="465455" cy="465455"/>
            <wp:effectExtent l="0" t="0" r="0" b="0"/>
            <wp:wrapTight wrapText="bothSides">
              <wp:wrapPolygon edited="0">
                <wp:start x="7956" y="0"/>
                <wp:lineTo x="1768" y="3536"/>
                <wp:lineTo x="0" y="8840"/>
                <wp:lineTo x="1768" y="15029"/>
                <wp:lineTo x="7072" y="20333"/>
                <wp:lineTo x="12377" y="20333"/>
                <wp:lineTo x="18565" y="15029"/>
                <wp:lineTo x="19449" y="9724"/>
                <wp:lineTo x="16797" y="3536"/>
                <wp:lineTo x="12377" y="0"/>
                <wp:lineTo x="7956" y="0"/>
              </wp:wrapPolygon>
            </wp:wrapTight>
            <wp:docPr id="531754470" name="Graphic 531754470"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65455" cy="465455"/>
                    </a:xfrm>
                    <a:prstGeom prst="rect">
                      <a:avLst/>
                    </a:prstGeom>
                  </pic:spPr>
                </pic:pic>
              </a:graphicData>
            </a:graphic>
            <wp14:sizeRelH relativeFrom="margin">
              <wp14:pctWidth>0</wp14:pctWidth>
            </wp14:sizeRelH>
            <wp14:sizeRelV relativeFrom="margin">
              <wp14:pctHeight>0</wp14:pctHeight>
            </wp14:sizeRelV>
          </wp:anchor>
        </w:drawing>
      </w:r>
      <w:r w:rsidRPr="00E46FB0">
        <w:rPr>
          <w:rFonts w:cs="Arial"/>
          <w:i/>
          <w:iCs/>
        </w:rPr>
        <w:t xml:space="preserve">Tip: IoT environments may not only produce data but also consume data </w:t>
      </w:r>
      <w:r w:rsidR="00B52C8A" w:rsidRPr="00E46FB0">
        <w:rPr>
          <w:rFonts w:cs="Arial"/>
          <w:i/>
          <w:iCs/>
        </w:rPr>
        <w:t>from</w:t>
      </w:r>
      <w:r w:rsidRPr="00AC41E0">
        <w:rPr>
          <w:rFonts w:cs="Arial"/>
          <w:i/>
          <w:iCs/>
        </w:rPr>
        <w:t xml:space="preserve"> </w:t>
      </w:r>
      <w:r w:rsidR="00EE4543" w:rsidRPr="00AC41E0">
        <w:rPr>
          <w:rFonts w:cs="Arial"/>
          <w:i/>
          <w:iCs/>
        </w:rPr>
        <w:t>other</w:t>
      </w:r>
      <w:r w:rsidR="00C957B9" w:rsidRPr="00AC41E0">
        <w:rPr>
          <w:rFonts w:cs="Arial"/>
          <w:i/>
          <w:iCs/>
        </w:rPr>
        <w:t xml:space="preserve"> sources</w:t>
      </w:r>
      <w:r w:rsidRPr="00AC41E0">
        <w:rPr>
          <w:rFonts w:cs="Arial"/>
          <w:i/>
          <w:iCs/>
        </w:rPr>
        <w:t xml:space="preserve">. </w:t>
      </w:r>
      <w:r w:rsidR="008E77AE" w:rsidRPr="00AC41E0">
        <w:rPr>
          <w:rFonts w:cs="Arial"/>
          <w:i/>
          <w:iCs/>
        </w:rPr>
        <w:t>If this applies to your circumstances</w:t>
      </w:r>
      <w:r w:rsidR="00B52C8A" w:rsidRPr="00AC41E0">
        <w:rPr>
          <w:rFonts w:cs="Arial"/>
          <w:i/>
          <w:iCs/>
        </w:rPr>
        <w:t xml:space="preserve">, </w:t>
      </w:r>
      <w:r w:rsidR="00976BC2" w:rsidRPr="00AC41E0">
        <w:rPr>
          <w:rFonts w:cs="Arial"/>
          <w:i/>
          <w:iCs/>
        </w:rPr>
        <w:t>f</w:t>
      </w:r>
      <w:r w:rsidR="00187023" w:rsidRPr="00AC41E0">
        <w:rPr>
          <w:rFonts w:cs="Arial"/>
          <w:i/>
          <w:iCs/>
        </w:rPr>
        <w:t>actor this into your</w:t>
      </w:r>
      <w:r w:rsidR="00976BC2" w:rsidRPr="00AC41E0">
        <w:rPr>
          <w:rFonts w:cs="Arial"/>
          <w:i/>
          <w:iCs/>
        </w:rPr>
        <w:t xml:space="preserve"> data</w:t>
      </w:r>
      <w:r w:rsidR="00187023" w:rsidRPr="00AC41E0">
        <w:rPr>
          <w:rFonts w:cs="Arial"/>
          <w:i/>
          <w:iCs/>
        </w:rPr>
        <w:t xml:space="preserve"> storage arrangement</w:t>
      </w:r>
      <w:r w:rsidR="00976BC2" w:rsidRPr="00AC41E0">
        <w:rPr>
          <w:rFonts w:cs="Arial"/>
          <w:i/>
          <w:iCs/>
        </w:rPr>
        <w:t>s.</w:t>
      </w:r>
    </w:p>
    <w:p w14:paraId="7125D442" w14:textId="6A26C20E" w:rsidR="007E4923" w:rsidRPr="00AC41E0" w:rsidRDefault="007E4923" w:rsidP="009A41BE">
      <w:pPr>
        <w:pStyle w:val="Heading4"/>
        <w:rPr>
          <w:rFonts w:ascii="Arial" w:hAnsi="Arial"/>
        </w:rPr>
      </w:pPr>
      <w:bookmarkStart w:id="501" w:name="_Cloud_storage"/>
      <w:bookmarkEnd w:id="501"/>
      <w:r w:rsidRPr="00AC41E0">
        <w:rPr>
          <w:rFonts w:ascii="Arial" w:hAnsi="Arial"/>
        </w:rPr>
        <w:t>Cloud storage</w:t>
      </w:r>
    </w:p>
    <w:p w14:paraId="650800B8" w14:textId="2A7DBD90" w:rsidR="00205A15" w:rsidRPr="00AC41E0" w:rsidRDefault="001C7E88" w:rsidP="0022369F">
      <w:pPr>
        <w:pStyle w:val="DCSbodytext"/>
      </w:pPr>
      <w:r w:rsidRPr="00AC41E0">
        <w:t xml:space="preserve">Cloud </w:t>
      </w:r>
      <w:r w:rsidR="00C957B9" w:rsidRPr="00AC41E0">
        <w:t xml:space="preserve">servers are </w:t>
      </w:r>
      <w:r w:rsidRPr="00AC41E0">
        <w:t>a necessary environment for managing and storing the huge volumes of data generated by IoT devices.</w:t>
      </w:r>
      <w:r w:rsidR="001D2B3A" w:rsidRPr="00AC41E0">
        <w:t xml:space="preserve"> </w:t>
      </w:r>
      <w:r w:rsidRPr="00AC41E0">
        <w:rPr>
          <w:shd w:val="clear" w:color="auto" w:fill="FFFFFF"/>
        </w:rPr>
        <w:t xml:space="preserve">Leveraging </w:t>
      </w:r>
      <w:r w:rsidR="00CF4AC2" w:rsidRPr="00AC41E0">
        <w:rPr>
          <w:shd w:val="clear" w:color="auto" w:fill="FFFFFF"/>
        </w:rPr>
        <w:t xml:space="preserve">the </w:t>
      </w:r>
      <w:r w:rsidRPr="00AC41E0">
        <w:rPr>
          <w:shd w:val="clear" w:color="auto" w:fill="FFFFFF"/>
        </w:rPr>
        <w:t>cloud is essential for data storage, easy sharing, and accessibility.</w:t>
      </w:r>
      <w:r w:rsidRPr="00AC41E0">
        <w:t xml:space="preserve"> Choosing cloud-based platforms can help to scale IoT initiatives</w:t>
      </w:r>
      <w:r w:rsidR="008F74CE" w:rsidRPr="00AC41E0">
        <w:t xml:space="preserve"> but</w:t>
      </w:r>
      <w:r w:rsidRPr="00AC41E0">
        <w:t xml:space="preserve"> there may be additional costs associated with accessing </w:t>
      </w:r>
      <w:r w:rsidR="003C21B7" w:rsidRPr="00AC41E0">
        <w:t>and</w:t>
      </w:r>
      <w:r w:rsidRPr="00AC41E0">
        <w:t xml:space="preserve"> processing stored data.</w:t>
      </w:r>
      <w:r w:rsidR="000607BE" w:rsidRPr="00AC41E0">
        <w:t xml:space="preserve"> </w:t>
      </w:r>
    </w:p>
    <w:p w14:paraId="7E12D8EF" w14:textId="26D784A6" w:rsidR="001C7E88" w:rsidRPr="00AC41E0" w:rsidRDefault="00902546" w:rsidP="00CD0873">
      <w:pPr>
        <w:pStyle w:val="DCSbodytext"/>
        <w:rPr>
          <w:shd w:val="clear" w:color="auto" w:fill="FFFFFF"/>
        </w:rPr>
      </w:pPr>
      <w:r w:rsidRPr="00AC41E0">
        <w:t xml:space="preserve">The </w:t>
      </w:r>
      <w:hyperlink r:id="rId79" w:history="1">
        <w:r w:rsidRPr="00AC41E0">
          <w:rPr>
            <w:rStyle w:val="Hyperlink"/>
          </w:rPr>
          <w:t>NSW Government Cloud Policy</w:t>
        </w:r>
      </w:hyperlink>
      <w:r w:rsidRPr="00E46FB0">
        <w:t xml:space="preserve"> allows</w:t>
      </w:r>
      <w:r w:rsidRPr="00AC41E0">
        <w:t xml:space="preserve"> NSW Government agencies to store data in the cloud as long as the agency has considered the risks of the approach and selects a supplier of cloud storage services that can address those risks. </w:t>
      </w:r>
      <w:r w:rsidR="001C7E88" w:rsidRPr="00AC41E0">
        <w:rPr>
          <w:shd w:val="clear" w:color="auto" w:fill="FFFFFF"/>
        </w:rPr>
        <w:t xml:space="preserve">If you </w:t>
      </w:r>
      <w:r w:rsidR="008D75C2" w:rsidRPr="00AC41E0">
        <w:rPr>
          <w:shd w:val="clear" w:color="auto" w:fill="FFFFFF"/>
        </w:rPr>
        <w:t xml:space="preserve">want </w:t>
      </w:r>
      <w:r w:rsidR="001C7E88" w:rsidRPr="00AC41E0">
        <w:rPr>
          <w:shd w:val="clear" w:color="auto" w:fill="FFFFFF"/>
        </w:rPr>
        <w:t xml:space="preserve">to use a cloud service provider recognised by </w:t>
      </w:r>
      <w:hyperlink r:id="rId80" w:history="1">
        <w:r w:rsidR="001C7E88" w:rsidRPr="00AC41E0">
          <w:rPr>
            <w:rStyle w:val="Hyperlink"/>
            <w:shd w:val="clear" w:color="auto" w:fill="FFFFFF"/>
          </w:rPr>
          <w:t>buy.nsw</w:t>
        </w:r>
      </w:hyperlink>
      <w:r w:rsidR="001C7E88" w:rsidRPr="00E46FB0">
        <w:rPr>
          <w:rStyle w:val="CommentReference"/>
        </w:rPr>
        <w:t xml:space="preserve"> </w:t>
      </w:r>
      <w:r w:rsidR="001C7E88" w:rsidRPr="00AC41E0">
        <w:rPr>
          <w:shd w:val="clear" w:color="auto" w:fill="FFFFFF"/>
        </w:rPr>
        <w:t>to centralise your IoT data management</w:t>
      </w:r>
      <w:r w:rsidR="00CD0873" w:rsidRPr="00AC41E0">
        <w:rPr>
          <w:shd w:val="clear" w:color="auto" w:fill="FFFFFF"/>
        </w:rPr>
        <w:t xml:space="preserve">, </w:t>
      </w:r>
      <w:r w:rsidR="001C7E88" w:rsidRPr="00AC41E0">
        <w:t>ensure there is</w:t>
      </w:r>
      <w:r w:rsidR="00E45937" w:rsidRPr="00AC41E0">
        <w:t xml:space="preserve"> </w:t>
      </w:r>
      <w:r w:rsidR="001C7E88" w:rsidRPr="00AC41E0">
        <w:t xml:space="preserve">direct bi-directional device connectivity, </w:t>
      </w:r>
      <w:r w:rsidR="001C7E88" w:rsidRPr="00AC41E0">
        <w:rPr>
          <w:shd w:val="clear" w:color="auto" w:fill="FFFFFF"/>
        </w:rPr>
        <w:t xml:space="preserve">collaboration between hardware and cloud providers to </w:t>
      </w:r>
      <w:r w:rsidR="00E80B0C" w:rsidRPr="00AC41E0">
        <w:rPr>
          <w:shd w:val="clear" w:color="auto" w:fill="FFFFFF"/>
        </w:rPr>
        <w:t xml:space="preserve">achieve </w:t>
      </w:r>
      <w:r w:rsidR="001C7E88" w:rsidRPr="00AC41E0">
        <w:rPr>
          <w:shd w:val="clear" w:color="auto" w:fill="FFFFFF"/>
        </w:rPr>
        <w:t>seamless end-to-end integration</w:t>
      </w:r>
      <w:r w:rsidR="00BB1DAB" w:rsidRPr="00AC41E0">
        <w:rPr>
          <w:shd w:val="clear" w:color="auto" w:fill="FFFFFF"/>
        </w:rPr>
        <w:t>,</w:t>
      </w:r>
      <w:r w:rsidR="00E80B0C" w:rsidRPr="00AC41E0">
        <w:rPr>
          <w:shd w:val="clear" w:color="auto" w:fill="FFFFFF"/>
        </w:rPr>
        <w:t xml:space="preserve"> </w:t>
      </w:r>
      <w:r w:rsidR="00BB1DAB" w:rsidRPr="00AC41E0">
        <w:rPr>
          <w:shd w:val="clear" w:color="auto" w:fill="FFFFFF"/>
        </w:rPr>
        <w:t>or</w:t>
      </w:r>
      <w:r w:rsidR="001C7E88" w:rsidRPr="00AC41E0">
        <w:rPr>
          <w:shd w:val="clear" w:color="auto" w:fill="FFFFFF"/>
        </w:rPr>
        <w:t xml:space="preserve"> at a minimum, build a forwarding layer from the device-hosted cloud to the cloud service provider</w:t>
      </w:r>
      <w:r w:rsidR="00E80B0C" w:rsidRPr="00AC41E0">
        <w:rPr>
          <w:shd w:val="clear" w:color="auto" w:fill="FFFFFF"/>
        </w:rPr>
        <w:t xml:space="preserve"> </w:t>
      </w:r>
      <w:r w:rsidR="00CD0873" w:rsidRPr="00AC41E0">
        <w:rPr>
          <w:shd w:val="clear" w:color="auto" w:fill="FFFFFF"/>
        </w:rPr>
        <w:t>(</w:t>
      </w:r>
      <w:r w:rsidR="00E80B0C" w:rsidRPr="00AC41E0">
        <w:rPr>
          <w:shd w:val="clear" w:color="auto" w:fill="FFFFFF"/>
        </w:rPr>
        <w:t>if required</w:t>
      </w:r>
      <w:r w:rsidR="00CD0873" w:rsidRPr="00AC41E0">
        <w:rPr>
          <w:shd w:val="clear" w:color="auto" w:fill="FFFFFF"/>
        </w:rPr>
        <w:t>)</w:t>
      </w:r>
      <w:r w:rsidR="001C7E88" w:rsidRPr="00AC41E0">
        <w:rPr>
          <w:shd w:val="clear" w:color="auto" w:fill="FFFFFF"/>
        </w:rPr>
        <w:t>.</w:t>
      </w:r>
    </w:p>
    <w:p w14:paraId="75A3C23B" w14:textId="52FF0AC9" w:rsidR="00933096" w:rsidRPr="00AC41E0" w:rsidRDefault="00933096" w:rsidP="00933096">
      <w:pPr>
        <w:pStyle w:val="DCSbodytext"/>
        <w:rPr>
          <w:shd w:val="clear" w:color="auto" w:fill="FFFFFF"/>
        </w:rPr>
      </w:pPr>
      <w:r w:rsidRPr="00AC41E0">
        <w:rPr>
          <w:shd w:val="clear" w:color="auto" w:fill="FFFFFF"/>
        </w:rPr>
        <w:t xml:space="preserve">Storing data and information in the cloud is allowed under the </w:t>
      </w:r>
      <w:hyperlink r:id="rId81" w:anchor="/view/act/1998/17" w:history="1">
        <w:r w:rsidRPr="00AC41E0">
          <w:rPr>
            <w:rStyle w:val="Hyperlink"/>
            <w:i/>
            <w:iCs/>
            <w:shd w:val="clear" w:color="auto" w:fill="FFFFFF"/>
          </w:rPr>
          <w:t xml:space="preserve">State Records Act 1998 </w:t>
        </w:r>
        <w:r w:rsidRPr="00AC41E0">
          <w:rPr>
            <w:rStyle w:val="Hyperlink"/>
            <w:shd w:val="clear" w:color="auto" w:fill="FFFFFF"/>
          </w:rPr>
          <w:t>(NSW)</w:t>
        </w:r>
      </w:hyperlink>
      <w:r w:rsidRPr="00E46FB0">
        <w:rPr>
          <w:shd w:val="clear" w:color="auto" w:fill="FFFFFF"/>
        </w:rPr>
        <w:t xml:space="preserve"> provided all legal information management responsibilities under the Act are met. </w:t>
      </w:r>
    </w:p>
    <w:p w14:paraId="4365EC0D" w14:textId="1D4D9A90" w:rsidR="00A636B6" w:rsidRPr="00AC41E0" w:rsidRDefault="00F825E4" w:rsidP="0022369F">
      <w:pPr>
        <w:pStyle w:val="DCSbodytext"/>
        <w:ind w:left="1843"/>
        <w:rPr>
          <w:i/>
          <w:color w:val="222222"/>
          <w:shd w:val="clear" w:color="auto" w:fill="FFFFFF"/>
        </w:rPr>
      </w:pPr>
      <w:r w:rsidRPr="00E46FB0">
        <w:rPr>
          <w:i/>
          <w:noProof/>
        </w:rPr>
        <w:lastRenderedPageBreak/>
        <w:drawing>
          <wp:anchor distT="0" distB="0" distL="114300" distR="114300" simplePos="0" relativeHeight="251658267" behindDoc="1" locked="0" layoutInCell="1" allowOverlap="1" wp14:anchorId="31756FD8" wp14:editId="4AC43B29">
            <wp:simplePos x="0" y="0"/>
            <wp:positionH relativeFrom="margin">
              <wp:posOffset>530750</wp:posOffset>
            </wp:positionH>
            <wp:positionV relativeFrom="paragraph">
              <wp:posOffset>497</wp:posOffset>
            </wp:positionV>
            <wp:extent cx="465455" cy="465455"/>
            <wp:effectExtent l="0" t="0" r="0" b="0"/>
            <wp:wrapTight wrapText="bothSides">
              <wp:wrapPolygon edited="0">
                <wp:start x="7956" y="0"/>
                <wp:lineTo x="1768" y="3536"/>
                <wp:lineTo x="0" y="8840"/>
                <wp:lineTo x="1768" y="15029"/>
                <wp:lineTo x="7072" y="20333"/>
                <wp:lineTo x="12377" y="20333"/>
                <wp:lineTo x="18565" y="15029"/>
                <wp:lineTo x="19449" y="9724"/>
                <wp:lineTo x="16797" y="3536"/>
                <wp:lineTo x="12377" y="0"/>
                <wp:lineTo x="7956" y="0"/>
              </wp:wrapPolygon>
            </wp:wrapTight>
            <wp:docPr id="531754479" name="Graphic 531754479"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65455" cy="465455"/>
                    </a:xfrm>
                    <a:prstGeom prst="rect">
                      <a:avLst/>
                    </a:prstGeom>
                  </pic:spPr>
                </pic:pic>
              </a:graphicData>
            </a:graphic>
            <wp14:sizeRelH relativeFrom="margin">
              <wp14:pctWidth>0</wp14:pctWidth>
            </wp14:sizeRelH>
            <wp14:sizeRelV relativeFrom="margin">
              <wp14:pctHeight>0</wp14:pctHeight>
            </wp14:sizeRelV>
          </wp:anchor>
        </w:drawing>
      </w:r>
      <w:r w:rsidR="00933096" w:rsidRPr="00E46FB0">
        <w:rPr>
          <w:shd w:val="clear" w:color="auto" w:fill="FFFFFF"/>
        </w:rPr>
        <w:t xml:space="preserve">Tip: </w:t>
      </w:r>
      <w:hyperlink r:id="rId82" w:history="1">
        <w:r w:rsidR="00677CC3" w:rsidRPr="00E46FB0">
          <w:rPr>
            <w:rStyle w:val="Hyperlink"/>
            <w:i/>
            <w:shd w:val="clear" w:color="auto" w:fill="FFFFFF"/>
          </w:rPr>
          <w:t>buy.nsw</w:t>
        </w:r>
      </w:hyperlink>
      <w:r w:rsidR="00677CC3" w:rsidRPr="00E46FB0">
        <w:rPr>
          <w:rStyle w:val="Hyperlink"/>
          <w:i/>
          <w:sz w:val="16"/>
          <w:szCs w:val="16"/>
          <w:u w:val="none"/>
        </w:rPr>
        <w:t xml:space="preserve"> </w:t>
      </w:r>
      <w:r w:rsidR="001D28CE" w:rsidRPr="00E46FB0">
        <w:rPr>
          <w:i/>
          <w:shd w:val="clear" w:color="auto" w:fill="FFFFFF"/>
        </w:rPr>
        <w:t xml:space="preserve">is a subset of the services available under the </w:t>
      </w:r>
      <w:hyperlink r:id="rId83" w:history="1">
        <w:r w:rsidR="00C42FF0" w:rsidRPr="00E46FB0">
          <w:rPr>
            <w:rStyle w:val="Hyperlink"/>
            <w:i/>
            <w:shd w:val="clear" w:color="auto" w:fill="FFFFFF"/>
          </w:rPr>
          <w:t xml:space="preserve">NSW Government </w:t>
        </w:r>
        <w:r w:rsidR="001D28CE" w:rsidRPr="00AC41E0">
          <w:rPr>
            <w:rStyle w:val="Hyperlink"/>
            <w:i/>
            <w:shd w:val="clear" w:color="auto" w:fill="FFFFFF"/>
          </w:rPr>
          <w:t xml:space="preserve">ICT Services </w:t>
        </w:r>
        <w:r w:rsidR="00C42FF0" w:rsidRPr="00AC41E0">
          <w:rPr>
            <w:rStyle w:val="Hyperlink"/>
            <w:i/>
            <w:shd w:val="clear" w:color="auto" w:fill="FFFFFF"/>
          </w:rPr>
          <w:t>S</w:t>
        </w:r>
        <w:r w:rsidR="001D28CE" w:rsidRPr="00AC41E0">
          <w:rPr>
            <w:rStyle w:val="Hyperlink"/>
            <w:i/>
            <w:shd w:val="clear" w:color="auto" w:fill="FFFFFF"/>
          </w:rPr>
          <w:t>cheme</w:t>
        </w:r>
      </w:hyperlink>
      <w:r w:rsidR="00C42FF0" w:rsidRPr="00E46FB0">
        <w:rPr>
          <w:i/>
          <w:shd w:val="clear" w:color="auto" w:fill="FFFFFF"/>
        </w:rPr>
        <w:t xml:space="preserve"> for procurement</w:t>
      </w:r>
      <w:r w:rsidR="001D28CE" w:rsidRPr="00AC41E0">
        <w:rPr>
          <w:i/>
          <w:shd w:val="clear" w:color="auto" w:fill="FFFFFF"/>
        </w:rPr>
        <w:t xml:space="preserve">. </w:t>
      </w:r>
      <w:r w:rsidR="00800460" w:rsidRPr="00AC41E0">
        <w:rPr>
          <w:i/>
        </w:rPr>
        <w:t xml:space="preserve">Suppliers on the ICT Services scheme may elect to be included in the buy.nsw listing for cloud suppliers. </w:t>
      </w:r>
      <w:r w:rsidR="001D28CE" w:rsidRPr="00AC41E0">
        <w:rPr>
          <w:i/>
          <w:shd w:val="clear" w:color="auto" w:fill="FFFFFF"/>
        </w:rPr>
        <w:t>U</w:t>
      </w:r>
      <w:r w:rsidR="007265CB" w:rsidRPr="00AC41E0">
        <w:rPr>
          <w:i/>
          <w:shd w:val="clear" w:color="auto" w:fill="FFFFFF"/>
        </w:rPr>
        <w:t xml:space="preserve">se of </w:t>
      </w:r>
      <w:r w:rsidR="00800460" w:rsidRPr="00AC41E0">
        <w:rPr>
          <w:i/>
        </w:rPr>
        <w:t>buy.nsw</w:t>
      </w:r>
      <w:r w:rsidR="00677CC3" w:rsidRPr="00AC41E0">
        <w:rPr>
          <w:rStyle w:val="Hyperlink"/>
          <w:i/>
          <w:sz w:val="16"/>
          <w:szCs w:val="16"/>
          <w:u w:val="none"/>
        </w:rPr>
        <w:t xml:space="preserve"> </w:t>
      </w:r>
      <w:r w:rsidR="007265CB" w:rsidRPr="00AC41E0">
        <w:rPr>
          <w:i/>
          <w:shd w:val="clear" w:color="auto" w:fill="FFFFFF"/>
        </w:rPr>
        <w:t xml:space="preserve">is not mandatory. </w:t>
      </w:r>
    </w:p>
    <w:p w14:paraId="4A2A36AB" w14:textId="2B1D1FA4" w:rsidR="001C7E88" w:rsidRPr="00AC41E0" w:rsidRDefault="00F6363A" w:rsidP="00F6363A">
      <w:pPr>
        <w:pStyle w:val="Heading4"/>
        <w:rPr>
          <w:rFonts w:ascii="Arial" w:hAnsi="Arial"/>
        </w:rPr>
      </w:pPr>
      <w:bookmarkStart w:id="502" w:name="_Toc15314851"/>
      <w:bookmarkStart w:id="503" w:name="_Data_centres"/>
      <w:bookmarkEnd w:id="502"/>
      <w:bookmarkEnd w:id="503"/>
      <w:r w:rsidRPr="00AC41E0">
        <w:rPr>
          <w:rFonts w:ascii="Arial" w:hAnsi="Arial"/>
        </w:rPr>
        <w:t>Data centres</w:t>
      </w:r>
      <w:r w:rsidR="001C7E88" w:rsidRPr="00AC41E0">
        <w:rPr>
          <w:rFonts w:ascii="Arial" w:hAnsi="Arial"/>
        </w:rPr>
        <w:tab/>
      </w:r>
    </w:p>
    <w:p w14:paraId="24E58F7D" w14:textId="31B9928C" w:rsidR="00072C65" w:rsidRPr="00AC41E0" w:rsidRDefault="00893F83" w:rsidP="009813F7">
      <w:pPr>
        <w:pStyle w:val="DCSbodytext"/>
      </w:pPr>
      <w:r w:rsidRPr="00AC41E0">
        <w:t>L</w:t>
      </w:r>
      <w:r w:rsidR="00355E6C" w:rsidRPr="00AC41E0">
        <w:t xml:space="preserve">ong term storage of data in data centres </w:t>
      </w:r>
      <w:r w:rsidRPr="00AC41E0">
        <w:t xml:space="preserve">incurs </w:t>
      </w:r>
      <w:r w:rsidR="00355E6C" w:rsidRPr="00AC41E0">
        <w:t>long term cost</w:t>
      </w:r>
      <w:r w:rsidRPr="00AC41E0">
        <w:t>s</w:t>
      </w:r>
      <w:r w:rsidR="00355E6C" w:rsidRPr="00AC41E0">
        <w:t xml:space="preserve"> and may have env</w:t>
      </w:r>
      <w:r w:rsidR="004F2FE2" w:rsidRPr="00AC41E0">
        <w:t>ironmental impacts</w:t>
      </w:r>
      <w:r w:rsidR="001C7E88" w:rsidRPr="00AC41E0">
        <w:t xml:space="preserve">. </w:t>
      </w:r>
      <w:r w:rsidR="00072C65" w:rsidRPr="00AC41E0">
        <w:t>Reducing the amount of data you keep can help minimise any environmental impacts.</w:t>
      </w:r>
      <w:r w:rsidR="007274AB" w:rsidRPr="00AC41E0">
        <w:t xml:space="preserve"> You can do this by i</w:t>
      </w:r>
      <w:r w:rsidR="00072C65" w:rsidRPr="00AC41E0">
        <w:t xml:space="preserve">mplementing the legal data destruction authorisations under the </w:t>
      </w:r>
      <w:hyperlink r:id="rId84" w:anchor="/view/act/1998/17" w:history="1">
        <w:r w:rsidR="00072C65" w:rsidRPr="00AC41E0">
          <w:rPr>
            <w:rStyle w:val="Hyperlink"/>
            <w:i/>
          </w:rPr>
          <w:t>State Records Act</w:t>
        </w:r>
        <w:r w:rsidR="00072C65" w:rsidRPr="00AC41E0">
          <w:rPr>
            <w:rStyle w:val="Hyperlink"/>
          </w:rPr>
          <w:t xml:space="preserve"> </w:t>
        </w:r>
        <w:r w:rsidR="00072C65" w:rsidRPr="00AC41E0">
          <w:rPr>
            <w:rStyle w:val="Hyperlink"/>
            <w:i/>
          </w:rPr>
          <w:t xml:space="preserve">1998 </w:t>
        </w:r>
        <w:r w:rsidR="00072C65" w:rsidRPr="00AC41E0">
          <w:rPr>
            <w:rStyle w:val="Hyperlink"/>
          </w:rPr>
          <w:t>(NSW)</w:t>
        </w:r>
      </w:hyperlink>
      <w:r w:rsidR="00072C65" w:rsidRPr="00E46FB0">
        <w:t xml:space="preserve"> and only keeping IoT data f</w:t>
      </w:r>
      <w:r w:rsidR="00072C65" w:rsidRPr="00AC41E0">
        <w:t>or as long as required to support business, customer and legal requirements.</w:t>
      </w:r>
    </w:p>
    <w:p w14:paraId="77839B38" w14:textId="5E5D58C6" w:rsidR="00072C65" w:rsidRPr="00AC41E0" w:rsidRDefault="00072C65" w:rsidP="00072C65">
      <w:pPr>
        <w:pStyle w:val="DCSbodytext"/>
        <w:spacing w:after="0"/>
      </w:pPr>
    </w:p>
    <w:p w14:paraId="743A9669" w14:textId="41979C4C" w:rsidR="00F6363A" w:rsidRPr="00AC41E0" w:rsidRDefault="00F6363A" w:rsidP="00072C65">
      <w:pPr>
        <w:pStyle w:val="Heading4"/>
        <w:spacing w:before="0"/>
        <w:rPr>
          <w:rFonts w:ascii="Arial" w:hAnsi="Arial"/>
        </w:rPr>
      </w:pPr>
      <w:bookmarkStart w:id="504" w:name="_Toc15314853"/>
      <w:bookmarkEnd w:id="504"/>
      <w:r w:rsidRPr="00AC41E0">
        <w:rPr>
          <w:rFonts w:ascii="Arial" w:hAnsi="Arial"/>
        </w:rPr>
        <w:t xml:space="preserve">Fog computing and </w:t>
      </w:r>
      <w:r w:rsidR="00072C65" w:rsidRPr="00AC41E0">
        <w:rPr>
          <w:rFonts w:ascii="Arial" w:hAnsi="Arial"/>
        </w:rPr>
        <w:t>e</w:t>
      </w:r>
      <w:r w:rsidRPr="00AC41E0">
        <w:rPr>
          <w:rFonts w:ascii="Arial" w:hAnsi="Arial"/>
        </w:rPr>
        <w:t>dge computing</w:t>
      </w:r>
    </w:p>
    <w:p w14:paraId="06A9303C" w14:textId="2178483A" w:rsidR="00F6363A" w:rsidRPr="00AC41E0" w:rsidRDefault="0000023D" w:rsidP="00F6363A">
      <w:pPr>
        <w:pStyle w:val="DCSbodytext"/>
        <w:rPr>
          <w:lang w:eastAsia="en-AU"/>
        </w:rPr>
      </w:pPr>
      <w:r w:rsidRPr="00AC41E0">
        <w:rPr>
          <w:lang w:eastAsia="en-AU"/>
        </w:rPr>
        <w:t>I</w:t>
      </w:r>
      <w:r w:rsidR="00EB7D89" w:rsidRPr="00AC41E0">
        <w:rPr>
          <w:lang w:eastAsia="en-AU"/>
        </w:rPr>
        <w:t>t can be inefficient to stream</w:t>
      </w:r>
      <w:r w:rsidR="00F6363A" w:rsidRPr="00AC41E0">
        <w:rPr>
          <w:lang w:eastAsia="en-AU"/>
        </w:rPr>
        <w:t xml:space="preserve"> the increasing volume and velocity of data generated by IoT sensors and devices to the </w:t>
      </w:r>
      <w:r w:rsidR="00072C65" w:rsidRPr="00AC41E0">
        <w:rPr>
          <w:lang w:eastAsia="en-AU"/>
        </w:rPr>
        <w:t>c</w:t>
      </w:r>
      <w:r w:rsidR="00F6363A" w:rsidRPr="00AC41E0">
        <w:rPr>
          <w:lang w:eastAsia="en-AU"/>
        </w:rPr>
        <w:t xml:space="preserve">loud and </w:t>
      </w:r>
      <w:r w:rsidR="00072C65" w:rsidRPr="00AC41E0">
        <w:rPr>
          <w:lang w:eastAsia="en-AU"/>
        </w:rPr>
        <w:t>d</w:t>
      </w:r>
      <w:r w:rsidR="00F6363A" w:rsidRPr="00AC41E0">
        <w:rPr>
          <w:lang w:eastAsia="en-AU"/>
        </w:rPr>
        <w:t xml:space="preserve">ata </w:t>
      </w:r>
      <w:r w:rsidR="00072C65" w:rsidRPr="00AC41E0">
        <w:rPr>
          <w:lang w:eastAsia="en-AU"/>
        </w:rPr>
        <w:t>c</w:t>
      </w:r>
      <w:r w:rsidR="00F6363A" w:rsidRPr="00AC41E0">
        <w:rPr>
          <w:lang w:eastAsia="en-AU"/>
        </w:rPr>
        <w:t xml:space="preserve">entres. Fog and edge computing involve processing and analysing the data physically close to or within the sensor or device. This is beneficial if </w:t>
      </w:r>
      <w:r w:rsidR="00966D93" w:rsidRPr="00AC41E0">
        <w:rPr>
          <w:lang w:eastAsia="en-AU"/>
        </w:rPr>
        <w:t xml:space="preserve">a </w:t>
      </w:r>
      <w:r w:rsidR="00F6363A" w:rsidRPr="00AC41E0">
        <w:rPr>
          <w:lang w:eastAsia="en-AU"/>
        </w:rPr>
        <w:t>loss of connectivity to the cloud is an issue (e.g. in regional or remote areas), insights are needed in real</w:t>
      </w:r>
      <w:r w:rsidR="00070D63" w:rsidRPr="00AC41E0">
        <w:rPr>
          <w:lang w:eastAsia="en-AU"/>
        </w:rPr>
        <w:t>-</w:t>
      </w:r>
      <w:r w:rsidR="00F6363A" w:rsidRPr="00AC41E0">
        <w:rPr>
          <w:lang w:eastAsia="en-AU"/>
        </w:rPr>
        <w:t xml:space="preserve">time (e.g. in a healthcare setting) or bandwidth is not adequate to transmit the data to the cloud (e.g. if </w:t>
      </w:r>
      <w:r w:rsidR="00966D93" w:rsidRPr="00AC41E0">
        <w:rPr>
          <w:lang w:eastAsia="en-AU"/>
        </w:rPr>
        <w:t xml:space="preserve">a </w:t>
      </w:r>
      <w:r w:rsidR="00F6363A" w:rsidRPr="00AC41E0">
        <w:rPr>
          <w:lang w:eastAsia="en-AU"/>
        </w:rPr>
        <w:t xml:space="preserve">video is being processed). </w:t>
      </w:r>
    </w:p>
    <w:p w14:paraId="23AC2B77" w14:textId="50DF863F" w:rsidR="00F6363A" w:rsidRPr="00AC41E0" w:rsidRDefault="00F6363A" w:rsidP="00F6363A">
      <w:pPr>
        <w:pStyle w:val="DCSbodytext"/>
        <w:rPr>
          <w:lang w:eastAsia="en-AU"/>
        </w:rPr>
      </w:pPr>
      <w:r w:rsidRPr="00AC41E0">
        <w:rPr>
          <w:lang w:eastAsia="en-AU"/>
        </w:rPr>
        <w:t xml:space="preserve">For example, connected diabetes devices </w:t>
      </w:r>
      <w:r w:rsidR="003F48DD" w:rsidRPr="00AC41E0">
        <w:rPr>
          <w:lang w:eastAsia="en-AU"/>
        </w:rPr>
        <w:t xml:space="preserve">often </w:t>
      </w:r>
      <w:r w:rsidRPr="00AC41E0">
        <w:rPr>
          <w:lang w:eastAsia="en-AU"/>
        </w:rPr>
        <w:t xml:space="preserve">use fog computing or edge computing because diabetes patients require a rapid response to sensor input and cannot tolerate delays for cloud computing. </w:t>
      </w:r>
    </w:p>
    <w:p w14:paraId="1F0C3A84" w14:textId="251034CE" w:rsidR="00F6363A" w:rsidRPr="00AC41E0" w:rsidRDefault="00F6363A" w:rsidP="00F6363A">
      <w:pPr>
        <w:pStyle w:val="DCSbodytext"/>
        <w:rPr>
          <w:lang w:eastAsia="en-AU"/>
        </w:rPr>
      </w:pPr>
      <w:r w:rsidRPr="00AC41E0">
        <w:rPr>
          <w:lang w:eastAsia="en-AU"/>
        </w:rPr>
        <w:t xml:space="preserve">Fog and edge computing involve different architecture </w:t>
      </w:r>
      <w:r w:rsidR="00966D93" w:rsidRPr="00AC41E0">
        <w:rPr>
          <w:lang w:eastAsia="en-AU"/>
        </w:rPr>
        <w:t xml:space="preserve">for </w:t>
      </w:r>
      <w:r w:rsidRPr="00AC41E0">
        <w:rPr>
          <w:lang w:eastAsia="en-AU"/>
        </w:rPr>
        <w:t xml:space="preserve">typical data centres. </w:t>
      </w:r>
      <w:r w:rsidR="006B2310" w:rsidRPr="00AC41E0">
        <w:rPr>
          <w:lang w:eastAsia="en-AU"/>
        </w:rPr>
        <w:t xml:space="preserve">Please speak to </w:t>
      </w:r>
      <w:r w:rsidR="00402A5B" w:rsidRPr="00AC41E0">
        <w:rPr>
          <w:lang w:eastAsia="en-AU"/>
        </w:rPr>
        <w:t xml:space="preserve">resources who have the relevant expertise </w:t>
      </w:r>
      <w:r w:rsidRPr="00AC41E0">
        <w:rPr>
          <w:lang w:eastAsia="en-AU"/>
        </w:rPr>
        <w:t>before attempting to deploy this type of architecture.</w:t>
      </w:r>
    </w:p>
    <w:p w14:paraId="332D9BF7" w14:textId="77777777" w:rsidR="00F6363A" w:rsidRPr="00E46FB0" w:rsidRDefault="00084371" w:rsidP="00F6363A">
      <w:pPr>
        <w:pStyle w:val="DCSbodytext"/>
        <w:spacing w:after="120"/>
        <w:rPr>
          <w:lang w:eastAsia="en-AU"/>
        </w:rPr>
      </w:pPr>
      <w:hyperlink r:id="rId85" w:history="1">
        <w:r w:rsidR="00F6363A" w:rsidRPr="00E46FB0">
          <w:rPr>
            <w:rStyle w:val="Hyperlink"/>
            <w:lang w:eastAsia="en-AU"/>
          </w:rPr>
          <w:t>Advantages of fog and edge computing compared to cloud computing</w:t>
        </w:r>
      </w:hyperlink>
      <w:r w:rsidR="00F6363A" w:rsidRPr="00E46FB0">
        <w:rPr>
          <w:lang w:eastAsia="en-AU"/>
        </w:rPr>
        <w:t xml:space="preserve"> include:</w:t>
      </w:r>
    </w:p>
    <w:p w14:paraId="77C52D8A" w14:textId="77777777" w:rsidR="00F6363A" w:rsidRPr="00AC41E0" w:rsidRDefault="00F6363A" w:rsidP="00D978A4">
      <w:pPr>
        <w:pStyle w:val="DCSbodytext"/>
        <w:numPr>
          <w:ilvl w:val="0"/>
          <w:numId w:val="96"/>
        </w:numPr>
        <w:spacing w:after="120"/>
        <w:rPr>
          <w:lang w:eastAsia="en-AU"/>
        </w:rPr>
      </w:pPr>
      <w:r w:rsidRPr="00AC41E0">
        <w:rPr>
          <w:lang w:eastAsia="en-AU"/>
        </w:rPr>
        <w:t>greater data transmission speed</w:t>
      </w:r>
    </w:p>
    <w:p w14:paraId="62710D07" w14:textId="77777777" w:rsidR="00F6363A" w:rsidRPr="00AC41E0" w:rsidRDefault="00F6363A" w:rsidP="00D978A4">
      <w:pPr>
        <w:pStyle w:val="DCSbodytext"/>
        <w:numPr>
          <w:ilvl w:val="0"/>
          <w:numId w:val="96"/>
        </w:numPr>
        <w:spacing w:after="120"/>
        <w:rPr>
          <w:lang w:eastAsia="en-AU"/>
        </w:rPr>
      </w:pPr>
      <w:r w:rsidRPr="00AC41E0">
        <w:rPr>
          <w:lang w:eastAsia="en-AU"/>
        </w:rPr>
        <w:t>less dependence on limited bandwidths</w:t>
      </w:r>
    </w:p>
    <w:p w14:paraId="260DB629" w14:textId="77777777" w:rsidR="00F6363A" w:rsidRPr="00AC41E0" w:rsidRDefault="00F6363A" w:rsidP="00D978A4">
      <w:pPr>
        <w:pStyle w:val="DCSbodytext"/>
        <w:numPr>
          <w:ilvl w:val="0"/>
          <w:numId w:val="96"/>
        </w:numPr>
        <w:spacing w:after="120"/>
        <w:rPr>
          <w:lang w:eastAsia="en-AU"/>
        </w:rPr>
      </w:pPr>
      <w:r w:rsidRPr="00AC41E0">
        <w:rPr>
          <w:lang w:eastAsia="en-AU"/>
        </w:rPr>
        <w:t>greater privacy and security</w:t>
      </w:r>
    </w:p>
    <w:p w14:paraId="77121CF5" w14:textId="57CCAA29" w:rsidR="00F6363A" w:rsidRPr="00AC41E0" w:rsidRDefault="00F6363A" w:rsidP="00D978A4">
      <w:pPr>
        <w:pStyle w:val="DCSbodytext"/>
        <w:numPr>
          <w:ilvl w:val="0"/>
          <w:numId w:val="96"/>
        </w:numPr>
        <w:spacing w:after="120"/>
        <w:rPr>
          <w:lang w:eastAsia="en-AU"/>
        </w:rPr>
      </w:pPr>
      <w:r w:rsidRPr="00AC41E0">
        <w:rPr>
          <w:lang w:eastAsia="en-AU"/>
        </w:rPr>
        <w:t xml:space="preserve">greater control over data generated in foreign countries where laws may limit </w:t>
      </w:r>
      <w:r w:rsidR="00966D93" w:rsidRPr="00AC41E0">
        <w:rPr>
          <w:lang w:eastAsia="en-AU"/>
        </w:rPr>
        <w:t xml:space="preserve">the </w:t>
      </w:r>
      <w:r w:rsidRPr="00AC41E0">
        <w:rPr>
          <w:lang w:eastAsia="en-AU"/>
        </w:rPr>
        <w:t xml:space="preserve">use or permit unwanted governmental access </w:t>
      </w:r>
    </w:p>
    <w:p w14:paraId="0CEDC996" w14:textId="4E8BE049" w:rsidR="00C3229B" w:rsidRPr="00AC41E0" w:rsidRDefault="00F6363A" w:rsidP="00C3229B">
      <w:pPr>
        <w:pStyle w:val="DCSbodytext"/>
        <w:numPr>
          <w:ilvl w:val="0"/>
          <w:numId w:val="96"/>
        </w:numPr>
        <w:spacing w:after="120"/>
        <w:rPr>
          <w:lang w:eastAsia="en-AU"/>
        </w:rPr>
      </w:pPr>
      <w:r w:rsidRPr="00AC41E0">
        <w:rPr>
          <w:lang w:eastAsia="en-AU"/>
        </w:rPr>
        <w:t xml:space="preserve">lower costs because more sensor-derived data </w:t>
      </w:r>
      <w:r w:rsidR="00EC467E" w:rsidRPr="00AC41E0">
        <w:rPr>
          <w:lang w:eastAsia="en-AU"/>
        </w:rPr>
        <w:t>is</w:t>
      </w:r>
      <w:r w:rsidRPr="00AC41E0">
        <w:rPr>
          <w:lang w:eastAsia="en-AU"/>
        </w:rPr>
        <w:t xml:space="preserve"> used locally, and less data </w:t>
      </w:r>
      <w:r w:rsidR="00EC467E" w:rsidRPr="00AC41E0">
        <w:rPr>
          <w:lang w:eastAsia="en-AU"/>
        </w:rPr>
        <w:t>is</w:t>
      </w:r>
      <w:r w:rsidRPr="00AC41E0">
        <w:rPr>
          <w:lang w:eastAsia="en-AU"/>
        </w:rPr>
        <w:t xml:space="preserve"> transmitted remotely. </w:t>
      </w:r>
    </w:p>
    <w:p w14:paraId="36ADFE82" w14:textId="77777777" w:rsidR="00F825E4" w:rsidRPr="00AC41E0" w:rsidRDefault="00F825E4" w:rsidP="00F825E4">
      <w:pPr>
        <w:pStyle w:val="DCSbodytext"/>
        <w:spacing w:after="120"/>
        <w:ind w:left="1154"/>
        <w:rPr>
          <w:lang w:eastAsia="en-AU"/>
        </w:rPr>
      </w:pPr>
    </w:p>
    <w:p w14:paraId="195B263C" w14:textId="61A8B9D7" w:rsidR="00F6363A" w:rsidRPr="00AC41E0" w:rsidRDefault="003E28F8" w:rsidP="0022369F">
      <w:pPr>
        <w:pStyle w:val="DCSbodytext"/>
        <w:ind w:left="1560" w:hanging="766"/>
        <w:rPr>
          <w:i/>
          <w:lang w:eastAsia="en-AU"/>
        </w:rPr>
      </w:pPr>
      <w:r w:rsidRPr="00E46FB0">
        <w:rPr>
          <w:i/>
          <w:noProof/>
        </w:rPr>
        <w:drawing>
          <wp:anchor distT="0" distB="0" distL="114300" distR="114300" simplePos="0" relativeHeight="251658266" behindDoc="1" locked="0" layoutInCell="1" allowOverlap="1" wp14:anchorId="19104DA7" wp14:editId="0162DB68">
            <wp:simplePos x="0" y="0"/>
            <wp:positionH relativeFrom="margin">
              <wp:posOffset>462481</wp:posOffset>
            </wp:positionH>
            <wp:positionV relativeFrom="paragraph">
              <wp:posOffset>20103</wp:posOffset>
            </wp:positionV>
            <wp:extent cx="450850" cy="450850"/>
            <wp:effectExtent l="0" t="0" r="0" b="6350"/>
            <wp:wrapTight wrapText="bothSides">
              <wp:wrapPolygon edited="0">
                <wp:start x="8214" y="0"/>
                <wp:lineTo x="1825" y="3651"/>
                <wp:lineTo x="0" y="9127"/>
                <wp:lineTo x="1825" y="15515"/>
                <wp:lineTo x="7301" y="20992"/>
                <wp:lineTo x="12777" y="20992"/>
                <wp:lineTo x="19166" y="15515"/>
                <wp:lineTo x="20079" y="10039"/>
                <wp:lineTo x="17341" y="3651"/>
                <wp:lineTo x="12777" y="0"/>
                <wp:lineTo x="8214" y="0"/>
              </wp:wrapPolygon>
            </wp:wrapTight>
            <wp:docPr id="531754476" name="Graphic 531754476"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r w:rsidRPr="00E46FB0">
        <w:rPr>
          <w:i/>
          <w:iCs/>
          <w:lang w:eastAsia="en-AU"/>
        </w:rPr>
        <w:t xml:space="preserve">Tip: </w:t>
      </w:r>
      <w:r w:rsidR="00F6363A" w:rsidRPr="00E46FB0">
        <w:rPr>
          <w:i/>
          <w:iCs/>
          <w:lang w:eastAsia="en-AU"/>
        </w:rPr>
        <w:t>Good cyber s</w:t>
      </w:r>
      <w:r w:rsidR="00F6363A" w:rsidRPr="00AC41E0">
        <w:rPr>
          <w:i/>
          <w:iCs/>
          <w:lang w:eastAsia="en-AU"/>
        </w:rPr>
        <w:t xml:space="preserve">ecurity cannot be resolved by device proximity to </w:t>
      </w:r>
      <w:r w:rsidR="00966D93" w:rsidRPr="00AC41E0">
        <w:rPr>
          <w:i/>
          <w:iCs/>
          <w:lang w:eastAsia="en-AU"/>
        </w:rPr>
        <w:t xml:space="preserve">the </w:t>
      </w:r>
      <w:r w:rsidR="00F6363A" w:rsidRPr="00AC41E0">
        <w:rPr>
          <w:i/>
          <w:iCs/>
          <w:lang w:eastAsia="en-AU"/>
        </w:rPr>
        <w:t>source alone. Ultimately good cyber security comes down to organisational cyber maturity and good management</w:t>
      </w:r>
      <w:r w:rsidR="00D34660" w:rsidRPr="00AC41E0">
        <w:rPr>
          <w:i/>
          <w:iCs/>
          <w:lang w:eastAsia="en-AU"/>
        </w:rPr>
        <w:t>.</w:t>
      </w:r>
      <w:r w:rsidR="00F6363A" w:rsidRPr="00AC41E0">
        <w:rPr>
          <w:i/>
          <w:iCs/>
          <w:lang w:eastAsia="en-AU"/>
        </w:rPr>
        <w:t xml:space="preserve"> See</w:t>
      </w:r>
      <w:r w:rsidR="00EC467E" w:rsidRPr="00AC41E0">
        <w:rPr>
          <w:i/>
          <w:iCs/>
          <w:lang w:eastAsia="en-AU"/>
        </w:rPr>
        <w:t xml:space="preserve"> </w:t>
      </w:r>
      <w:hyperlink w:anchor="_Cyber_Security_1" w:history="1">
        <w:r w:rsidR="00F6363A" w:rsidRPr="00AC41E0">
          <w:rPr>
            <w:rStyle w:val="Hyperlink"/>
            <w:i/>
            <w:iCs/>
            <w:lang w:eastAsia="en-AU"/>
          </w:rPr>
          <w:t>C</w:t>
        </w:r>
        <w:r w:rsidR="00DE5CFC" w:rsidRPr="00AC41E0">
          <w:rPr>
            <w:rStyle w:val="Hyperlink"/>
            <w:i/>
            <w:iCs/>
            <w:lang w:eastAsia="en-AU"/>
          </w:rPr>
          <w:t>hapter 3.6 C</w:t>
        </w:r>
        <w:r w:rsidR="00F6363A" w:rsidRPr="00AC41E0">
          <w:rPr>
            <w:rStyle w:val="Hyperlink"/>
            <w:i/>
            <w:iCs/>
            <w:lang w:eastAsia="en-AU"/>
          </w:rPr>
          <w:t>yber Security</w:t>
        </w:r>
      </w:hyperlink>
      <w:r w:rsidR="00F6363A" w:rsidRPr="00E46FB0">
        <w:rPr>
          <w:i/>
          <w:iCs/>
          <w:lang w:eastAsia="en-AU"/>
        </w:rPr>
        <w:t xml:space="preserve"> for advice. </w:t>
      </w:r>
    </w:p>
    <w:p w14:paraId="3756582E" w14:textId="77777777" w:rsidR="00F6363A" w:rsidRPr="00AC41E0" w:rsidRDefault="00F6363A" w:rsidP="00D4137E">
      <w:pPr>
        <w:pStyle w:val="Heading2"/>
        <w:tabs>
          <w:tab w:val="num" w:pos="868"/>
        </w:tabs>
        <w:rPr>
          <w:rFonts w:ascii="Arial" w:hAnsi="Arial"/>
        </w:rPr>
        <w:sectPr w:rsidR="00F6363A" w:rsidRPr="00AC41E0" w:rsidSect="002771AA">
          <w:pgSz w:w="11906" w:h="16838"/>
          <w:pgMar w:top="1418" w:right="1134" w:bottom="1134" w:left="1134" w:header="851" w:footer="425" w:gutter="0"/>
          <w:cols w:space="708"/>
          <w:titlePg/>
          <w:docGrid w:linePitch="360"/>
        </w:sectPr>
      </w:pPr>
    </w:p>
    <w:p w14:paraId="12C5D8D3" w14:textId="7ED194AF" w:rsidR="00A30899" w:rsidRPr="00AC41E0" w:rsidRDefault="00EC5983" w:rsidP="00421000">
      <w:pPr>
        <w:pStyle w:val="Heading2"/>
        <w:tabs>
          <w:tab w:val="clear" w:pos="5188"/>
          <w:tab w:val="num" w:pos="794"/>
        </w:tabs>
        <w:ind w:left="851"/>
        <w:rPr>
          <w:rFonts w:ascii="Arial" w:hAnsi="Arial"/>
        </w:rPr>
      </w:pPr>
      <w:bookmarkStart w:id="505" w:name="_Risks_and_obligations_2"/>
      <w:bookmarkStart w:id="506" w:name="_Toc65760506"/>
      <w:bookmarkEnd w:id="505"/>
      <w:r w:rsidRPr="00E46FB0">
        <w:rPr>
          <w:rFonts w:ascii="Arial" w:hAnsi="Arial"/>
        </w:rPr>
        <w:lastRenderedPageBreak/>
        <w:t xml:space="preserve">Risks and </w:t>
      </w:r>
      <w:r w:rsidR="00B44F50" w:rsidRPr="00AC41E0">
        <w:rPr>
          <w:rFonts w:ascii="Arial" w:hAnsi="Arial"/>
        </w:rPr>
        <w:t>o</w:t>
      </w:r>
      <w:r w:rsidRPr="00AC41E0">
        <w:rPr>
          <w:rFonts w:ascii="Arial" w:hAnsi="Arial"/>
        </w:rPr>
        <w:t>bligations</w:t>
      </w:r>
      <w:bookmarkEnd w:id="506"/>
    </w:p>
    <w:p w14:paraId="6ED990DD" w14:textId="20EE49DE" w:rsidR="002F60ED" w:rsidRPr="00AC41E0" w:rsidRDefault="00C712B0" w:rsidP="00C712B0">
      <w:pPr>
        <w:pStyle w:val="DCSbodytext"/>
      </w:pPr>
      <w:bookmarkStart w:id="507" w:name="_Toc14686245"/>
      <w:bookmarkStart w:id="508" w:name="_Toc14689979"/>
      <w:bookmarkStart w:id="509" w:name="_Toc14691945"/>
      <w:bookmarkStart w:id="510" w:name="_Toc14694015"/>
      <w:bookmarkStart w:id="511" w:name="_Toc14694162"/>
      <w:bookmarkStart w:id="512" w:name="_Toc14695730"/>
      <w:bookmarkStart w:id="513" w:name="_Toc14700939"/>
      <w:bookmarkStart w:id="514" w:name="_Toc14702915"/>
      <w:bookmarkStart w:id="515" w:name="_Toc14709754"/>
      <w:bookmarkStart w:id="516" w:name="_Toc14768631"/>
      <w:bookmarkStart w:id="517" w:name="_Toc14771091"/>
      <w:bookmarkStart w:id="518" w:name="_Toc14771274"/>
      <w:bookmarkStart w:id="519" w:name="_Toc14771659"/>
      <w:bookmarkStart w:id="520" w:name="_Toc14771870"/>
      <w:bookmarkStart w:id="521" w:name="_Toc14774472"/>
      <w:bookmarkStart w:id="522" w:name="_Toc14775536"/>
      <w:bookmarkStart w:id="523" w:name="_Toc14775699"/>
      <w:bookmarkStart w:id="524" w:name="_Toc14776292"/>
      <w:bookmarkStart w:id="525" w:name="_Toc14777910"/>
      <w:bookmarkStart w:id="526" w:name="_Toc14778056"/>
      <w:bookmarkStart w:id="527" w:name="_Toc14686246"/>
      <w:bookmarkStart w:id="528" w:name="_Toc14689980"/>
      <w:bookmarkStart w:id="529" w:name="_Toc14691946"/>
      <w:bookmarkStart w:id="530" w:name="_Toc14694016"/>
      <w:bookmarkStart w:id="531" w:name="_Toc14694163"/>
      <w:bookmarkStart w:id="532" w:name="_Toc14695731"/>
      <w:bookmarkStart w:id="533" w:name="_Toc14700940"/>
      <w:bookmarkStart w:id="534" w:name="_Toc14702916"/>
      <w:bookmarkStart w:id="535" w:name="_Toc14709755"/>
      <w:bookmarkStart w:id="536" w:name="_Toc14768632"/>
      <w:bookmarkStart w:id="537" w:name="_Toc14771092"/>
      <w:bookmarkStart w:id="538" w:name="_Toc14771275"/>
      <w:bookmarkStart w:id="539" w:name="_Toc14771660"/>
      <w:bookmarkStart w:id="540" w:name="_Toc14771871"/>
      <w:bookmarkStart w:id="541" w:name="_Toc14774473"/>
      <w:bookmarkStart w:id="542" w:name="_Toc14775537"/>
      <w:bookmarkStart w:id="543" w:name="_Toc14775700"/>
      <w:bookmarkStart w:id="544" w:name="_Toc14776293"/>
      <w:bookmarkStart w:id="545" w:name="_Toc14777911"/>
      <w:bookmarkStart w:id="546" w:name="_Toc14778057"/>
      <w:bookmarkStart w:id="547" w:name="_Toc14686247"/>
      <w:bookmarkStart w:id="548" w:name="_Toc14689981"/>
      <w:bookmarkStart w:id="549" w:name="_Toc14691947"/>
      <w:bookmarkStart w:id="550" w:name="_Toc14694017"/>
      <w:bookmarkStart w:id="551" w:name="_Toc14694164"/>
      <w:bookmarkStart w:id="552" w:name="_Toc14695732"/>
      <w:bookmarkStart w:id="553" w:name="_Toc14700941"/>
      <w:bookmarkStart w:id="554" w:name="_Toc14702917"/>
      <w:bookmarkStart w:id="555" w:name="_Toc14709756"/>
      <w:bookmarkStart w:id="556" w:name="_Toc14768633"/>
      <w:bookmarkStart w:id="557" w:name="_Toc14771093"/>
      <w:bookmarkStart w:id="558" w:name="_Toc14771276"/>
      <w:bookmarkStart w:id="559" w:name="_Toc14771661"/>
      <w:bookmarkStart w:id="560" w:name="_Toc14771872"/>
      <w:bookmarkStart w:id="561" w:name="_Toc14774474"/>
      <w:bookmarkStart w:id="562" w:name="_Toc14775538"/>
      <w:bookmarkStart w:id="563" w:name="_Toc14775701"/>
      <w:bookmarkStart w:id="564" w:name="_Toc14776294"/>
      <w:bookmarkStart w:id="565" w:name="_Toc14777912"/>
      <w:bookmarkStart w:id="566" w:name="_Toc14778058"/>
      <w:bookmarkStart w:id="567" w:name="_Toc14686248"/>
      <w:bookmarkStart w:id="568" w:name="_Toc14689982"/>
      <w:bookmarkStart w:id="569" w:name="_Toc14691948"/>
      <w:bookmarkStart w:id="570" w:name="_Toc14694018"/>
      <w:bookmarkStart w:id="571" w:name="_Toc14694165"/>
      <w:bookmarkStart w:id="572" w:name="_Toc14695733"/>
      <w:bookmarkStart w:id="573" w:name="_Toc14700942"/>
      <w:bookmarkStart w:id="574" w:name="_Toc14702918"/>
      <w:bookmarkStart w:id="575" w:name="_Toc14709757"/>
      <w:bookmarkStart w:id="576" w:name="_Toc14768634"/>
      <w:bookmarkStart w:id="577" w:name="_Toc14771094"/>
      <w:bookmarkStart w:id="578" w:name="_Toc14771277"/>
      <w:bookmarkStart w:id="579" w:name="_Toc14771662"/>
      <w:bookmarkStart w:id="580" w:name="_Toc14771873"/>
      <w:bookmarkStart w:id="581" w:name="_Toc14774475"/>
      <w:bookmarkStart w:id="582" w:name="_Toc14775539"/>
      <w:bookmarkStart w:id="583" w:name="_Toc14775702"/>
      <w:bookmarkStart w:id="584" w:name="_Toc14776295"/>
      <w:bookmarkStart w:id="585" w:name="_Toc14777913"/>
      <w:bookmarkStart w:id="586" w:name="_Toc14778059"/>
      <w:bookmarkStart w:id="587" w:name="_Toc14686249"/>
      <w:bookmarkStart w:id="588" w:name="_Toc14689983"/>
      <w:bookmarkStart w:id="589" w:name="_Toc14691949"/>
      <w:bookmarkStart w:id="590" w:name="_Toc14694019"/>
      <w:bookmarkStart w:id="591" w:name="_Toc14694166"/>
      <w:bookmarkStart w:id="592" w:name="_Toc14695734"/>
      <w:bookmarkStart w:id="593" w:name="_Toc14700943"/>
      <w:bookmarkStart w:id="594" w:name="_Toc14702919"/>
      <w:bookmarkStart w:id="595" w:name="_Toc14709758"/>
      <w:bookmarkStart w:id="596" w:name="_Toc14768635"/>
      <w:bookmarkStart w:id="597" w:name="_Toc14771095"/>
      <w:bookmarkStart w:id="598" w:name="_Toc14771278"/>
      <w:bookmarkStart w:id="599" w:name="_Toc14771663"/>
      <w:bookmarkStart w:id="600" w:name="_Toc14771874"/>
      <w:bookmarkStart w:id="601" w:name="_Toc14774476"/>
      <w:bookmarkStart w:id="602" w:name="_Toc14775540"/>
      <w:bookmarkStart w:id="603" w:name="_Toc14775703"/>
      <w:bookmarkStart w:id="604" w:name="_Toc14776296"/>
      <w:bookmarkStart w:id="605" w:name="_Toc14777914"/>
      <w:bookmarkStart w:id="606" w:name="_Toc14778060"/>
      <w:bookmarkStart w:id="607" w:name="_Toc14686250"/>
      <w:bookmarkStart w:id="608" w:name="_Toc14689984"/>
      <w:bookmarkStart w:id="609" w:name="_Toc14691950"/>
      <w:bookmarkStart w:id="610" w:name="_Toc14694020"/>
      <w:bookmarkStart w:id="611" w:name="_Toc14694167"/>
      <w:bookmarkStart w:id="612" w:name="_Toc14695735"/>
      <w:bookmarkStart w:id="613" w:name="_Toc14700944"/>
      <w:bookmarkStart w:id="614" w:name="_Toc14702920"/>
      <w:bookmarkStart w:id="615" w:name="_Toc14709759"/>
      <w:bookmarkStart w:id="616" w:name="_Toc14768636"/>
      <w:bookmarkStart w:id="617" w:name="_Toc14771096"/>
      <w:bookmarkStart w:id="618" w:name="_Toc14771279"/>
      <w:bookmarkStart w:id="619" w:name="_Toc14771664"/>
      <w:bookmarkStart w:id="620" w:name="_Toc14771875"/>
      <w:bookmarkStart w:id="621" w:name="_Toc14774477"/>
      <w:bookmarkStart w:id="622" w:name="_Toc14775541"/>
      <w:bookmarkStart w:id="623" w:name="_Toc14775704"/>
      <w:bookmarkStart w:id="624" w:name="_Toc14776297"/>
      <w:bookmarkStart w:id="625" w:name="_Toc14777915"/>
      <w:bookmarkStart w:id="626" w:name="_Toc14778061"/>
      <w:bookmarkStart w:id="627" w:name="_Toc14686251"/>
      <w:bookmarkStart w:id="628" w:name="_Toc14689985"/>
      <w:bookmarkStart w:id="629" w:name="_Toc14691951"/>
      <w:bookmarkStart w:id="630" w:name="_Toc14694021"/>
      <w:bookmarkStart w:id="631" w:name="_Toc14694168"/>
      <w:bookmarkStart w:id="632" w:name="_Toc14695736"/>
      <w:bookmarkStart w:id="633" w:name="_Toc14700945"/>
      <w:bookmarkStart w:id="634" w:name="_Toc14702921"/>
      <w:bookmarkStart w:id="635" w:name="_Toc14709760"/>
      <w:bookmarkStart w:id="636" w:name="_Toc14768637"/>
      <w:bookmarkStart w:id="637" w:name="_Toc14771097"/>
      <w:bookmarkStart w:id="638" w:name="_Toc14771280"/>
      <w:bookmarkStart w:id="639" w:name="_Toc14771665"/>
      <w:bookmarkStart w:id="640" w:name="_Toc14771876"/>
      <w:bookmarkStart w:id="641" w:name="_Toc14774478"/>
      <w:bookmarkStart w:id="642" w:name="_Toc14775542"/>
      <w:bookmarkStart w:id="643" w:name="_Toc14775705"/>
      <w:bookmarkStart w:id="644" w:name="_Toc14776298"/>
      <w:bookmarkStart w:id="645" w:name="_Toc14777916"/>
      <w:bookmarkStart w:id="646" w:name="_Toc14778062"/>
      <w:bookmarkStart w:id="647" w:name="_Toc14686252"/>
      <w:bookmarkStart w:id="648" w:name="_Toc14689986"/>
      <w:bookmarkStart w:id="649" w:name="_Toc14691952"/>
      <w:bookmarkStart w:id="650" w:name="_Toc14694022"/>
      <w:bookmarkStart w:id="651" w:name="_Toc14694169"/>
      <w:bookmarkStart w:id="652" w:name="_Toc14695737"/>
      <w:bookmarkStart w:id="653" w:name="_Toc14700946"/>
      <w:bookmarkStart w:id="654" w:name="_Toc14702922"/>
      <w:bookmarkStart w:id="655" w:name="_Toc14709761"/>
      <w:bookmarkStart w:id="656" w:name="_Toc14768638"/>
      <w:bookmarkStart w:id="657" w:name="_Toc14771098"/>
      <w:bookmarkStart w:id="658" w:name="_Toc14771281"/>
      <w:bookmarkStart w:id="659" w:name="_Toc14771666"/>
      <w:bookmarkStart w:id="660" w:name="_Toc14771877"/>
      <w:bookmarkStart w:id="661" w:name="_Toc14774479"/>
      <w:bookmarkStart w:id="662" w:name="_Toc14775543"/>
      <w:bookmarkStart w:id="663" w:name="_Toc14775706"/>
      <w:bookmarkStart w:id="664" w:name="_Toc14776299"/>
      <w:bookmarkStart w:id="665" w:name="_Toc14777917"/>
      <w:bookmarkStart w:id="666" w:name="_Toc14778063"/>
      <w:bookmarkStart w:id="667" w:name="_Toc14686253"/>
      <w:bookmarkStart w:id="668" w:name="_Toc14689987"/>
      <w:bookmarkStart w:id="669" w:name="_Toc14691953"/>
      <w:bookmarkStart w:id="670" w:name="_Toc14694023"/>
      <w:bookmarkStart w:id="671" w:name="_Toc14694170"/>
      <w:bookmarkStart w:id="672" w:name="_Toc14695738"/>
      <w:bookmarkStart w:id="673" w:name="_Toc14700947"/>
      <w:bookmarkStart w:id="674" w:name="_Toc14702923"/>
      <w:bookmarkStart w:id="675" w:name="_Toc14709762"/>
      <w:bookmarkStart w:id="676" w:name="_Toc14768639"/>
      <w:bookmarkStart w:id="677" w:name="_Toc14771099"/>
      <w:bookmarkStart w:id="678" w:name="_Toc14771282"/>
      <w:bookmarkStart w:id="679" w:name="_Toc14771667"/>
      <w:bookmarkStart w:id="680" w:name="_Toc14771878"/>
      <w:bookmarkStart w:id="681" w:name="_Toc14774480"/>
      <w:bookmarkStart w:id="682" w:name="_Toc14775544"/>
      <w:bookmarkStart w:id="683" w:name="_Toc14775707"/>
      <w:bookmarkStart w:id="684" w:name="_Toc14776300"/>
      <w:bookmarkStart w:id="685" w:name="_Toc14777918"/>
      <w:bookmarkStart w:id="686" w:name="_Toc14778064"/>
      <w:bookmarkStart w:id="687" w:name="_Toc14686254"/>
      <w:bookmarkStart w:id="688" w:name="_Toc14689988"/>
      <w:bookmarkStart w:id="689" w:name="_Toc14691954"/>
      <w:bookmarkStart w:id="690" w:name="_Toc14694024"/>
      <w:bookmarkStart w:id="691" w:name="_Toc14694171"/>
      <w:bookmarkStart w:id="692" w:name="_Toc14695739"/>
      <w:bookmarkStart w:id="693" w:name="_Toc14700948"/>
      <w:bookmarkStart w:id="694" w:name="_Toc14702924"/>
      <w:bookmarkStart w:id="695" w:name="_Toc14709763"/>
      <w:bookmarkStart w:id="696" w:name="_Toc14768640"/>
      <w:bookmarkStart w:id="697" w:name="_Toc14771100"/>
      <w:bookmarkStart w:id="698" w:name="_Toc14771283"/>
      <w:bookmarkStart w:id="699" w:name="_Toc14771668"/>
      <w:bookmarkStart w:id="700" w:name="_Toc14771879"/>
      <w:bookmarkStart w:id="701" w:name="_Toc14774481"/>
      <w:bookmarkStart w:id="702" w:name="_Toc14775545"/>
      <w:bookmarkStart w:id="703" w:name="_Toc14775708"/>
      <w:bookmarkStart w:id="704" w:name="_Toc14776301"/>
      <w:bookmarkStart w:id="705" w:name="_Toc14777919"/>
      <w:bookmarkStart w:id="706" w:name="_Toc14778065"/>
      <w:bookmarkStart w:id="707" w:name="_Toc14686255"/>
      <w:bookmarkStart w:id="708" w:name="_Toc14689989"/>
      <w:bookmarkStart w:id="709" w:name="_Toc14691955"/>
      <w:bookmarkStart w:id="710" w:name="_Toc14694025"/>
      <w:bookmarkStart w:id="711" w:name="_Toc14694172"/>
      <w:bookmarkStart w:id="712" w:name="_Toc14695740"/>
      <w:bookmarkStart w:id="713" w:name="_Toc14700949"/>
      <w:bookmarkStart w:id="714" w:name="_Toc14702925"/>
      <w:bookmarkStart w:id="715" w:name="_Toc14709764"/>
      <w:bookmarkStart w:id="716" w:name="_Toc14768641"/>
      <w:bookmarkStart w:id="717" w:name="_Toc14771101"/>
      <w:bookmarkStart w:id="718" w:name="_Toc14771284"/>
      <w:bookmarkStart w:id="719" w:name="_Toc14771669"/>
      <w:bookmarkStart w:id="720" w:name="_Toc14771880"/>
      <w:bookmarkStart w:id="721" w:name="_Toc14774482"/>
      <w:bookmarkStart w:id="722" w:name="_Toc14775546"/>
      <w:bookmarkStart w:id="723" w:name="_Toc14775709"/>
      <w:bookmarkStart w:id="724" w:name="_Toc14776302"/>
      <w:bookmarkStart w:id="725" w:name="_Toc14777920"/>
      <w:bookmarkStart w:id="726" w:name="_Toc14778066"/>
      <w:bookmarkStart w:id="727" w:name="_Toc14686256"/>
      <w:bookmarkStart w:id="728" w:name="_Toc14689990"/>
      <w:bookmarkStart w:id="729" w:name="_Toc14691956"/>
      <w:bookmarkStart w:id="730" w:name="_Toc14694026"/>
      <w:bookmarkStart w:id="731" w:name="_Toc14694173"/>
      <w:bookmarkStart w:id="732" w:name="_Toc14695741"/>
      <w:bookmarkStart w:id="733" w:name="_Toc14700950"/>
      <w:bookmarkStart w:id="734" w:name="_Toc14702926"/>
      <w:bookmarkStart w:id="735" w:name="_Toc14709765"/>
      <w:bookmarkStart w:id="736" w:name="_Toc14768642"/>
      <w:bookmarkStart w:id="737" w:name="_Toc14771102"/>
      <w:bookmarkStart w:id="738" w:name="_Toc14771285"/>
      <w:bookmarkStart w:id="739" w:name="_Toc14771670"/>
      <w:bookmarkStart w:id="740" w:name="_Toc14771881"/>
      <w:bookmarkStart w:id="741" w:name="_Toc14774483"/>
      <w:bookmarkStart w:id="742" w:name="_Toc14775547"/>
      <w:bookmarkStart w:id="743" w:name="_Toc14775710"/>
      <w:bookmarkStart w:id="744" w:name="_Toc14776303"/>
      <w:bookmarkStart w:id="745" w:name="_Toc14777921"/>
      <w:bookmarkStart w:id="746" w:name="_Toc14778067"/>
      <w:bookmarkStart w:id="747" w:name="_Toc14686257"/>
      <w:bookmarkStart w:id="748" w:name="_Toc14689991"/>
      <w:bookmarkStart w:id="749" w:name="_Toc14691957"/>
      <w:bookmarkStart w:id="750" w:name="_Toc14694027"/>
      <w:bookmarkStart w:id="751" w:name="_Toc14694174"/>
      <w:bookmarkStart w:id="752" w:name="_Toc14695742"/>
      <w:bookmarkStart w:id="753" w:name="_Toc14700951"/>
      <w:bookmarkStart w:id="754" w:name="_Toc14702927"/>
      <w:bookmarkStart w:id="755" w:name="_Toc14709766"/>
      <w:bookmarkStart w:id="756" w:name="_Toc14768643"/>
      <w:bookmarkStart w:id="757" w:name="_Toc14771103"/>
      <w:bookmarkStart w:id="758" w:name="_Toc14771286"/>
      <w:bookmarkStart w:id="759" w:name="_Toc14771671"/>
      <w:bookmarkStart w:id="760" w:name="_Toc14771882"/>
      <w:bookmarkStart w:id="761" w:name="_Toc14774484"/>
      <w:bookmarkStart w:id="762" w:name="_Toc14775548"/>
      <w:bookmarkStart w:id="763" w:name="_Toc14775711"/>
      <w:bookmarkStart w:id="764" w:name="_Toc14776304"/>
      <w:bookmarkStart w:id="765" w:name="_Toc14777922"/>
      <w:bookmarkStart w:id="766" w:name="_Toc14778068"/>
      <w:bookmarkStart w:id="767" w:name="_Toc14686258"/>
      <w:bookmarkStart w:id="768" w:name="_Toc14689992"/>
      <w:bookmarkStart w:id="769" w:name="_Toc14691958"/>
      <w:bookmarkStart w:id="770" w:name="_Toc14694028"/>
      <w:bookmarkStart w:id="771" w:name="_Toc14694175"/>
      <w:bookmarkStart w:id="772" w:name="_Toc14695743"/>
      <w:bookmarkStart w:id="773" w:name="_Toc14700952"/>
      <w:bookmarkStart w:id="774" w:name="_Toc14702928"/>
      <w:bookmarkStart w:id="775" w:name="_Toc14709767"/>
      <w:bookmarkStart w:id="776" w:name="_Toc14768644"/>
      <w:bookmarkStart w:id="777" w:name="_Toc14771104"/>
      <w:bookmarkStart w:id="778" w:name="_Toc14771287"/>
      <w:bookmarkStart w:id="779" w:name="_Toc14771672"/>
      <w:bookmarkStart w:id="780" w:name="_Toc14771883"/>
      <w:bookmarkStart w:id="781" w:name="_Toc14774485"/>
      <w:bookmarkStart w:id="782" w:name="_Toc14775549"/>
      <w:bookmarkStart w:id="783" w:name="_Toc14775712"/>
      <w:bookmarkStart w:id="784" w:name="_Toc14776305"/>
      <w:bookmarkStart w:id="785" w:name="_Toc14777923"/>
      <w:bookmarkStart w:id="786" w:name="_Toc14778069"/>
      <w:bookmarkStart w:id="787" w:name="_Toc14686259"/>
      <w:bookmarkStart w:id="788" w:name="_Toc14689993"/>
      <w:bookmarkStart w:id="789" w:name="_Toc14691959"/>
      <w:bookmarkStart w:id="790" w:name="_Toc14694029"/>
      <w:bookmarkStart w:id="791" w:name="_Toc14694176"/>
      <w:bookmarkStart w:id="792" w:name="_Toc14695744"/>
      <w:bookmarkStart w:id="793" w:name="_Toc14700953"/>
      <w:bookmarkStart w:id="794" w:name="_Toc14702929"/>
      <w:bookmarkStart w:id="795" w:name="_Toc14709768"/>
      <w:bookmarkStart w:id="796" w:name="_Toc14768645"/>
      <w:bookmarkStart w:id="797" w:name="_Toc14771105"/>
      <w:bookmarkStart w:id="798" w:name="_Toc14771288"/>
      <w:bookmarkStart w:id="799" w:name="_Toc14771673"/>
      <w:bookmarkStart w:id="800" w:name="_Toc14771884"/>
      <w:bookmarkStart w:id="801" w:name="_Toc14774486"/>
      <w:bookmarkStart w:id="802" w:name="_Toc14775550"/>
      <w:bookmarkStart w:id="803" w:name="_Toc14775713"/>
      <w:bookmarkStart w:id="804" w:name="_Toc14776306"/>
      <w:bookmarkStart w:id="805" w:name="_Toc14777924"/>
      <w:bookmarkStart w:id="806" w:name="_Toc14778070"/>
      <w:bookmarkStart w:id="807" w:name="_Toc14686260"/>
      <w:bookmarkStart w:id="808" w:name="_Toc14689994"/>
      <w:bookmarkStart w:id="809" w:name="_Toc14691960"/>
      <w:bookmarkStart w:id="810" w:name="_Toc14694030"/>
      <w:bookmarkStart w:id="811" w:name="_Toc14694177"/>
      <w:bookmarkStart w:id="812" w:name="_Toc14695745"/>
      <w:bookmarkStart w:id="813" w:name="_Toc14700954"/>
      <w:bookmarkStart w:id="814" w:name="_Toc14702930"/>
      <w:bookmarkStart w:id="815" w:name="_Toc14709769"/>
      <w:bookmarkStart w:id="816" w:name="_Toc14768646"/>
      <w:bookmarkStart w:id="817" w:name="_Toc14771106"/>
      <w:bookmarkStart w:id="818" w:name="_Toc14771289"/>
      <w:bookmarkStart w:id="819" w:name="_Toc14771674"/>
      <w:bookmarkStart w:id="820" w:name="_Toc14771885"/>
      <w:bookmarkStart w:id="821" w:name="_Toc14774487"/>
      <w:bookmarkStart w:id="822" w:name="_Toc14775551"/>
      <w:bookmarkStart w:id="823" w:name="_Toc14775714"/>
      <w:bookmarkStart w:id="824" w:name="_Toc14776307"/>
      <w:bookmarkStart w:id="825" w:name="_Toc14777925"/>
      <w:bookmarkStart w:id="826" w:name="_Toc14778071"/>
      <w:bookmarkStart w:id="827" w:name="_Toc14686261"/>
      <w:bookmarkStart w:id="828" w:name="_Toc14689995"/>
      <w:bookmarkStart w:id="829" w:name="_Toc14691961"/>
      <w:bookmarkStart w:id="830" w:name="_Toc14694031"/>
      <w:bookmarkStart w:id="831" w:name="_Toc14694178"/>
      <w:bookmarkStart w:id="832" w:name="_Toc14695746"/>
      <w:bookmarkStart w:id="833" w:name="_Toc14700955"/>
      <w:bookmarkStart w:id="834" w:name="_Toc14702931"/>
      <w:bookmarkStart w:id="835" w:name="_Toc14709770"/>
      <w:bookmarkStart w:id="836" w:name="_Toc14768647"/>
      <w:bookmarkStart w:id="837" w:name="_Toc14771107"/>
      <w:bookmarkStart w:id="838" w:name="_Toc14771290"/>
      <w:bookmarkStart w:id="839" w:name="_Toc14771675"/>
      <w:bookmarkStart w:id="840" w:name="_Toc14771886"/>
      <w:bookmarkStart w:id="841" w:name="_Toc14774488"/>
      <w:bookmarkStart w:id="842" w:name="_Toc14775552"/>
      <w:bookmarkStart w:id="843" w:name="_Toc14775715"/>
      <w:bookmarkStart w:id="844" w:name="_Toc14776308"/>
      <w:bookmarkStart w:id="845" w:name="_Toc14777926"/>
      <w:bookmarkStart w:id="846" w:name="_Toc14778072"/>
      <w:bookmarkStart w:id="847" w:name="_Toc14686262"/>
      <w:bookmarkStart w:id="848" w:name="_Toc14689996"/>
      <w:bookmarkStart w:id="849" w:name="_Toc14691962"/>
      <w:bookmarkStart w:id="850" w:name="_Toc14694032"/>
      <w:bookmarkStart w:id="851" w:name="_Toc14694179"/>
      <w:bookmarkStart w:id="852" w:name="_Toc14695747"/>
      <w:bookmarkStart w:id="853" w:name="_Toc14700956"/>
      <w:bookmarkStart w:id="854" w:name="_Toc14702932"/>
      <w:bookmarkStart w:id="855" w:name="_Toc14709771"/>
      <w:bookmarkStart w:id="856" w:name="_Toc14768648"/>
      <w:bookmarkStart w:id="857" w:name="_Toc14771108"/>
      <w:bookmarkStart w:id="858" w:name="_Toc14771291"/>
      <w:bookmarkStart w:id="859" w:name="_Toc14771676"/>
      <w:bookmarkStart w:id="860" w:name="_Toc14771887"/>
      <w:bookmarkStart w:id="861" w:name="_Toc14774489"/>
      <w:bookmarkStart w:id="862" w:name="_Toc14775553"/>
      <w:bookmarkStart w:id="863" w:name="_Toc14775716"/>
      <w:bookmarkStart w:id="864" w:name="_Toc14776309"/>
      <w:bookmarkStart w:id="865" w:name="_Toc14777927"/>
      <w:bookmarkStart w:id="866" w:name="_Toc14778073"/>
      <w:bookmarkStart w:id="867" w:name="_Toc14686263"/>
      <w:bookmarkStart w:id="868" w:name="_Toc14689997"/>
      <w:bookmarkStart w:id="869" w:name="_Toc14691963"/>
      <w:bookmarkStart w:id="870" w:name="_Toc14694033"/>
      <w:bookmarkStart w:id="871" w:name="_Toc14694180"/>
      <w:bookmarkStart w:id="872" w:name="_Toc14695748"/>
      <w:bookmarkStart w:id="873" w:name="_Toc14700957"/>
      <w:bookmarkStart w:id="874" w:name="_Toc14702933"/>
      <w:bookmarkStart w:id="875" w:name="_Toc14709772"/>
      <w:bookmarkStart w:id="876" w:name="_Toc14768649"/>
      <w:bookmarkStart w:id="877" w:name="_Toc14771109"/>
      <w:bookmarkStart w:id="878" w:name="_Toc14771292"/>
      <w:bookmarkStart w:id="879" w:name="_Toc14771677"/>
      <w:bookmarkStart w:id="880" w:name="_Toc14771888"/>
      <w:bookmarkStart w:id="881" w:name="_Toc14774490"/>
      <w:bookmarkStart w:id="882" w:name="_Toc14775554"/>
      <w:bookmarkStart w:id="883" w:name="_Toc14775717"/>
      <w:bookmarkStart w:id="884" w:name="_Toc14776310"/>
      <w:bookmarkStart w:id="885" w:name="_Toc14777928"/>
      <w:bookmarkStart w:id="886" w:name="_Toc14778074"/>
      <w:bookmarkStart w:id="887" w:name="_Toc14686264"/>
      <w:bookmarkStart w:id="888" w:name="_Toc14689998"/>
      <w:bookmarkStart w:id="889" w:name="_Toc14691964"/>
      <w:bookmarkStart w:id="890" w:name="_Toc14694034"/>
      <w:bookmarkStart w:id="891" w:name="_Toc14694181"/>
      <w:bookmarkStart w:id="892" w:name="_Toc14695749"/>
      <w:bookmarkStart w:id="893" w:name="_Toc14700958"/>
      <w:bookmarkStart w:id="894" w:name="_Toc14702934"/>
      <w:bookmarkStart w:id="895" w:name="_Toc14709773"/>
      <w:bookmarkStart w:id="896" w:name="_Toc14768650"/>
      <w:bookmarkStart w:id="897" w:name="_Toc14771110"/>
      <w:bookmarkStart w:id="898" w:name="_Toc14771293"/>
      <w:bookmarkStart w:id="899" w:name="_Toc14771678"/>
      <w:bookmarkStart w:id="900" w:name="_Toc14771889"/>
      <w:bookmarkStart w:id="901" w:name="_Toc14774491"/>
      <w:bookmarkStart w:id="902" w:name="_Toc14775555"/>
      <w:bookmarkStart w:id="903" w:name="_Toc14775718"/>
      <w:bookmarkStart w:id="904" w:name="_Toc14776311"/>
      <w:bookmarkStart w:id="905" w:name="_Toc14777929"/>
      <w:bookmarkStart w:id="906" w:name="_Toc14778075"/>
      <w:bookmarkStart w:id="907" w:name="_Toc14686265"/>
      <w:bookmarkStart w:id="908" w:name="_Toc14689999"/>
      <w:bookmarkStart w:id="909" w:name="_Toc14691965"/>
      <w:bookmarkStart w:id="910" w:name="_Toc14694035"/>
      <w:bookmarkStart w:id="911" w:name="_Toc14694182"/>
      <w:bookmarkStart w:id="912" w:name="_Toc14695750"/>
      <w:bookmarkStart w:id="913" w:name="_Toc14700959"/>
      <w:bookmarkStart w:id="914" w:name="_Toc14702935"/>
      <w:bookmarkStart w:id="915" w:name="_Toc14709774"/>
      <w:bookmarkStart w:id="916" w:name="_Toc14768651"/>
      <w:bookmarkStart w:id="917" w:name="_Toc14771111"/>
      <w:bookmarkStart w:id="918" w:name="_Toc14771294"/>
      <w:bookmarkStart w:id="919" w:name="_Toc14771679"/>
      <w:bookmarkStart w:id="920" w:name="_Toc14771890"/>
      <w:bookmarkStart w:id="921" w:name="_Toc14774492"/>
      <w:bookmarkStart w:id="922" w:name="_Toc14775556"/>
      <w:bookmarkStart w:id="923" w:name="_Toc14775719"/>
      <w:bookmarkStart w:id="924" w:name="_Toc14776312"/>
      <w:bookmarkStart w:id="925" w:name="_Toc14777930"/>
      <w:bookmarkStart w:id="926" w:name="_Toc14778076"/>
      <w:bookmarkStart w:id="927" w:name="_Toc14686266"/>
      <w:bookmarkStart w:id="928" w:name="_Toc14690000"/>
      <w:bookmarkStart w:id="929" w:name="_Toc14691966"/>
      <w:bookmarkStart w:id="930" w:name="_Toc14694036"/>
      <w:bookmarkStart w:id="931" w:name="_Toc14694183"/>
      <w:bookmarkStart w:id="932" w:name="_Toc14695751"/>
      <w:bookmarkStart w:id="933" w:name="_Toc14700960"/>
      <w:bookmarkStart w:id="934" w:name="_Toc14702936"/>
      <w:bookmarkStart w:id="935" w:name="_Toc14709775"/>
      <w:bookmarkStart w:id="936" w:name="_Toc14768652"/>
      <w:bookmarkStart w:id="937" w:name="_Toc14771112"/>
      <w:bookmarkStart w:id="938" w:name="_Toc14771295"/>
      <w:bookmarkStart w:id="939" w:name="_Toc14771680"/>
      <w:bookmarkStart w:id="940" w:name="_Toc14771891"/>
      <w:bookmarkStart w:id="941" w:name="_Toc14774493"/>
      <w:bookmarkStart w:id="942" w:name="_Toc14775557"/>
      <w:bookmarkStart w:id="943" w:name="_Toc14775720"/>
      <w:bookmarkStart w:id="944" w:name="_Toc14776313"/>
      <w:bookmarkStart w:id="945" w:name="_Toc14777931"/>
      <w:bookmarkStart w:id="946" w:name="_Toc14778077"/>
      <w:bookmarkStart w:id="947" w:name="_Toc14686267"/>
      <w:bookmarkStart w:id="948" w:name="_Toc14690001"/>
      <w:bookmarkStart w:id="949" w:name="_Toc14691967"/>
      <w:bookmarkStart w:id="950" w:name="_Toc14694037"/>
      <w:bookmarkStart w:id="951" w:name="_Toc14694184"/>
      <w:bookmarkStart w:id="952" w:name="_Toc14695752"/>
      <w:bookmarkStart w:id="953" w:name="_Toc14700961"/>
      <w:bookmarkStart w:id="954" w:name="_Toc14702937"/>
      <w:bookmarkStart w:id="955" w:name="_Toc14709776"/>
      <w:bookmarkStart w:id="956" w:name="_Toc14768653"/>
      <w:bookmarkStart w:id="957" w:name="_Toc14771113"/>
      <w:bookmarkStart w:id="958" w:name="_Toc14771296"/>
      <w:bookmarkStart w:id="959" w:name="_Toc14771681"/>
      <w:bookmarkStart w:id="960" w:name="_Toc14771892"/>
      <w:bookmarkStart w:id="961" w:name="_Toc14774494"/>
      <w:bookmarkStart w:id="962" w:name="_Toc14775558"/>
      <w:bookmarkStart w:id="963" w:name="_Toc14775721"/>
      <w:bookmarkStart w:id="964" w:name="_Toc14776314"/>
      <w:bookmarkStart w:id="965" w:name="_Toc14777932"/>
      <w:bookmarkStart w:id="966" w:name="_Toc14778078"/>
      <w:bookmarkStart w:id="967" w:name="_Toc14686268"/>
      <w:bookmarkStart w:id="968" w:name="_Toc14690002"/>
      <w:bookmarkStart w:id="969" w:name="_Toc14691968"/>
      <w:bookmarkStart w:id="970" w:name="_Toc14694038"/>
      <w:bookmarkStart w:id="971" w:name="_Toc14694185"/>
      <w:bookmarkStart w:id="972" w:name="_Toc14695753"/>
      <w:bookmarkStart w:id="973" w:name="_Toc14700962"/>
      <w:bookmarkStart w:id="974" w:name="_Toc14702938"/>
      <w:bookmarkStart w:id="975" w:name="_Toc14709777"/>
      <w:bookmarkStart w:id="976" w:name="_Toc14768654"/>
      <w:bookmarkStart w:id="977" w:name="_Toc14771114"/>
      <w:bookmarkStart w:id="978" w:name="_Toc14771297"/>
      <w:bookmarkStart w:id="979" w:name="_Toc14771682"/>
      <w:bookmarkStart w:id="980" w:name="_Toc14771893"/>
      <w:bookmarkStart w:id="981" w:name="_Toc14774495"/>
      <w:bookmarkStart w:id="982" w:name="_Toc14775559"/>
      <w:bookmarkStart w:id="983" w:name="_Toc14775722"/>
      <w:bookmarkStart w:id="984" w:name="_Toc14776315"/>
      <w:bookmarkStart w:id="985" w:name="_Toc14777933"/>
      <w:bookmarkStart w:id="986" w:name="_Toc14778079"/>
      <w:bookmarkStart w:id="987" w:name="_Toc14686269"/>
      <w:bookmarkStart w:id="988" w:name="_Toc14690003"/>
      <w:bookmarkStart w:id="989" w:name="_Toc14691969"/>
      <w:bookmarkStart w:id="990" w:name="_Toc14694039"/>
      <w:bookmarkStart w:id="991" w:name="_Toc14694186"/>
      <w:bookmarkStart w:id="992" w:name="_Toc14695754"/>
      <w:bookmarkStart w:id="993" w:name="_Toc14700963"/>
      <w:bookmarkStart w:id="994" w:name="_Toc14702939"/>
      <w:bookmarkStart w:id="995" w:name="_Toc14709778"/>
      <w:bookmarkStart w:id="996" w:name="_Toc14768655"/>
      <w:bookmarkStart w:id="997" w:name="_Toc14771115"/>
      <w:bookmarkStart w:id="998" w:name="_Toc14771298"/>
      <w:bookmarkStart w:id="999" w:name="_Toc14771683"/>
      <w:bookmarkStart w:id="1000" w:name="_Toc14771894"/>
      <w:bookmarkStart w:id="1001" w:name="_Toc14774496"/>
      <w:bookmarkStart w:id="1002" w:name="_Toc14775560"/>
      <w:bookmarkStart w:id="1003" w:name="_Toc14775723"/>
      <w:bookmarkStart w:id="1004" w:name="_Toc14776316"/>
      <w:bookmarkStart w:id="1005" w:name="_Toc14777934"/>
      <w:bookmarkStart w:id="1006" w:name="_Toc14778080"/>
      <w:bookmarkStart w:id="1007" w:name="_Toc14686270"/>
      <w:bookmarkStart w:id="1008" w:name="_Toc14690004"/>
      <w:bookmarkStart w:id="1009" w:name="_Toc14691970"/>
      <w:bookmarkStart w:id="1010" w:name="_Toc14694040"/>
      <w:bookmarkStart w:id="1011" w:name="_Toc14694187"/>
      <w:bookmarkStart w:id="1012" w:name="_Toc14695755"/>
      <w:bookmarkStart w:id="1013" w:name="_Toc14700964"/>
      <w:bookmarkStart w:id="1014" w:name="_Toc14702940"/>
      <w:bookmarkStart w:id="1015" w:name="_Toc14709779"/>
      <w:bookmarkStart w:id="1016" w:name="_Toc14768656"/>
      <w:bookmarkStart w:id="1017" w:name="_Toc14771116"/>
      <w:bookmarkStart w:id="1018" w:name="_Toc14771299"/>
      <w:bookmarkStart w:id="1019" w:name="_Toc14771684"/>
      <w:bookmarkStart w:id="1020" w:name="_Toc14771895"/>
      <w:bookmarkStart w:id="1021" w:name="_Toc14774497"/>
      <w:bookmarkStart w:id="1022" w:name="_Toc14775561"/>
      <w:bookmarkStart w:id="1023" w:name="_Toc14775724"/>
      <w:bookmarkStart w:id="1024" w:name="_Toc14776317"/>
      <w:bookmarkStart w:id="1025" w:name="_Toc14777935"/>
      <w:bookmarkStart w:id="1026" w:name="_Toc14778081"/>
      <w:bookmarkStart w:id="1027" w:name="_Risks_and_Obligations"/>
      <w:bookmarkStart w:id="1028" w:name="_Toc14686271"/>
      <w:bookmarkStart w:id="1029" w:name="_Toc14690005"/>
      <w:bookmarkStart w:id="1030" w:name="_Toc14691971"/>
      <w:bookmarkStart w:id="1031" w:name="_Toc14694041"/>
      <w:bookmarkStart w:id="1032" w:name="_Toc14694188"/>
      <w:bookmarkStart w:id="1033" w:name="_Toc14695756"/>
      <w:bookmarkStart w:id="1034" w:name="_Toc14700965"/>
      <w:bookmarkStart w:id="1035" w:name="_Toc14702941"/>
      <w:bookmarkStart w:id="1036" w:name="_Toc14709780"/>
      <w:bookmarkStart w:id="1037" w:name="_Toc14768657"/>
      <w:bookmarkStart w:id="1038" w:name="_Toc14771117"/>
      <w:bookmarkStart w:id="1039" w:name="_Toc14771300"/>
      <w:bookmarkStart w:id="1040" w:name="_Toc14771685"/>
      <w:bookmarkStart w:id="1041" w:name="_Toc14771896"/>
      <w:bookmarkStart w:id="1042" w:name="_Toc14774498"/>
      <w:bookmarkStart w:id="1043" w:name="_Toc14775562"/>
      <w:bookmarkStart w:id="1044" w:name="_Toc14775725"/>
      <w:bookmarkStart w:id="1045" w:name="_Toc14776318"/>
      <w:bookmarkStart w:id="1046" w:name="_Toc14777936"/>
      <w:bookmarkStart w:id="1047" w:name="_Toc14778082"/>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r w:rsidRPr="00AC41E0">
        <w:t xml:space="preserve">This chapter provides a framework for the management of risks and obligations related to </w:t>
      </w:r>
      <w:r w:rsidR="00D637D6" w:rsidRPr="00AC41E0">
        <w:t xml:space="preserve">IoT-enabled </w:t>
      </w:r>
      <w:r w:rsidRPr="00AC41E0">
        <w:t>projects. The advice provided here is general in nature. See other chapters in this policy</w:t>
      </w:r>
      <w:r w:rsidR="004F3CB1" w:rsidRPr="00AC41E0">
        <w:t xml:space="preserve"> </w:t>
      </w:r>
      <w:r w:rsidR="00274647" w:rsidRPr="00AC41E0">
        <w:t xml:space="preserve">guidance </w:t>
      </w:r>
      <w:r w:rsidRPr="00AC41E0">
        <w:t>for information on specialised risk types, such as privacy, data</w:t>
      </w:r>
      <w:r w:rsidR="009A2639" w:rsidRPr="00AC41E0">
        <w:t>,</w:t>
      </w:r>
      <w:r w:rsidRPr="00AC41E0">
        <w:t xml:space="preserve"> cyber security</w:t>
      </w:r>
      <w:r w:rsidR="00966D93" w:rsidRPr="00AC41E0">
        <w:t>,</w:t>
      </w:r>
      <w:r w:rsidRPr="00AC41E0">
        <w:t xml:space="preserve"> and procurement risks. </w:t>
      </w:r>
    </w:p>
    <w:p w14:paraId="2B976CB1" w14:textId="127AF4EB" w:rsidR="002F60ED" w:rsidRPr="00AC41E0" w:rsidRDefault="00885DEB" w:rsidP="00885658">
      <w:pPr>
        <w:pStyle w:val="Heading3"/>
        <w:rPr>
          <w:rFonts w:ascii="Arial" w:hAnsi="Arial"/>
        </w:rPr>
      </w:pPr>
      <w:bookmarkStart w:id="1048" w:name="_Toc65760507"/>
      <w:r w:rsidRPr="00AC41E0">
        <w:rPr>
          <w:rFonts w:ascii="Arial" w:hAnsi="Arial"/>
        </w:rPr>
        <w:t>What is r</w:t>
      </w:r>
      <w:r w:rsidR="008D0368" w:rsidRPr="00AC41E0">
        <w:rPr>
          <w:rFonts w:ascii="Arial" w:hAnsi="Arial"/>
        </w:rPr>
        <w:t xml:space="preserve">isk and </w:t>
      </w:r>
      <w:r w:rsidRPr="00AC41E0">
        <w:rPr>
          <w:rFonts w:ascii="Arial" w:hAnsi="Arial"/>
        </w:rPr>
        <w:t xml:space="preserve">compliance </w:t>
      </w:r>
      <w:r w:rsidR="008D0368" w:rsidRPr="00AC41E0">
        <w:rPr>
          <w:rFonts w:ascii="Arial" w:hAnsi="Arial"/>
        </w:rPr>
        <w:t>management</w:t>
      </w:r>
      <w:r w:rsidR="00F70AEB" w:rsidRPr="00AC41E0">
        <w:rPr>
          <w:rFonts w:ascii="Arial" w:hAnsi="Arial"/>
        </w:rPr>
        <w:t>?</w:t>
      </w:r>
      <w:bookmarkEnd w:id="1048"/>
    </w:p>
    <w:p w14:paraId="6B318642" w14:textId="6F1C0BC7" w:rsidR="008D0368" w:rsidRPr="00AC41E0" w:rsidRDefault="00885DEB" w:rsidP="00D4137E">
      <w:pPr>
        <w:pStyle w:val="Heading4"/>
        <w:tabs>
          <w:tab w:val="clear" w:pos="1588"/>
          <w:tab w:val="num" w:pos="1662"/>
        </w:tabs>
        <w:rPr>
          <w:rFonts w:ascii="Arial" w:hAnsi="Arial"/>
        </w:rPr>
      </w:pPr>
      <w:r w:rsidRPr="00AC41E0">
        <w:rPr>
          <w:rFonts w:ascii="Arial" w:hAnsi="Arial"/>
        </w:rPr>
        <w:t>Risk, compliance and obligations</w:t>
      </w:r>
    </w:p>
    <w:p w14:paraId="3AFB45D1" w14:textId="70949E8A" w:rsidR="00EF011B" w:rsidRPr="00AC41E0" w:rsidRDefault="00EF011B" w:rsidP="00EF011B">
      <w:pPr>
        <w:pStyle w:val="DCSbodytext"/>
        <w:rPr>
          <w:lang w:eastAsia="en-AU"/>
        </w:rPr>
      </w:pPr>
      <w:r w:rsidRPr="00AC41E0">
        <w:rPr>
          <w:lang w:eastAsia="en-AU"/>
        </w:rPr>
        <w:t>Risk is ‘the things that could potentially happen’, either in a positive or negative sense, that would impact your ability to implement and deliver</w:t>
      </w:r>
      <w:r w:rsidR="00C90E3F" w:rsidRPr="00AC41E0">
        <w:rPr>
          <w:lang w:eastAsia="en-AU"/>
        </w:rPr>
        <w:t xml:space="preserve"> a</w:t>
      </w:r>
      <w:r w:rsidRPr="00AC41E0">
        <w:rPr>
          <w:lang w:eastAsia="en-AU"/>
        </w:rPr>
        <w:t xml:space="preserve"> project. Risk management is how you manage the uncertainty of potential risks. It involves the identification, analysis</w:t>
      </w:r>
      <w:r w:rsidR="00966D93" w:rsidRPr="00AC41E0">
        <w:rPr>
          <w:lang w:eastAsia="en-AU"/>
        </w:rPr>
        <w:t>,</w:t>
      </w:r>
      <w:r w:rsidRPr="00AC41E0">
        <w:rPr>
          <w:lang w:eastAsia="en-AU"/>
        </w:rPr>
        <w:t xml:space="preserve"> and evaluation of a project's risks and the development of cost-effective strategies to treat those risks. </w:t>
      </w:r>
    </w:p>
    <w:p w14:paraId="54B23113" w14:textId="333FC6FD" w:rsidR="00EF011B" w:rsidRPr="00AC41E0" w:rsidRDefault="00EF011B" w:rsidP="00EF011B">
      <w:pPr>
        <w:pStyle w:val="DCSbodytext"/>
        <w:rPr>
          <w:lang w:eastAsia="en-AU"/>
        </w:rPr>
      </w:pPr>
      <w:r w:rsidRPr="00AC41E0">
        <w:rPr>
          <w:lang w:eastAsia="en-AU"/>
        </w:rPr>
        <w:t>Compliance refers to ‘the things that we must do’ when managing a project, which can come from legislation, policies, codes, contracts, standards and other practices which are imposed or adopted</w:t>
      </w:r>
      <w:r w:rsidR="00466D0B" w:rsidRPr="00AC41E0">
        <w:rPr>
          <w:lang w:eastAsia="en-AU"/>
        </w:rPr>
        <w:t xml:space="preserve"> </w:t>
      </w:r>
      <w:r w:rsidR="00AC09D3" w:rsidRPr="00AC41E0">
        <w:rPr>
          <w:lang w:eastAsia="en-AU"/>
        </w:rPr>
        <w:t>–</w:t>
      </w:r>
      <w:r w:rsidR="00466D0B" w:rsidRPr="00AC41E0">
        <w:rPr>
          <w:lang w:eastAsia="en-AU"/>
        </w:rPr>
        <w:t xml:space="preserve"> </w:t>
      </w:r>
      <w:r w:rsidRPr="00AC41E0">
        <w:rPr>
          <w:lang w:eastAsia="en-AU"/>
        </w:rPr>
        <w:t xml:space="preserve">these are known as obligations. </w:t>
      </w:r>
    </w:p>
    <w:p w14:paraId="65F88883" w14:textId="3F357869" w:rsidR="008D0368" w:rsidRPr="00AC41E0" w:rsidRDefault="00EF011B" w:rsidP="00EF011B">
      <w:pPr>
        <w:pStyle w:val="DCSbodytext"/>
        <w:rPr>
          <w:lang w:eastAsia="en-AU"/>
        </w:rPr>
      </w:pPr>
      <w:r w:rsidRPr="00AC41E0">
        <w:rPr>
          <w:lang w:eastAsia="en-AU"/>
        </w:rPr>
        <w:t xml:space="preserve">Projects of all types and sizes are subject to internal and external influences and obligations that can present risks. In some instances, risks can provide opportunities for the project, </w:t>
      </w:r>
      <w:r w:rsidR="009D118F" w:rsidRPr="00AC41E0">
        <w:rPr>
          <w:lang w:eastAsia="en-AU"/>
        </w:rPr>
        <w:t xml:space="preserve">such as </w:t>
      </w:r>
      <w:r w:rsidRPr="00AC41E0">
        <w:rPr>
          <w:lang w:eastAsia="en-AU"/>
        </w:rPr>
        <w:t>delivering the project earlier than expected, cost savings or innovative designs. However, if risks are not adequately managed, they may cause disruption or failure of the project</w:t>
      </w:r>
      <w:r w:rsidR="008D0368" w:rsidRPr="00AC41E0">
        <w:rPr>
          <w:lang w:eastAsia="en-AU"/>
        </w:rPr>
        <w:t>.</w:t>
      </w:r>
    </w:p>
    <w:p w14:paraId="0A99F138" w14:textId="48400F9F" w:rsidR="008D0368" w:rsidRPr="00AC41E0" w:rsidRDefault="008D0368" w:rsidP="00D4137E">
      <w:pPr>
        <w:pStyle w:val="Heading4"/>
        <w:tabs>
          <w:tab w:val="clear" w:pos="1588"/>
          <w:tab w:val="num" w:pos="1662"/>
        </w:tabs>
        <w:rPr>
          <w:rFonts w:ascii="Arial" w:hAnsi="Arial"/>
        </w:rPr>
      </w:pPr>
      <w:r w:rsidRPr="00AC41E0">
        <w:rPr>
          <w:rFonts w:ascii="Arial" w:hAnsi="Arial"/>
        </w:rPr>
        <w:t xml:space="preserve">What </w:t>
      </w:r>
      <w:r w:rsidR="004036A3" w:rsidRPr="00AC41E0">
        <w:rPr>
          <w:rFonts w:ascii="Arial" w:hAnsi="Arial"/>
        </w:rPr>
        <w:t>does this mean for projects involving IoT?</w:t>
      </w:r>
    </w:p>
    <w:p w14:paraId="0DA5EEFD" w14:textId="5CA41270" w:rsidR="00712361" w:rsidRPr="00AC41E0" w:rsidRDefault="00712361" w:rsidP="00712361">
      <w:pPr>
        <w:pStyle w:val="DCSbodytext"/>
        <w:rPr>
          <w:lang w:eastAsia="en-AU"/>
        </w:rPr>
      </w:pPr>
      <w:r w:rsidRPr="00AC41E0">
        <w:rPr>
          <w:lang w:eastAsia="en-AU"/>
        </w:rPr>
        <w:t xml:space="preserve">Projects which involve IoT are susceptible to a wide range of risks due to the connected nature of IoT and the rapid pace of technological change. Without proper caution, a network is only as strong as its weakest link. Also, the bigger the network, the more exposed the project is to risks. </w:t>
      </w:r>
    </w:p>
    <w:p w14:paraId="17AB95FF" w14:textId="4734F4EE" w:rsidR="00755FDC" w:rsidRPr="00AC41E0" w:rsidRDefault="00712361" w:rsidP="00712361">
      <w:pPr>
        <w:pStyle w:val="DCSbodytext"/>
        <w:rPr>
          <w:lang w:eastAsia="en-AU"/>
        </w:rPr>
      </w:pPr>
      <w:r w:rsidRPr="00AC41E0">
        <w:rPr>
          <w:lang w:eastAsia="en-AU"/>
        </w:rPr>
        <w:t xml:space="preserve">Teams deploying </w:t>
      </w:r>
      <w:r w:rsidR="006B27BC" w:rsidRPr="00AC41E0">
        <w:rPr>
          <w:lang w:eastAsia="en-AU"/>
        </w:rPr>
        <w:t>IoT-enabled project</w:t>
      </w:r>
      <w:r w:rsidRPr="00AC41E0">
        <w:rPr>
          <w:lang w:eastAsia="en-AU"/>
        </w:rPr>
        <w:t>s need to understand their obligations and risk appetite and to make decisions accordingly from the beginning of a project. Risk appetite is the amount and type of risk you are willing to take in order to achieve your project objectives.</w:t>
      </w:r>
      <w:r w:rsidR="006461A6" w:rsidRPr="00AC41E0">
        <w:rPr>
          <w:lang w:eastAsia="en-AU"/>
        </w:rPr>
        <w:t xml:space="preserve"> Risk appetite is often specified at the enterprise level for your organisation</w:t>
      </w:r>
      <w:r w:rsidR="00240D56" w:rsidRPr="00AC41E0">
        <w:rPr>
          <w:lang w:eastAsia="en-AU"/>
        </w:rPr>
        <w:t>.</w:t>
      </w:r>
    </w:p>
    <w:p w14:paraId="3A320C83" w14:textId="77777777" w:rsidR="00D33243" w:rsidRPr="00AC41E0" w:rsidRDefault="00D33243" w:rsidP="00240D56">
      <w:pPr>
        <w:pStyle w:val="DCSbodytext"/>
        <w:jc w:val="center"/>
        <w:rPr>
          <w:b/>
          <w:lang w:eastAsia="en-AU"/>
        </w:rPr>
        <w:sectPr w:rsidR="00D33243" w:rsidRPr="00AC41E0" w:rsidSect="002771AA">
          <w:pgSz w:w="11906" w:h="16838"/>
          <w:pgMar w:top="1418" w:right="1134" w:bottom="1134" w:left="1134" w:header="851" w:footer="425" w:gutter="0"/>
          <w:cols w:space="708"/>
          <w:titlePg/>
          <w:docGrid w:linePitch="360"/>
        </w:sectPr>
      </w:pPr>
    </w:p>
    <w:p w14:paraId="7D3AD5E1" w14:textId="10927B5A" w:rsidR="00240D56" w:rsidRPr="00AC41E0" w:rsidRDefault="00A26EC0" w:rsidP="00240D56">
      <w:pPr>
        <w:pStyle w:val="DCSbodytext"/>
        <w:jc w:val="center"/>
        <w:rPr>
          <w:b/>
          <w:lang w:eastAsia="en-AU"/>
        </w:rPr>
      </w:pPr>
      <w:r w:rsidRPr="00E46FB0">
        <w:rPr>
          <w:b/>
          <w:lang w:eastAsia="en-AU"/>
        </w:rPr>
        <w:lastRenderedPageBreak/>
        <w:t>E</w:t>
      </w:r>
      <w:r w:rsidR="00240D56" w:rsidRPr="00AC41E0">
        <w:rPr>
          <w:b/>
          <w:lang w:eastAsia="en-AU"/>
        </w:rPr>
        <w:t>xamples of risks a project using IoT may face</w:t>
      </w:r>
    </w:p>
    <w:tbl>
      <w:tblPr>
        <w:tblW w:w="5105" w:type="pct"/>
        <w:tblCellMar>
          <w:left w:w="28" w:type="dxa"/>
          <w:bottom w:w="57" w:type="dxa"/>
          <w:right w:w="28" w:type="dxa"/>
        </w:tblCellMar>
        <w:tblLook w:val="04A0" w:firstRow="1" w:lastRow="0" w:firstColumn="1" w:lastColumn="0" w:noHBand="0" w:noVBand="1"/>
        <w:tblCaption w:val="Table 1 - Risk and policy"/>
      </w:tblPr>
      <w:tblGrid>
        <w:gridCol w:w="1530"/>
        <w:gridCol w:w="2649"/>
        <w:gridCol w:w="2480"/>
        <w:gridCol w:w="3411"/>
        <w:gridCol w:w="2408"/>
        <w:gridCol w:w="1841"/>
      </w:tblGrid>
      <w:tr w:rsidR="00A27A03" w:rsidRPr="00AC41E0" w14:paraId="2B5D703E" w14:textId="77777777" w:rsidTr="00A27A03">
        <w:trPr>
          <w:trHeight w:val="406"/>
          <w:tblHeader/>
        </w:trPr>
        <w:tc>
          <w:tcPr>
            <w:tcW w:w="534" w:type="pct"/>
            <w:tcBorders>
              <w:top w:val="single" w:sz="4" w:space="0" w:color="auto"/>
              <w:left w:val="single" w:sz="4" w:space="0" w:color="auto"/>
              <w:bottom w:val="single" w:sz="4" w:space="0" w:color="auto"/>
              <w:right w:val="single" w:sz="4" w:space="0" w:color="auto"/>
            </w:tcBorders>
            <w:shd w:val="clear" w:color="auto" w:fill="1F497D" w:themeFill="text2"/>
            <w:tcMar>
              <w:left w:w="85" w:type="dxa"/>
              <w:bottom w:w="85" w:type="dxa"/>
              <w:right w:w="85" w:type="dxa"/>
            </w:tcMar>
            <w:hideMark/>
          </w:tcPr>
          <w:p w14:paraId="4FF8B161" w14:textId="77777777" w:rsidR="00240D56" w:rsidRPr="00AC41E0" w:rsidRDefault="00240D56" w:rsidP="008039C9">
            <w:pPr>
              <w:jc w:val="center"/>
              <w:rPr>
                <w:rFonts w:ascii="Arial" w:hAnsi="Arial" w:cs="Arial"/>
                <w:b/>
                <w:bCs/>
                <w:color w:val="FFFFFF"/>
                <w:sz w:val="22"/>
                <w:szCs w:val="22"/>
              </w:rPr>
            </w:pPr>
            <w:r w:rsidRPr="00AC41E0">
              <w:rPr>
                <w:rFonts w:ascii="Arial" w:hAnsi="Arial" w:cs="Arial"/>
                <w:b/>
                <w:bCs/>
                <w:color w:val="FFFFFF"/>
                <w:sz w:val="22"/>
                <w:szCs w:val="22"/>
              </w:rPr>
              <w:t>Risk type</w:t>
            </w:r>
          </w:p>
        </w:tc>
        <w:tc>
          <w:tcPr>
            <w:tcW w:w="925" w:type="pct"/>
            <w:tcBorders>
              <w:top w:val="single" w:sz="4" w:space="0" w:color="auto"/>
              <w:left w:val="single" w:sz="4" w:space="0" w:color="auto"/>
              <w:bottom w:val="single" w:sz="4" w:space="0" w:color="auto"/>
              <w:right w:val="single" w:sz="4" w:space="0" w:color="auto"/>
            </w:tcBorders>
            <w:shd w:val="clear" w:color="auto" w:fill="1F497D" w:themeFill="text2"/>
            <w:tcMar>
              <w:left w:w="85" w:type="dxa"/>
              <w:bottom w:w="85" w:type="dxa"/>
              <w:right w:w="85" w:type="dxa"/>
            </w:tcMar>
            <w:hideMark/>
          </w:tcPr>
          <w:p w14:paraId="12B9B04E" w14:textId="77777777" w:rsidR="00240D56" w:rsidRPr="00AC41E0" w:rsidRDefault="00240D56" w:rsidP="008039C9">
            <w:pPr>
              <w:jc w:val="center"/>
              <w:rPr>
                <w:rFonts w:ascii="Arial" w:hAnsi="Arial" w:cs="Arial"/>
                <w:b/>
                <w:bCs/>
                <w:color w:val="FFFFFF"/>
                <w:sz w:val="22"/>
                <w:szCs w:val="22"/>
              </w:rPr>
            </w:pPr>
            <w:r w:rsidRPr="00AC41E0">
              <w:rPr>
                <w:rFonts w:ascii="Arial" w:hAnsi="Arial" w:cs="Arial"/>
                <w:b/>
                <w:bCs/>
                <w:color w:val="FFFFFF"/>
                <w:sz w:val="22"/>
                <w:szCs w:val="22"/>
              </w:rPr>
              <w:t>Description</w:t>
            </w:r>
          </w:p>
        </w:tc>
        <w:tc>
          <w:tcPr>
            <w:tcW w:w="866" w:type="pct"/>
            <w:tcBorders>
              <w:top w:val="single" w:sz="4" w:space="0" w:color="auto"/>
              <w:left w:val="single" w:sz="4" w:space="0" w:color="auto"/>
              <w:bottom w:val="single" w:sz="4" w:space="0" w:color="auto"/>
              <w:right w:val="single" w:sz="4" w:space="0" w:color="auto"/>
            </w:tcBorders>
            <w:shd w:val="clear" w:color="auto" w:fill="1F497D" w:themeFill="text2"/>
            <w:tcMar>
              <w:left w:w="85" w:type="dxa"/>
              <w:bottom w:w="85" w:type="dxa"/>
              <w:right w:w="85" w:type="dxa"/>
            </w:tcMar>
            <w:hideMark/>
          </w:tcPr>
          <w:p w14:paraId="78AD608C" w14:textId="77777777" w:rsidR="00240D56" w:rsidRPr="00AC41E0" w:rsidRDefault="00240D56" w:rsidP="008039C9">
            <w:pPr>
              <w:jc w:val="center"/>
              <w:rPr>
                <w:rFonts w:ascii="Arial" w:hAnsi="Arial" w:cs="Arial"/>
                <w:b/>
                <w:bCs/>
                <w:color w:val="FFFFFF"/>
                <w:sz w:val="22"/>
                <w:szCs w:val="22"/>
              </w:rPr>
            </w:pPr>
            <w:r w:rsidRPr="00AC41E0">
              <w:rPr>
                <w:rFonts w:ascii="Arial" w:hAnsi="Arial" w:cs="Arial"/>
                <w:b/>
                <w:bCs/>
                <w:color w:val="FFFFFF"/>
                <w:sz w:val="22"/>
                <w:szCs w:val="22"/>
              </w:rPr>
              <w:t>Relevance to IoT</w:t>
            </w:r>
          </w:p>
        </w:tc>
        <w:tc>
          <w:tcPr>
            <w:tcW w:w="1191" w:type="pct"/>
            <w:tcBorders>
              <w:top w:val="single" w:sz="4" w:space="0" w:color="auto"/>
              <w:left w:val="single" w:sz="4" w:space="0" w:color="auto"/>
              <w:bottom w:val="single" w:sz="4" w:space="0" w:color="auto"/>
              <w:right w:val="single" w:sz="4" w:space="0" w:color="auto"/>
            </w:tcBorders>
            <w:shd w:val="clear" w:color="auto" w:fill="1F497D" w:themeFill="text2"/>
            <w:tcMar>
              <w:left w:w="85" w:type="dxa"/>
              <w:bottom w:w="85" w:type="dxa"/>
              <w:right w:w="85" w:type="dxa"/>
            </w:tcMar>
            <w:hideMark/>
          </w:tcPr>
          <w:p w14:paraId="2E5DCE40" w14:textId="32D6BDF4" w:rsidR="00240D56" w:rsidRPr="00AC41E0" w:rsidRDefault="00240D56" w:rsidP="008039C9">
            <w:pPr>
              <w:jc w:val="center"/>
              <w:rPr>
                <w:rFonts w:ascii="Arial" w:hAnsi="Arial" w:cs="Arial"/>
                <w:b/>
                <w:bCs/>
                <w:color w:val="FFFFFF"/>
                <w:sz w:val="22"/>
                <w:szCs w:val="22"/>
              </w:rPr>
            </w:pPr>
            <w:r w:rsidRPr="00AC41E0">
              <w:rPr>
                <w:rFonts w:ascii="Arial" w:hAnsi="Arial" w:cs="Arial"/>
                <w:b/>
                <w:bCs/>
                <w:color w:val="FFFFFF"/>
                <w:sz w:val="22"/>
                <w:szCs w:val="22"/>
              </w:rPr>
              <w:t xml:space="preserve">Relevant </w:t>
            </w:r>
            <w:r w:rsidR="00C06F23" w:rsidRPr="00AC41E0">
              <w:rPr>
                <w:rFonts w:ascii="Arial" w:hAnsi="Arial" w:cs="Arial"/>
                <w:b/>
                <w:bCs/>
                <w:color w:val="FFFFFF"/>
                <w:sz w:val="22"/>
                <w:szCs w:val="22"/>
              </w:rPr>
              <w:t>p</w:t>
            </w:r>
            <w:r w:rsidRPr="00AC41E0">
              <w:rPr>
                <w:rFonts w:ascii="Arial" w:hAnsi="Arial" w:cs="Arial"/>
                <w:b/>
                <w:bCs/>
                <w:color w:val="FFFFFF"/>
                <w:sz w:val="22"/>
                <w:szCs w:val="22"/>
              </w:rPr>
              <w:t>olicy</w:t>
            </w:r>
            <w:r w:rsidR="002A2CBF" w:rsidRPr="00AC41E0">
              <w:rPr>
                <w:rFonts w:ascii="Arial" w:hAnsi="Arial" w:cs="Arial"/>
                <w:b/>
                <w:bCs/>
                <w:color w:val="FFFFFF"/>
                <w:sz w:val="22"/>
                <w:szCs w:val="22"/>
              </w:rPr>
              <w:t>/</w:t>
            </w:r>
            <w:r w:rsidR="00C06F23" w:rsidRPr="00AC41E0">
              <w:rPr>
                <w:rFonts w:ascii="Arial" w:hAnsi="Arial" w:cs="Arial"/>
                <w:b/>
                <w:bCs/>
                <w:color w:val="FFFFFF"/>
                <w:sz w:val="22"/>
                <w:szCs w:val="22"/>
              </w:rPr>
              <w:t xml:space="preserve"> </w:t>
            </w:r>
            <w:r w:rsidR="002A2CBF" w:rsidRPr="00AC41E0">
              <w:rPr>
                <w:rFonts w:ascii="Arial" w:hAnsi="Arial" w:cs="Arial"/>
                <w:b/>
                <w:bCs/>
                <w:color w:val="FFFFFF"/>
                <w:sz w:val="22"/>
                <w:szCs w:val="22"/>
              </w:rPr>
              <w:t>legislation</w:t>
            </w:r>
          </w:p>
        </w:tc>
        <w:tc>
          <w:tcPr>
            <w:tcW w:w="841" w:type="pct"/>
            <w:tcBorders>
              <w:top w:val="single" w:sz="4" w:space="0" w:color="auto"/>
              <w:left w:val="single" w:sz="4" w:space="0" w:color="auto"/>
              <w:bottom w:val="single" w:sz="4" w:space="0" w:color="auto"/>
              <w:right w:val="single" w:sz="4" w:space="0" w:color="auto"/>
            </w:tcBorders>
            <w:shd w:val="clear" w:color="auto" w:fill="1F497D" w:themeFill="text2"/>
            <w:tcMar>
              <w:left w:w="85" w:type="dxa"/>
              <w:bottom w:w="85" w:type="dxa"/>
              <w:right w:w="85" w:type="dxa"/>
            </w:tcMar>
            <w:hideMark/>
          </w:tcPr>
          <w:p w14:paraId="5FBE3C99" w14:textId="77777777" w:rsidR="00240D56" w:rsidRPr="00AC41E0" w:rsidRDefault="00240D56" w:rsidP="008039C9">
            <w:pPr>
              <w:jc w:val="center"/>
              <w:rPr>
                <w:rFonts w:ascii="Arial" w:hAnsi="Arial" w:cs="Arial"/>
                <w:b/>
                <w:bCs/>
                <w:color w:val="FFFFFF"/>
                <w:sz w:val="22"/>
                <w:szCs w:val="22"/>
              </w:rPr>
            </w:pPr>
            <w:r w:rsidRPr="00AC41E0">
              <w:rPr>
                <w:rFonts w:ascii="Arial" w:hAnsi="Arial" w:cs="Arial"/>
                <w:b/>
                <w:bCs/>
                <w:color w:val="FFFFFF"/>
                <w:sz w:val="22"/>
                <w:szCs w:val="22"/>
              </w:rPr>
              <w:t>Practical tools</w:t>
            </w:r>
          </w:p>
        </w:tc>
        <w:tc>
          <w:tcPr>
            <w:tcW w:w="643" w:type="pct"/>
            <w:tcBorders>
              <w:top w:val="single" w:sz="4" w:space="0" w:color="auto"/>
              <w:left w:val="single" w:sz="4" w:space="0" w:color="auto"/>
              <w:bottom w:val="single" w:sz="4" w:space="0" w:color="auto"/>
              <w:right w:val="single" w:sz="4" w:space="0" w:color="auto"/>
            </w:tcBorders>
            <w:shd w:val="clear" w:color="auto" w:fill="1F497D" w:themeFill="text2"/>
            <w:tcMar>
              <w:left w:w="85" w:type="dxa"/>
              <w:bottom w:w="85" w:type="dxa"/>
              <w:right w:w="85" w:type="dxa"/>
            </w:tcMar>
            <w:hideMark/>
          </w:tcPr>
          <w:p w14:paraId="2027A123" w14:textId="77777777" w:rsidR="00240D56" w:rsidRPr="00AC41E0" w:rsidRDefault="00240D56" w:rsidP="008039C9">
            <w:pPr>
              <w:jc w:val="center"/>
              <w:rPr>
                <w:rFonts w:ascii="Arial" w:hAnsi="Arial" w:cs="Arial"/>
                <w:b/>
                <w:bCs/>
                <w:color w:val="FFFFFF"/>
                <w:sz w:val="22"/>
                <w:szCs w:val="22"/>
              </w:rPr>
            </w:pPr>
            <w:r w:rsidRPr="00AC41E0">
              <w:rPr>
                <w:rFonts w:ascii="Arial" w:hAnsi="Arial" w:cs="Arial"/>
                <w:b/>
                <w:bCs/>
                <w:color w:val="FFFFFF"/>
                <w:sz w:val="22"/>
                <w:szCs w:val="22"/>
              </w:rPr>
              <w:t>Further information</w:t>
            </w:r>
          </w:p>
        </w:tc>
      </w:tr>
      <w:tr w:rsidR="00A27A03" w:rsidRPr="00AC41E0" w14:paraId="07684706" w14:textId="77777777" w:rsidTr="00A27A03">
        <w:trPr>
          <w:trHeight w:val="2117"/>
        </w:trPr>
        <w:tc>
          <w:tcPr>
            <w:tcW w:w="534" w:type="pct"/>
            <w:tcBorders>
              <w:top w:val="single" w:sz="4" w:space="0" w:color="auto"/>
              <w:left w:val="single" w:sz="8" w:space="0" w:color="8EAADB"/>
              <w:bottom w:val="single" w:sz="8" w:space="0" w:color="8EAADB"/>
              <w:right w:val="single" w:sz="8" w:space="0" w:color="8EAADB"/>
            </w:tcBorders>
            <w:shd w:val="clear" w:color="auto" w:fill="auto"/>
            <w:tcMar>
              <w:left w:w="85" w:type="dxa"/>
              <w:bottom w:w="85" w:type="dxa"/>
              <w:right w:w="85" w:type="dxa"/>
            </w:tcMar>
            <w:hideMark/>
          </w:tcPr>
          <w:p w14:paraId="3AA7BAAA" w14:textId="77777777" w:rsidR="00240D56" w:rsidRPr="00AC41E0" w:rsidRDefault="00240D56" w:rsidP="0022369F">
            <w:pPr>
              <w:spacing w:after="40"/>
              <w:rPr>
                <w:rFonts w:ascii="Arial" w:hAnsi="Arial" w:cs="Arial"/>
                <w:b/>
                <w:bCs/>
                <w:color w:val="000000"/>
                <w:sz w:val="22"/>
                <w:szCs w:val="22"/>
              </w:rPr>
            </w:pPr>
            <w:r w:rsidRPr="00AC41E0">
              <w:rPr>
                <w:rFonts w:ascii="Arial" w:hAnsi="Arial" w:cs="Arial"/>
                <w:b/>
                <w:bCs/>
                <w:color w:val="000000"/>
                <w:sz w:val="22"/>
                <w:szCs w:val="22"/>
              </w:rPr>
              <w:t>General</w:t>
            </w:r>
          </w:p>
        </w:tc>
        <w:tc>
          <w:tcPr>
            <w:tcW w:w="925" w:type="pct"/>
            <w:tcBorders>
              <w:top w:val="single" w:sz="4" w:space="0" w:color="auto"/>
              <w:left w:val="nil"/>
              <w:bottom w:val="single" w:sz="8" w:space="0" w:color="8EAADB"/>
              <w:right w:val="single" w:sz="8" w:space="0" w:color="8EAADB"/>
            </w:tcBorders>
            <w:shd w:val="clear" w:color="auto" w:fill="auto"/>
            <w:tcMar>
              <w:left w:w="85" w:type="dxa"/>
              <w:bottom w:w="85" w:type="dxa"/>
              <w:right w:w="85" w:type="dxa"/>
            </w:tcMar>
            <w:hideMark/>
          </w:tcPr>
          <w:p w14:paraId="4FB0D1D1" w14:textId="56A4F32D" w:rsidR="00240D56" w:rsidRPr="00AC41E0" w:rsidRDefault="009274CB" w:rsidP="0022369F">
            <w:pPr>
              <w:spacing w:after="40"/>
              <w:rPr>
                <w:rFonts w:ascii="Arial" w:hAnsi="Arial" w:cs="Arial"/>
                <w:color w:val="000000"/>
                <w:sz w:val="22"/>
                <w:szCs w:val="22"/>
              </w:rPr>
            </w:pPr>
            <w:r w:rsidRPr="00AC41E0">
              <w:rPr>
                <w:rFonts w:ascii="Arial" w:hAnsi="Arial" w:cs="Arial"/>
                <w:color w:val="000000"/>
                <w:sz w:val="22"/>
                <w:szCs w:val="22"/>
              </w:rPr>
              <w:t>Things that can</w:t>
            </w:r>
            <w:r w:rsidR="00240D56" w:rsidRPr="00AC41E0">
              <w:rPr>
                <w:rFonts w:ascii="Arial" w:hAnsi="Arial" w:cs="Arial"/>
                <w:color w:val="000000"/>
                <w:sz w:val="22"/>
                <w:szCs w:val="22"/>
              </w:rPr>
              <w:t xml:space="preserve"> potentially happen, either in a positive or negative se</w:t>
            </w:r>
            <w:r w:rsidR="00A40B64" w:rsidRPr="00AC41E0">
              <w:rPr>
                <w:rFonts w:ascii="Arial" w:hAnsi="Arial" w:cs="Arial"/>
                <w:color w:val="000000"/>
                <w:sz w:val="22"/>
                <w:szCs w:val="22"/>
              </w:rPr>
              <w:t>nse, which can</w:t>
            </w:r>
            <w:r w:rsidR="00240D56" w:rsidRPr="00AC41E0">
              <w:rPr>
                <w:rFonts w:ascii="Arial" w:hAnsi="Arial" w:cs="Arial"/>
                <w:color w:val="000000"/>
                <w:sz w:val="22"/>
                <w:szCs w:val="22"/>
              </w:rPr>
              <w:t xml:space="preserve"> impact your organisation, work or project</w:t>
            </w:r>
          </w:p>
        </w:tc>
        <w:tc>
          <w:tcPr>
            <w:tcW w:w="866" w:type="pct"/>
            <w:tcBorders>
              <w:top w:val="single" w:sz="4" w:space="0" w:color="auto"/>
              <w:left w:val="nil"/>
              <w:bottom w:val="single" w:sz="8" w:space="0" w:color="8EAADB"/>
              <w:right w:val="single" w:sz="8" w:space="0" w:color="8EAADB"/>
            </w:tcBorders>
            <w:shd w:val="clear" w:color="auto" w:fill="auto"/>
            <w:tcMar>
              <w:left w:w="85" w:type="dxa"/>
              <w:bottom w:w="85" w:type="dxa"/>
              <w:right w:w="85" w:type="dxa"/>
            </w:tcMar>
            <w:hideMark/>
          </w:tcPr>
          <w:p w14:paraId="4D6E1265" w14:textId="55F00938" w:rsidR="00240D56" w:rsidRPr="00AC41E0" w:rsidRDefault="00F26373" w:rsidP="0022369F">
            <w:pPr>
              <w:spacing w:after="40"/>
              <w:rPr>
                <w:rFonts w:ascii="Arial" w:hAnsi="Arial" w:cs="Arial"/>
                <w:color w:val="000000"/>
                <w:sz w:val="22"/>
                <w:szCs w:val="22"/>
              </w:rPr>
            </w:pPr>
            <w:r w:rsidRPr="00AC41E0">
              <w:rPr>
                <w:rFonts w:ascii="Arial" w:hAnsi="Arial" w:cs="Arial"/>
                <w:color w:val="000000"/>
                <w:sz w:val="22"/>
                <w:szCs w:val="22"/>
              </w:rPr>
              <w:t xml:space="preserve">Like any project, </w:t>
            </w:r>
            <w:r w:rsidR="00D9320F" w:rsidRPr="00AC41E0">
              <w:rPr>
                <w:rFonts w:ascii="Arial" w:hAnsi="Arial" w:cs="Arial"/>
                <w:color w:val="000000"/>
                <w:sz w:val="22"/>
                <w:szCs w:val="22"/>
              </w:rPr>
              <w:t xml:space="preserve">IoT-enabled projects </w:t>
            </w:r>
            <w:r w:rsidR="00240D56" w:rsidRPr="00AC41E0">
              <w:rPr>
                <w:rFonts w:ascii="Arial" w:hAnsi="Arial" w:cs="Arial"/>
                <w:color w:val="000000"/>
                <w:sz w:val="22"/>
                <w:szCs w:val="22"/>
              </w:rPr>
              <w:t>are subject to risks</w:t>
            </w:r>
          </w:p>
        </w:tc>
        <w:tc>
          <w:tcPr>
            <w:tcW w:w="1191" w:type="pct"/>
            <w:tcBorders>
              <w:top w:val="single" w:sz="4" w:space="0" w:color="auto"/>
              <w:left w:val="nil"/>
              <w:bottom w:val="single" w:sz="8" w:space="0" w:color="8EAADB"/>
              <w:right w:val="single" w:sz="8" w:space="0" w:color="8EAADB"/>
            </w:tcBorders>
            <w:shd w:val="clear" w:color="auto" w:fill="auto"/>
            <w:tcMar>
              <w:left w:w="85" w:type="dxa"/>
              <w:bottom w:w="85" w:type="dxa"/>
              <w:right w:w="85" w:type="dxa"/>
            </w:tcMar>
            <w:hideMark/>
          </w:tcPr>
          <w:p w14:paraId="12C493DF" w14:textId="388F5A6F" w:rsidR="00240D56"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r:id="rId86" w:history="1">
              <w:r w:rsidR="0060495B" w:rsidRPr="00AC41E0">
                <w:rPr>
                  <w:rStyle w:val="Hyperlink"/>
                  <w:rFonts w:ascii="Arial" w:eastAsia="Times New Roman" w:hAnsi="Arial" w:cs="Arial"/>
                  <w:lang w:eastAsia="en-AU"/>
                </w:rPr>
                <w:t xml:space="preserve">Internal Audit and Risk Management Policy for the NSW Public Sector </w:t>
              </w:r>
              <w:r w:rsidR="0060495B" w:rsidRPr="00AC41E0">
                <w:rPr>
                  <w:rStyle w:val="Hyperlink"/>
                  <w:rFonts w:ascii="Arial" w:hAnsi="Arial" w:cs="Arial"/>
                </w:rPr>
                <w:t>(201</w:t>
              </w:r>
              <w:r w:rsidR="00240D56" w:rsidRPr="00AC41E0">
                <w:rPr>
                  <w:rStyle w:val="Hyperlink"/>
                  <w:rFonts w:ascii="Arial" w:eastAsia="Times New Roman" w:hAnsi="Arial" w:cs="Arial"/>
                  <w:lang w:eastAsia="en-AU"/>
                </w:rPr>
                <w:t>5)</w:t>
              </w:r>
            </w:hyperlink>
          </w:p>
          <w:p w14:paraId="1A698A10" w14:textId="06867AC7" w:rsidR="00240D56" w:rsidRPr="00AC41E0" w:rsidRDefault="002D73FA" w:rsidP="0022369F">
            <w:pPr>
              <w:pStyle w:val="ListParagraph"/>
              <w:numPr>
                <w:ilvl w:val="0"/>
                <w:numId w:val="6"/>
              </w:numPr>
              <w:spacing w:after="60" w:line="240" w:lineRule="auto"/>
              <w:ind w:left="170" w:hanging="170"/>
              <w:contextualSpacing w:val="0"/>
              <w:rPr>
                <w:rStyle w:val="Hyperlink"/>
                <w:rFonts w:ascii="Arial" w:eastAsia="Times New Roman" w:hAnsi="Arial" w:cs="Arial"/>
                <w:lang w:eastAsia="en-AU"/>
              </w:rPr>
            </w:pPr>
            <w:r w:rsidRPr="00E46FB0">
              <w:rPr>
                <w:rFonts w:ascii="Arial" w:hAnsi="Arial" w:cs="Arial"/>
              </w:rPr>
              <w:fldChar w:fldCharType="begin"/>
            </w:r>
            <w:r w:rsidRPr="00AC41E0">
              <w:rPr>
                <w:rFonts w:ascii="Arial" w:hAnsi="Arial" w:cs="Arial"/>
              </w:rPr>
              <w:instrText xml:space="preserve"> HYPERLINK "https://www.audit.nsw.gov.au/our-work/reports/internal-controls-and-governance-2018" </w:instrText>
            </w:r>
            <w:r w:rsidRPr="00AC41E0">
              <w:rPr>
                <w:rFonts w:ascii="Arial" w:hAnsi="Arial" w:cs="Arial"/>
              </w:rPr>
              <w:fldChar w:fldCharType="separate"/>
            </w:r>
            <w:r w:rsidRPr="00AC41E0">
              <w:rPr>
                <w:rStyle w:val="Hyperlink"/>
                <w:rFonts w:ascii="Arial" w:hAnsi="Arial" w:cs="Arial"/>
              </w:rPr>
              <w:t xml:space="preserve">NSW Auditor General’s report - </w:t>
            </w:r>
            <w:r w:rsidR="00240D56" w:rsidRPr="00AC41E0">
              <w:rPr>
                <w:rStyle w:val="Hyperlink"/>
                <w:rFonts w:ascii="Arial" w:eastAsia="Times New Roman" w:hAnsi="Arial" w:cs="Arial"/>
                <w:lang w:eastAsia="en-AU"/>
              </w:rPr>
              <w:t xml:space="preserve">Internal Controls and </w:t>
            </w:r>
            <w:r w:rsidR="00A86F34" w:rsidRPr="00AC41E0">
              <w:rPr>
                <w:rStyle w:val="Hyperlink"/>
                <w:rFonts w:ascii="Arial" w:eastAsia="Times New Roman" w:hAnsi="Arial" w:cs="Arial"/>
                <w:lang w:eastAsia="en-AU"/>
              </w:rPr>
              <w:t xml:space="preserve">Governance </w:t>
            </w:r>
            <w:r w:rsidR="00240D56" w:rsidRPr="00AC41E0">
              <w:rPr>
                <w:rStyle w:val="Hyperlink"/>
                <w:rFonts w:ascii="Arial" w:eastAsia="Times New Roman" w:hAnsi="Arial" w:cs="Arial"/>
                <w:lang w:eastAsia="en-AU"/>
              </w:rPr>
              <w:t>(2018)</w:t>
            </w:r>
          </w:p>
          <w:p w14:paraId="5DE23631" w14:textId="2BE2F55E" w:rsidR="00240D56" w:rsidRPr="00E46FB0" w:rsidRDefault="002D73FA"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r w:rsidRPr="00AC41E0">
              <w:rPr>
                <w:rFonts w:ascii="Arial" w:hAnsi="Arial" w:cs="Arial"/>
              </w:rPr>
              <w:fldChar w:fldCharType="end"/>
            </w:r>
            <w:hyperlink r:id="rId87" w:history="1">
              <w:r w:rsidR="00240D56" w:rsidRPr="00AC41E0">
                <w:rPr>
                  <w:rStyle w:val="Hyperlink"/>
                  <w:rFonts w:ascii="Arial" w:eastAsia="Times New Roman" w:hAnsi="Arial" w:cs="Arial"/>
                  <w:lang w:eastAsia="en-AU"/>
                </w:rPr>
                <w:t>Audit Office of NSW Risk Management Framework (2018)</w:t>
              </w:r>
            </w:hyperlink>
          </w:p>
        </w:tc>
        <w:tc>
          <w:tcPr>
            <w:tcW w:w="841" w:type="pct"/>
            <w:tcBorders>
              <w:top w:val="single" w:sz="4" w:space="0" w:color="auto"/>
              <w:left w:val="nil"/>
              <w:bottom w:val="single" w:sz="8" w:space="0" w:color="8EAADB"/>
              <w:right w:val="single" w:sz="8" w:space="0" w:color="8EAADB"/>
            </w:tcBorders>
            <w:shd w:val="clear" w:color="auto" w:fill="auto"/>
            <w:tcMar>
              <w:left w:w="85" w:type="dxa"/>
              <w:bottom w:w="85" w:type="dxa"/>
              <w:right w:w="85" w:type="dxa"/>
            </w:tcMar>
            <w:hideMark/>
          </w:tcPr>
          <w:p w14:paraId="4A45E059" w14:textId="10F1DF17" w:rsidR="00240D56"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r:id="rId88" w:history="1">
              <w:r w:rsidR="00240D56" w:rsidRPr="00AC41E0">
                <w:rPr>
                  <w:rStyle w:val="Hyperlink"/>
                  <w:rFonts w:ascii="Arial" w:eastAsia="Times New Roman" w:hAnsi="Arial" w:cs="Arial"/>
                  <w:lang w:eastAsia="en-AU"/>
                </w:rPr>
                <w:t>NSW Treasury Risk Management Toolkit (2012)</w:t>
              </w:r>
            </w:hyperlink>
          </w:p>
          <w:p w14:paraId="75BC9B68" w14:textId="40B64CB3" w:rsidR="00240D56"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w:anchor="_Appendix_A_–" w:history="1">
              <w:r w:rsidR="00240D56" w:rsidRPr="00AC41E0">
                <w:rPr>
                  <w:rStyle w:val="Hyperlink"/>
                  <w:rFonts w:ascii="Arial" w:eastAsia="Times New Roman" w:hAnsi="Arial" w:cs="Arial"/>
                  <w:lang w:eastAsia="en-AU"/>
                </w:rPr>
                <w:t>Pre-mortem exercise</w:t>
              </w:r>
            </w:hyperlink>
          </w:p>
        </w:tc>
        <w:tc>
          <w:tcPr>
            <w:tcW w:w="643" w:type="pct"/>
            <w:tcBorders>
              <w:top w:val="single" w:sz="4" w:space="0" w:color="auto"/>
              <w:left w:val="nil"/>
              <w:bottom w:val="single" w:sz="8" w:space="0" w:color="8EAADB"/>
              <w:right w:val="single" w:sz="8" w:space="0" w:color="8EAADB"/>
            </w:tcBorders>
            <w:shd w:val="clear" w:color="auto" w:fill="auto"/>
            <w:tcMar>
              <w:left w:w="85" w:type="dxa"/>
              <w:bottom w:w="85" w:type="dxa"/>
              <w:right w:w="85" w:type="dxa"/>
            </w:tcMar>
            <w:hideMark/>
          </w:tcPr>
          <w:p w14:paraId="734072B6" w14:textId="4971F61A" w:rsidR="00240D56" w:rsidRPr="00E46FB0" w:rsidRDefault="00084371" w:rsidP="0022369F">
            <w:pPr>
              <w:spacing w:after="60"/>
              <w:rPr>
                <w:rFonts w:ascii="Arial" w:hAnsi="Arial" w:cs="Arial"/>
                <w:sz w:val="22"/>
                <w:szCs w:val="22"/>
              </w:rPr>
            </w:pPr>
            <w:hyperlink w:anchor="_Risks_and_obligations_2" w:history="1">
              <w:r w:rsidR="00E467FF" w:rsidRPr="00AC41E0">
                <w:rPr>
                  <w:rStyle w:val="Hyperlink"/>
                  <w:rFonts w:ascii="Arial" w:hAnsi="Arial" w:cs="Arial"/>
                  <w:sz w:val="22"/>
                  <w:szCs w:val="22"/>
                </w:rPr>
                <w:t>Chapter 3.4 R</w:t>
              </w:r>
              <w:r w:rsidR="003A201A" w:rsidRPr="00AC41E0">
                <w:rPr>
                  <w:rStyle w:val="Hyperlink"/>
                  <w:rFonts w:ascii="Arial" w:hAnsi="Arial" w:cs="Arial"/>
                  <w:sz w:val="22"/>
                  <w:szCs w:val="22"/>
                </w:rPr>
                <w:t>isk</w:t>
              </w:r>
              <w:r w:rsidR="00E94389" w:rsidRPr="00AC41E0">
                <w:rPr>
                  <w:rStyle w:val="Hyperlink"/>
                  <w:rFonts w:ascii="Arial" w:hAnsi="Arial" w:cs="Arial"/>
                  <w:sz w:val="22"/>
                  <w:szCs w:val="22"/>
                </w:rPr>
                <w:t>s</w:t>
              </w:r>
              <w:r w:rsidR="003A201A" w:rsidRPr="00AC41E0">
                <w:rPr>
                  <w:rStyle w:val="Hyperlink"/>
                  <w:rFonts w:ascii="Arial" w:hAnsi="Arial" w:cs="Arial"/>
                  <w:sz w:val="22"/>
                  <w:szCs w:val="22"/>
                </w:rPr>
                <w:t xml:space="preserve"> and </w:t>
              </w:r>
              <w:r w:rsidR="00B44F50" w:rsidRPr="00AC41E0">
                <w:rPr>
                  <w:rStyle w:val="Hyperlink"/>
                  <w:rFonts w:ascii="Arial" w:hAnsi="Arial" w:cs="Arial"/>
                  <w:sz w:val="22"/>
                  <w:szCs w:val="22"/>
                </w:rPr>
                <w:t>o</w:t>
              </w:r>
              <w:r w:rsidR="003A201A" w:rsidRPr="00AC41E0">
                <w:rPr>
                  <w:rStyle w:val="Hyperlink"/>
                  <w:rFonts w:ascii="Arial" w:hAnsi="Arial" w:cs="Arial"/>
                  <w:sz w:val="22"/>
                  <w:szCs w:val="22"/>
                </w:rPr>
                <w:t>bligations</w:t>
              </w:r>
            </w:hyperlink>
          </w:p>
        </w:tc>
      </w:tr>
      <w:tr w:rsidR="00A27A03" w:rsidRPr="00AC41E0" w14:paraId="73C47ADF" w14:textId="77777777" w:rsidTr="00A27A03">
        <w:trPr>
          <w:trHeight w:val="1245"/>
        </w:trPr>
        <w:tc>
          <w:tcPr>
            <w:tcW w:w="534" w:type="pct"/>
            <w:tcBorders>
              <w:top w:val="nil"/>
              <w:left w:val="single" w:sz="8" w:space="0" w:color="8EAADB"/>
              <w:bottom w:val="single" w:sz="8" w:space="0" w:color="8EAADB"/>
              <w:right w:val="single" w:sz="8" w:space="0" w:color="8EAADB"/>
            </w:tcBorders>
            <w:shd w:val="clear" w:color="000000" w:fill="D9E2F3"/>
            <w:tcMar>
              <w:left w:w="85" w:type="dxa"/>
              <w:bottom w:w="85" w:type="dxa"/>
              <w:right w:w="85" w:type="dxa"/>
            </w:tcMar>
            <w:hideMark/>
          </w:tcPr>
          <w:p w14:paraId="46796AE0" w14:textId="77777777" w:rsidR="00240D56" w:rsidRPr="00AC41E0" w:rsidRDefault="00240D56" w:rsidP="0022369F">
            <w:pPr>
              <w:spacing w:after="40"/>
              <w:rPr>
                <w:rFonts w:ascii="Arial" w:hAnsi="Arial" w:cs="Arial"/>
                <w:b/>
                <w:bCs/>
                <w:color w:val="000000"/>
                <w:sz w:val="22"/>
                <w:szCs w:val="22"/>
              </w:rPr>
            </w:pPr>
            <w:r w:rsidRPr="00AC41E0">
              <w:rPr>
                <w:rFonts w:ascii="Arial" w:hAnsi="Arial" w:cs="Arial"/>
                <w:b/>
                <w:bCs/>
                <w:color w:val="000000"/>
                <w:sz w:val="22"/>
                <w:szCs w:val="22"/>
              </w:rPr>
              <w:t>Cyber</w:t>
            </w:r>
          </w:p>
        </w:tc>
        <w:tc>
          <w:tcPr>
            <w:tcW w:w="925" w:type="pct"/>
            <w:tcBorders>
              <w:top w:val="nil"/>
              <w:left w:val="nil"/>
              <w:bottom w:val="single" w:sz="8" w:space="0" w:color="8EAADB"/>
              <w:right w:val="single" w:sz="8" w:space="0" w:color="8EAADB"/>
            </w:tcBorders>
            <w:shd w:val="clear" w:color="000000" w:fill="D9E2F3"/>
            <w:tcMar>
              <w:left w:w="85" w:type="dxa"/>
              <w:bottom w:w="85" w:type="dxa"/>
              <w:right w:w="85" w:type="dxa"/>
            </w:tcMar>
            <w:hideMark/>
          </w:tcPr>
          <w:p w14:paraId="3B05E7F8" w14:textId="77777777" w:rsidR="00240D56" w:rsidRPr="00AC41E0" w:rsidRDefault="00240D56" w:rsidP="0022369F">
            <w:pPr>
              <w:spacing w:after="40"/>
              <w:rPr>
                <w:rFonts w:ascii="Arial" w:hAnsi="Arial" w:cs="Arial"/>
                <w:color w:val="000000"/>
                <w:sz w:val="22"/>
                <w:szCs w:val="22"/>
              </w:rPr>
            </w:pPr>
            <w:r w:rsidRPr="00AC41E0">
              <w:rPr>
                <w:rFonts w:ascii="Arial" w:hAnsi="Arial" w:cs="Arial"/>
                <w:color w:val="000000"/>
                <w:sz w:val="22"/>
                <w:szCs w:val="22"/>
              </w:rPr>
              <w:t>Harm/loss resulting from a breach or attack on information systems</w:t>
            </w:r>
          </w:p>
        </w:tc>
        <w:tc>
          <w:tcPr>
            <w:tcW w:w="866" w:type="pct"/>
            <w:tcBorders>
              <w:top w:val="nil"/>
              <w:left w:val="nil"/>
              <w:bottom w:val="single" w:sz="8" w:space="0" w:color="8EAADB"/>
              <w:right w:val="single" w:sz="8" w:space="0" w:color="8EAADB"/>
            </w:tcBorders>
            <w:shd w:val="clear" w:color="000000" w:fill="D9E2F3"/>
            <w:tcMar>
              <w:left w:w="85" w:type="dxa"/>
              <w:bottom w:w="85" w:type="dxa"/>
              <w:right w:w="85" w:type="dxa"/>
            </w:tcMar>
            <w:hideMark/>
          </w:tcPr>
          <w:p w14:paraId="6CA0F1B4" w14:textId="77777777" w:rsidR="00240D56" w:rsidRPr="00AC41E0" w:rsidRDefault="00240D56" w:rsidP="0022369F">
            <w:pPr>
              <w:spacing w:after="40"/>
              <w:rPr>
                <w:rFonts w:ascii="Arial" w:hAnsi="Arial" w:cs="Arial"/>
                <w:color w:val="000000"/>
                <w:sz w:val="22"/>
                <w:szCs w:val="22"/>
              </w:rPr>
            </w:pPr>
            <w:r w:rsidRPr="00AC41E0">
              <w:rPr>
                <w:rFonts w:ascii="Arial" w:hAnsi="Arial" w:cs="Arial"/>
                <w:color w:val="000000"/>
                <w:sz w:val="22"/>
                <w:szCs w:val="22"/>
              </w:rPr>
              <w:t>IoT devices are connected by their nature and therefore vulnerable to cyber security risks</w:t>
            </w:r>
          </w:p>
        </w:tc>
        <w:tc>
          <w:tcPr>
            <w:tcW w:w="1191" w:type="pct"/>
            <w:tcBorders>
              <w:top w:val="nil"/>
              <w:left w:val="nil"/>
              <w:bottom w:val="single" w:sz="8" w:space="0" w:color="8EAADB"/>
              <w:right w:val="single" w:sz="8" w:space="0" w:color="8EAADB"/>
            </w:tcBorders>
            <w:shd w:val="clear" w:color="000000" w:fill="D9E2F3"/>
            <w:tcMar>
              <w:left w:w="85" w:type="dxa"/>
              <w:bottom w:w="85" w:type="dxa"/>
              <w:right w:w="85" w:type="dxa"/>
            </w:tcMar>
            <w:hideMark/>
          </w:tcPr>
          <w:p w14:paraId="756573B5" w14:textId="7424ECF4" w:rsidR="00240D56"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r:id="rId89" w:history="1">
              <w:r w:rsidR="00240D56" w:rsidRPr="00AC41E0">
                <w:rPr>
                  <w:rStyle w:val="Hyperlink"/>
                  <w:rFonts w:ascii="Arial" w:eastAsia="Times New Roman" w:hAnsi="Arial" w:cs="Arial"/>
                  <w:lang w:eastAsia="en-AU"/>
                </w:rPr>
                <w:t>NSW Cyber Security Polic</w:t>
              </w:r>
              <w:r w:rsidR="005D6C50" w:rsidRPr="00AC41E0">
                <w:rPr>
                  <w:rStyle w:val="Hyperlink"/>
                  <w:rFonts w:ascii="Arial" w:eastAsia="Times New Roman" w:hAnsi="Arial" w:cs="Arial"/>
                  <w:lang w:eastAsia="en-AU"/>
                </w:rPr>
                <w:t>y</w:t>
              </w:r>
              <w:r w:rsidR="005D6C50" w:rsidRPr="00AC41E0">
                <w:rPr>
                  <w:rStyle w:val="Hyperlink"/>
                  <w:rFonts w:ascii="Arial" w:hAnsi="Arial" w:cs="Arial"/>
                </w:rPr>
                <w:t xml:space="preserve"> (2019)</w:t>
              </w:r>
            </w:hyperlink>
          </w:p>
          <w:p w14:paraId="5014E78E" w14:textId="77777777" w:rsidR="00240D56"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r:id="rId90" w:history="1">
              <w:r w:rsidR="00240D56" w:rsidRPr="00AC41E0">
                <w:rPr>
                  <w:rStyle w:val="Hyperlink"/>
                  <w:rFonts w:ascii="Arial" w:eastAsia="Times New Roman" w:hAnsi="Arial" w:cs="Arial"/>
                  <w:lang w:eastAsia="en-AU"/>
                </w:rPr>
                <w:t>ISA/IEC 62443 Cybersecurity Certificate Programs</w:t>
              </w:r>
            </w:hyperlink>
          </w:p>
        </w:tc>
        <w:tc>
          <w:tcPr>
            <w:tcW w:w="841" w:type="pct"/>
            <w:tcBorders>
              <w:top w:val="nil"/>
              <w:left w:val="nil"/>
              <w:bottom w:val="single" w:sz="8" w:space="0" w:color="8EAADB"/>
              <w:right w:val="single" w:sz="8" w:space="0" w:color="8EAADB"/>
            </w:tcBorders>
            <w:shd w:val="clear" w:color="000000" w:fill="D9E2F3"/>
            <w:tcMar>
              <w:left w:w="85" w:type="dxa"/>
              <w:bottom w:w="85" w:type="dxa"/>
              <w:right w:w="85" w:type="dxa"/>
            </w:tcMar>
            <w:hideMark/>
          </w:tcPr>
          <w:p w14:paraId="4F09D7D3" w14:textId="77777777" w:rsidR="00E266BD"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r:id="rId91" w:history="1">
              <w:r w:rsidR="00E266BD" w:rsidRPr="00AC41E0">
                <w:rPr>
                  <w:rStyle w:val="Hyperlink"/>
                  <w:rFonts w:ascii="Arial" w:eastAsia="Times New Roman" w:hAnsi="Arial" w:cs="Arial"/>
                  <w:lang w:eastAsia="en-AU"/>
                </w:rPr>
                <w:t>NSW Treasury Risk Management Toolkit (2012)</w:t>
              </w:r>
            </w:hyperlink>
          </w:p>
          <w:p w14:paraId="30C1F33C" w14:textId="4262FEF2" w:rsidR="00240D56"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w:anchor="_Appendix_A_–" w:history="1">
              <w:r w:rsidR="00E266BD" w:rsidRPr="00AC41E0">
                <w:rPr>
                  <w:rStyle w:val="Hyperlink"/>
                  <w:rFonts w:ascii="Arial" w:eastAsia="Times New Roman" w:hAnsi="Arial" w:cs="Arial"/>
                  <w:lang w:eastAsia="en-AU"/>
                </w:rPr>
                <w:t>Pre-mortem exercise</w:t>
              </w:r>
            </w:hyperlink>
          </w:p>
        </w:tc>
        <w:tc>
          <w:tcPr>
            <w:tcW w:w="643" w:type="pct"/>
            <w:tcBorders>
              <w:top w:val="nil"/>
              <w:left w:val="nil"/>
              <w:bottom w:val="single" w:sz="8" w:space="0" w:color="8EAADB"/>
              <w:right w:val="single" w:sz="8" w:space="0" w:color="8EAADB"/>
            </w:tcBorders>
            <w:shd w:val="clear" w:color="000000" w:fill="D9E2F3"/>
            <w:tcMar>
              <w:left w:w="85" w:type="dxa"/>
              <w:bottom w:w="85" w:type="dxa"/>
              <w:right w:w="85" w:type="dxa"/>
            </w:tcMar>
            <w:hideMark/>
          </w:tcPr>
          <w:p w14:paraId="546F3039" w14:textId="33FB1EA2" w:rsidR="00240D56" w:rsidRPr="00E46FB0" w:rsidRDefault="00084371" w:rsidP="0022369F">
            <w:pPr>
              <w:spacing w:after="60"/>
              <w:rPr>
                <w:rFonts w:ascii="Arial" w:hAnsi="Arial" w:cs="Arial"/>
                <w:sz w:val="22"/>
                <w:szCs w:val="22"/>
              </w:rPr>
            </w:pPr>
            <w:hyperlink w:anchor="_Cyber_Security_1" w:history="1">
              <w:r w:rsidR="00240D56" w:rsidRPr="00AC41E0">
                <w:rPr>
                  <w:rStyle w:val="Hyperlink"/>
                  <w:rFonts w:ascii="Arial" w:hAnsi="Arial" w:cs="Arial"/>
                  <w:sz w:val="22"/>
                  <w:szCs w:val="22"/>
                </w:rPr>
                <w:t>C</w:t>
              </w:r>
              <w:r w:rsidR="00E467FF" w:rsidRPr="00AC41E0">
                <w:rPr>
                  <w:rStyle w:val="Hyperlink"/>
                  <w:rFonts w:ascii="Arial" w:hAnsi="Arial" w:cs="Arial"/>
                  <w:sz w:val="22"/>
                  <w:szCs w:val="22"/>
                </w:rPr>
                <w:t>hapter 3.6 C</w:t>
              </w:r>
              <w:r w:rsidR="00240D56" w:rsidRPr="00AC41E0">
                <w:rPr>
                  <w:rStyle w:val="Hyperlink"/>
                  <w:rFonts w:ascii="Arial" w:hAnsi="Arial" w:cs="Arial"/>
                  <w:sz w:val="22"/>
                  <w:szCs w:val="22"/>
                </w:rPr>
                <w:t>yber Security</w:t>
              </w:r>
            </w:hyperlink>
          </w:p>
        </w:tc>
      </w:tr>
      <w:tr w:rsidR="00A27A03" w:rsidRPr="00AC41E0" w14:paraId="3FC46583" w14:textId="77777777" w:rsidTr="00A27A03">
        <w:trPr>
          <w:trHeight w:val="1515"/>
        </w:trPr>
        <w:tc>
          <w:tcPr>
            <w:tcW w:w="534" w:type="pct"/>
            <w:tcBorders>
              <w:top w:val="nil"/>
              <w:left w:val="single" w:sz="8" w:space="0" w:color="8EAADB"/>
              <w:bottom w:val="single" w:sz="8" w:space="0" w:color="8EAADB"/>
              <w:right w:val="single" w:sz="8" w:space="0" w:color="8EAADB"/>
            </w:tcBorders>
            <w:shd w:val="clear" w:color="auto" w:fill="auto"/>
            <w:tcMar>
              <w:left w:w="85" w:type="dxa"/>
              <w:bottom w:w="85" w:type="dxa"/>
              <w:right w:w="85" w:type="dxa"/>
            </w:tcMar>
            <w:hideMark/>
          </w:tcPr>
          <w:p w14:paraId="53AAA071" w14:textId="77777777" w:rsidR="00240D56" w:rsidRPr="00AC41E0" w:rsidRDefault="00240D56" w:rsidP="0022369F">
            <w:pPr>
              <w:spacing w:after="40"/>
              <w:rPr>
                <w:rFonts w:ascii="Arial" w:hAnsi="Arial" w:cs="Arial"/>
                <w:b/>
                <w:bCs/>
                <w:color w:val="000000"/>
                <w:sz w:val="22"/>
                <w:szCs w:val="22"/>
              </w:rPr>
            </w:pPr>
            <w:r w:rsidRPr="00AC41E0">
              <w:rPr>
                <w:rFonts w:ascii="Arial" w:hAnsi="Arial" w:cs="Arial"/>
                <w:b/>
                <w:bCs/>
                <w:color w:val="000000"/>
                <w:sz w:val="22"/>
                <w:szCs w:val="22"/>
              </w:rPr>
              <w:t>Privacy</w:t>
            </w:r>
          </w:p>
        </w:tc>
        <w:tc>
          <w:tcPr>
            <w:tcW w:w="925" w:type="pct"/>
            <w:tcBorders>
              <w:top w:val="nil"/>
              <w:left w:val="nil"/>
              <w:bottom w:val="single" w:sz="8" w:space="0" w:color="8EAADB"/>
              <w:right w:val="single" w:sz="8" w:space="0" w:color="8EAADB"/>
            </w:tcBorders>
            <w:shd w:val="clear" w:color="auto" w:fill="auto"/>
            <w:tcMar>
              <w:left w:w="85" w:type="dxa"/>
              <w:bottom w:w="85" w:type="dxa"/>
              <w:right w:w="85" w:type="dxa"/>
            </w:tcMar>
            <w:hideMark/>
          </w:tcPr>
          <w:p w14:paraId="53D9EA63" w14:textId="77777777" w:rsidR="00240D56" w:rsidRPr="00AC41E0" w:rsidRDefault="00240D56" w:rsidP="0022369F">
            <w:pPr>
              <w:spacing w:after="40"/>
              <w:rPr>
                <w:rFonts w:ascii="Arial" w:hAnsi="Arial" w:cs="Arial"/>
                <w:color w:val="000000"/>
                <w:sz w:val="22"/>
                <w:szCs w:val="22"/>
              </w:rPr>
            </w:pPr>
            <w:r w:rsidRPr="00AC41E0">
              <w:rPr>
                <w:rFonts w:ascii="Arial" w:hAnsi="Arial" w:cs="Arial"/>
                <w:color w:val="000000"/>
                <w:sz w:val="22"/>
                <w:szCs w:val="22"/>
              </w:rPr>
              <w:t>Harm/loss resulting from failure to comply with privacy obligations</w:t>
            </w:r>
          </w:p>
        </w:tc>
        <w:tc>
          <w:tcPr>
            <w:tcW w:w="866" w:type="pct"/>
            <w:tcBorders>
              <w:top w:val="nil"/>
              <w:left w:val="nil"/>
              <w:bottom w:val="single" w:sz="8" w:space="0" w:color="8EAADB"/>
              <w:right w:val="single" w:sz="8" w:space="0" w:color="8EAADB"/>
            </w:tcBorders>
            <w:shd w:val="clear" w:color="auto" w:fill="auto"/>
            <w:tcMar>
              <w:left w:w="85" w:type="dxa"/>
              <w:bottom w:w="85" w:type="dxa"/>
              <w:right w:w="85" w:type="dxa"/>
            </w:tcMar>
            <w:hideMark/>
          </w:tcPr>
          <w:p w14:paraId="6A01C1E9" w14:textId="77777777" w:rsidR="00240D56" w:rsidRPr="00AC41E0" w:rsidRDefault="00240D56" w:rsidP="0022369F">
            <w:pPr>
              <w:spacing w:after="40"/>
              <w:rPr>
                <w:rFonts w:ascii="Arial" w:hAnsi="Arial" w:cs="Arial"/>
                <w:color w:val="000000"/>
                <w:sz w:val="22"/>
                <w:szCs w:val="22"/>
              </w:rPr>
            </w:pPr>
            <w:r w:rsidRPr="00AC41E0">
              <w:rPr>
                <w:rFonts w:ascii="Arial" w:hAnsi="Arial" w:cs="Arial"/>
                <w:color w:val="000000"/>
                <w:sz w:val="22"/>
                <w:szCs w:val="22"/>
              </w:rPr>
              <w:t>IoT devices that collect information must comply with NSW Government privacy obligations</w:t>
            </w:r>
          </w:p>
        </w:tc>
        <w:tc>
          <w:tcPr>
            <w:tcW w:w="1191" w:type="pct"/>
            <w:tcBorders>
              <w:top w:val="nil"/>
              <w:left w:val="nil"/>
              <w:bottom w:val="single" w:sz="8" w:space="0" w:color="8EAADB"/>
              <w:right w:val="single" w:sz="8" w:space="0" w:color="8EAADB"/>
            </w:tcBorders>
            <w:shd w:val="clear" w:color="auto" w:fill="auto"/>
            <w:tcMar>
              <w:left w:w="85" w:type="dxa"/>
              <w:bottom w:w="85" w:type="dxa"/>
              <w:right w:w="85" w:type="dxa"/>
            </w:tcMar>
            <w:hideMark/>
          </w:tcPr>
          <w:p w14:paraId="607901B3" w14:textId="77777777" w:rsidR="00240D56" w:rsidRPr="00AC41E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r:id="rId92" w:anchor="/view/act/1998/133" w:history="1">
              <w:r w:rsidR="00240D56" w:rsidRPr="00AC41E0">
                <w:rPr>
                  <w:rStyle w:val="Hyperlink"/>
                  <w:rFonts w:ascii="Arial" w:eastAsia="Times New Roman" w:hAnsi="Arial" w:cs="Arial"/>
                  <w:i/>
                  <w:lang w:eastAsia="en-AU"/>
                </w:rPr>
                <w:t>Privacy and Personal Information Protection Act 1998</w:t>
              </w:r>
              <w:r w:rsidR="00240D56" w:rsidRPr="00AC41E0">
                <w:rPr>
                  <w:rStyle w:val="Hyperlink"/>
                  <w:rFonts w:ascii="Arial" w:eastAsia="Times New Roman" w:hAnsi="Arial" w:cs="Arial"/>
                  <w:lang w:eastAsia="en-AU"/>
                </w:rPr>
                <w:t xml:space="preserve"> (NSW)</w:t>
              </w:r>
            </w:hyperlink>
            <w:r w:rsidR="00240D56" w:rsidRPr="00E46FB0">
              <w:rPr>
                <w:rFonts w:ascii="Arial" w:eastAsia="Times New Roman" w:hAnsi="Arial" w:cs="Arial"/>
                <w:color w:val="000000"/>
                <w:lang w:eastAsia="en-AU"/>
              </w:rPr>
              <w:t xml:space="preserve"> </w:t>
            </w:r>
          </w:p>
          <w:p w14:paraId="1D432C1C" w14:textId="77777777" w:rsidR="00240D56" w:rsidRPr="00AC41E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r:id="rId93" w:history="1">
              <w:r w:rsidR="00240D56" w:rsidRPr="00AC41E0">
                <w:rPr>
                  <w:rStyle w:val="Hyperlink"/>
                  <w:rFonts w:ascii="Arial" w:eastAsia="Times New Roman" w:hAnsi="Arial" w:cs="Arial"/>
                  <w:i/>
                  <w:lang w:eastAsia="en-AU"/>
                </w:rPr>
                <w:t xml:space="preserve">Privacy Act 1988 </w:t>
              </w:r>
              <w:r w:rsidR="00240D56" w:rsidRPr="00AC41E0">
                <w:rPr>
                  <w:rStyle w:val="Hyperlink"/>
                  <w:rFonts w:ascii="Arial" w:eastAsia="Times New Roman" w:hAnsi="Arial" w:cs="Arial"/>
                  <w:lang w:eastAsia="en-AU"/>
                </w:rPr>
                <w:t>(Cth)</w:t>
              </w:r>
            </w:hyperlink>
            <w:r w:rsidR="00240D56" w:rsidRPr="00E46FB0">
              <w:rPr>
                <w:rFonts w:ascii="Arial" w:eastAsia="Times New Roman" w:hAnsi="Arial" w:cs="Arial"/>
                <w:color w:val="000000"/>
                <w:lang w:eastAsia="en-AU"/>
              </w:rPr>
              <w:t xml:space="preserve"> </w:t>
            </w:r>
          </w:p>
          <w:p w14:paraId="35000038" w14:textId="5E941D96" w:rsidR="00240D56"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r:id="rId94" w:anchor="/view/act/2002/71" w:history="1">
              <w:r w:rsidR="00240D56" w:rsidRPr="00AC41E0">
                <w:rPr>
                  <w:rStyle w:val="Hyperlink"/>
                  <w:rFonts w:ascii="Arial" w:eastAsia="Times New Roman" w:hAnsi="Arial" w:cs="Arial"/>
                  <w:i/>
                  <w:lang w:eastAsia="en-AU"/>
                </w:rPr>
                <w:t>Health Records and Information Privacy Act 2002</w:t>
              </w:r>
              <w:r w:rsidR="00240D56" w:rsidRPr="00AC41E0">
                <w:rPr>
                  <w:rStyle w:val="Hyperlink"/>
                  <w:rFonts w:ascii="Arial" w:eastAsia="Times New Roman" w:hAnsi="Arial" w:cs="Arial"/>
                  <w:lang w:eastAsia="en-AU"/>
                </w:rPr>
                <w:t xml:space="preserve"> (NSW)</w:t>
              </w:r>
            </w:hyperlink>
          </w:p>
        </w:tc>
        <w:tc>
          <w:tcPr>
            <w:tcW w:w="841" w:type="pct"/>
            <w:tcBorders>
              <w:top w:val="nil"/>
              <w:left w:val="nil"/>
              <w:bottom w:val="single" w:sz="8" w:space="0" w:color="8EAADB"/>
              <w:right w:val="single" w:sz="8" w:space="0" w:color="8EAADB"/>
            </w:tcBorders>
            <w:shd w:val="clear" w:color="auto" w:fill="auto"/>
            <w:tcMar>
              <w:left w:w="85" w:type="dxa"/>
              <w:bottom w:w="85" w:type="dxa"/>
              <w:right w:w="85" w:type="dxa"/>
            </w:tcMar>
            <w:hideMark/>
          </w:tcPr>
          <w:p w14:paraId="23E10678" w14:textId="77777777" w:rsidR="00E266BD"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r:id="rId95" w:history="1">
              <w:r w:rsidR="00E266BD" w:rsidRPr="00AC41E0">
                <w:rPr>
                  <w:rStyle w:val="Hyperlink"/>
                  <w:rFonts w:ascii="Arial" w:eastAsia="Times New Roman" w:hAnsi="Arial" w:cs="Arial"/>
                  <w:lang w:eastAsia="en-AU"/>
                </w:rPr>
                <w:t>NSW Treasury Risk Management Toolkit (2012)</w:t>
              </w:r>
            </w:hyperlink>
          </w:p>
          <w:p w14:paraId="1E101191" w14:textId="77777777" w:rsidR="00E266BD" w:rsidRPr="00E46FB0" w:rsidRDefault="00084371" w:rsidP="0022369F">
            <w:pPr>
              <w:pStyle w:val="ListParagraph"/>
              <w:numPr>
                <w:ilvl w:val="0"/>
                <w:numId w:val="6"/>
              </w:numPr>
              <w:spacing w:after="60" w:line="240" w:lineRule="auto"/>
              <w:ind w:left="170" w:hanging="170"/>
              <w:contextualSpacing w:val="0"/>
              <w:rPr>
                <w:rStyle w:val="Hyperlink"/>
                <w:rFonts w:ascii="Arial" w:eastAsia="Times New Roman" w:hAnsi="Arial" w:cs="Arial"/>
                <w:color w:val="000000"/>
                <w:u w:val="none"/>
                <w:lang w:eastAsia="en-AU"/>
              </w:rPr>
            </w:pPr>
            <w:hyperlink w:anchor="_Appendix_A_–" w:history="1">
              <w:r w:rsidR="00E266BD" w:rsidRPr="00AC41E0">
                <w:rPr>
                  <w:rStyle w:val="Hyperlink"/>
                  <w:rFonts w:ascii="Arial" w:eastAsia="Times New Roman" w:hAnsi="Arial" w:cs="Arial"/>
                  <w:lang w:eastAsia="en-AU"/>
                </w:rPr>
                <w:t>Pre-mortem exercise</w:t>
              </w:r>
            </w:hyperlink>
          </w:p>
          <w:p w14:paraId="4CE82692" w14:textId="65022346" w:rsidR="00240D56"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r:id="rId96" w:history="1">
              <w:r w:rsidR="00240D56" w:rsidRPr="00AC41E0">
                <w:rPr>
                  <w:rStyle w:val="Hyperlink"/>
                  <w:rFonts w:ascii="Arial" w:eastAsia="Times New Roman" w:hAnsi="Arial" w:cs="Arial"/>
                  <w:lang w:eastAsia="en-AU"/>
                </w:rPr>
                <w:t xml:space="preserve">Privacy Impact Assessment </w:t>
              </w:r>
            </w:hyperlink>
          </w:p>
        </w:tc>
        <w:tc>
          <w:tcPr>
            <w:tcW w:w="643" w:type="pct"/>
            <w:tcBorders>
              <w:top w:val="nil"/>
              <w:left w:val="nil"/>
              <w:bottom w:val="single" w:sz="8" w:space="0" w:color="8EAADB"/>
              <w:right w:val="single" w:sz="8" w:space="0" w:color="8EAADB"/>
            </w:tcBorders>
            <w:shd w:val="clear" w:color="auto" w:fill="auto"/>
            <w:tcMar>
              <w:left w:w="85" w:type="dxa"/>
              <w:bottom w:w="85" w:type="dxa"/>
              <w:right w:w="85" w:type="dxa"/>
            </w:tcMar>
            <w:hideMark/>
          </w:tcPr>
          <w:p w14:paraId="60D259AA" w14:textId="537E79AD" w:rsidR="00240D56" w:rsidRPr="00E46FB0" w:rsidRDefault="00084371" w:rsidP="0022369F">
            <w:pPr>
              <w:spacing w:after="60"/>
              <w:ind w:right="411"/>
              <w:rPr>
                <w:rFonts w:ascii="Arial" w:hAnsi="Arial" w:cs="Arial"/>
                <w:sz w:val="22"/>
                <w:szCs w:val="22"/>
              </w:rPr>
            </w:pPr>
            <w:hyperlink w:anchor="_Privacy_1" w:history="1">
              <w:r w:rsidR="00E467FF" w:rsidRPr="00AC41E0">
                <w:rPr>
                  <w:rStyle w:val="Hyperlink"/>
                  <w:rFonts w:ascii="Arial" w:hAnsi="Arial" w:cs="Arial"/>
                  <w:sz w:val="22"/>
                  <w:szCs w:val="22"/>
                </w:rPr>
                <w:t>Chapter 3.5 Privacy</w:t>
              </w:r>
            </w:hyperlink>
          </w:p>
        </w:tc>
      </w:tr>
      <w:tr w:rsidR="00A27A03" w:rsidRPr="00AC41E0" w14:paraId="76CED9B5" w14:textId="77777777" w:rsidTr="00A27A03">
        <w:trPr>
          <w:trHeight w:val="924"/>
        </w:trPr>
        <w:tc>
          <w:tcPr>
            <w:tcW w:w="534" w:type="pct"/>
            <w:tcBorders>
              <w:top w:val="nil"/>
              <w:left w:val="single" w:sz="8" w:space="0" w:color="8EAADB"/>
              <w:bottom w:val="single" w:sz="8" w:space="0" w:color="8EAADB"/>
              <w:right w:val="single" w:sz="8" w:space="0" w:color="8EAADB"/>
            </w:tcBorders>
            <w:shd w:val="clear" w:color="000000" w:fill="D9E2F3"/>
            <w:tcMar>
              <w:left w:w="85" w:type="dxa"/>
              <w:bottom w:w="85" w:type="dxa"/>
              <w:right w:w="85" w:type="dxa"/>
            </w:tcMar>
            <w:hideMark/>
          </w:tcPr>
          <w:p w14:paraId="6C773079" w14:textId="77777777" w:rsidR="00240D56" w:rsidRPr="00AC41E0" w:rsidRDefault="00240D56" w:rsidP="0022369F">
            <w:pPr>
              <w:spacing w:after="40"/>
              <w:rPr>
                <w:rFonts w:ascii="Arial" w:hAnsi="Arial" w:cs="Arial"/>
                <w:b/>
                <w:bCs/>
                <w:color w:val="000000"/>
                <w:sz w:val="22"/>
                <w:szCs w:val="22"/>
              </w:rPr>
            </w:pPr>
            <w:r w:rsidRPr="00AC41E0">
              <w:rPr>
                <w:rFonts w:ascii="Arial" w:hAnsi="Arial" w:cs="Arial"/>
                <w:b/>
                <w:bCs/>
                <w:color w:val="000000"/>
                <w:sz w:val="22"/>
                <w:szCs w:val="22"/>
              </w:rPr>
              <w:t>Contract</w:t>
            </w:r>
          </w:p>
        </w:tc>
        <w:tc>
          <w:tcPr>
            <w:tcW w:w="925" w:type="pct"/>
            <w:tcBorders>
              <w:top w:val="nil"/>
              <w:left w:val="nil"/>
              <w:bottom w:val="single" w:sz="8" w:space="0" w:color="8EAADB"/>
              <w:right w:val="single" w:sz="8" w:space="0" w:color="8EAADB"/>
            </w:tcBorders>
            <w:shd w:val="clear" w:color="000000" w:fill="D9E2F3"/>
            <w:tcMar>
              <w:left w:w="85" w:type="dxa"/>
              <w:bottom w:w="85" w:type="dxa"/>
              <w:right w:w="85" w:type="dxa"/>
            </w:tcMar>
            <w:hideMark/>
          </w:tcPr>
          <w:p w14:paraId="338B8E1D" w14:textId="6AA5F8BB" w:rsidR="00240D56" w:rsidRPr="00AC41E0" w:rsidRDefault="00240D56" w:rsidP="0022369F">
            <w:pPr>
              <w:spacing w:after="40"/>
              <w:rPr>
                <w:rFonts w:ascii="Arial" w:hAnsi="Arial" w:cs="Arial"/>
                <w:color w:val="000000"/>
                <w:sz w:val="22"/>
                <w:szCs w:val="22"/>
              </w:rPr>
            </w:pPr>
            <w:r w:rsidRPr="00AC41E0">
              <w:rPr>
                <w:rFonts w:ascii="Arial" w:hAnsi="Arial" w:cs="Arial"/>
                <w:color w:val="000000"/>
                <w:sz w:val="22"/>
                <w:szCs w:val="22"/>
              </w:rPr>
              <w:t xml:space="preserve">Failure to manage </w:t>
            </w:r>
            <w:r w:rsidR="00536866" w:rsidRPr="00AC41E0">
              <w:rPr>
                <w:rFonts w:ascii="Arial" w:hAnsi="Arial" w:cs="Arial"/>
                <w:color w:val="000000"/>
                <w:sz w:val="22"/>
                <w:szCs w:val="22"/>
              </w:rPr>
              <w:t xml:space="preserve">IoT service providers </w:t>
            </w:r>
            <w:r w:rsidRPr="00AC41E0">
              <w:rPr>
                <w:rFonts w:ascii="Arial" w:hAnsi="Arial" w:cs="Arial"/>
                <w:color w:val="000000"/>
                <w:sz w:val="22"/>
                <w:szCs w:val="22"/>
              </w:rPr>
              <w:t>and supply chain obligations leading to unfulfilled contracts and/or other adverse outcomes</w:t>
            </w:r>
          </w:p>
        </w:tc>
        <w:tc>
          <w:tcPr>
            <w:tcW w:w="866" w:type="pct"/>
            <w:tcBorders>
              <w:top w:val="nil"/>
              <w:left w:val="nil"/>
              <w:bottom w:val="single" w:sz="8" w:space="0" w:color="8EAADB"/>
              <w:right w:val="single" w:sz="8" w:space="0" w:color="8EAADB"/>
            </w:tcBorders>
            <w:shd w:val="clear" w:color="000000" w:fill="D9E2F3"/>
            <w:tcMar>
              <w:left w:w="85" w:type="dxa"/>
              <w:bottom w:w="85" w:type="dxa"/>
              <w:right w:w="85" w:type="dxa"/>
            </w:tcMar>
            <w:hideMark/>
          </w:tcPr>
          <w:p w14:paraId="0BD7C7A1" w14:textId="3BDCC596" w:rsidR="00240D56" w:rsidRPr="00AC41E0" w:rsidRDefault="006B27BC" w:rsidP="0022369F">
            <w:pPr>
              <w:spacing w:after="40"/>
              <w:rPr>
                <w:rFonts w:ascii="Arial" w:hAnsi="Arial" w:cs="Arial"/>
                <w:color w:val="000000"/>
                <w:sz w:val="22"/>
                <w:szCs w:val="22"/>
              </w:rPr>
            </w:pPr>
            <w:r w:rsidRPr="00AC41E0">
              <w:rPr>
                <w:rFonts w:ascii="Arial" w:hAnsi="Arial" w:cs="Arial"/>
                <w:color w:val="000000"/>
                <w:sz w:val="22"/>
                <w:szCs w:val="22"/>
              </w:rPr>
              <w:t>IoT-enabled project</w:t>
            </w:r>
            <w:r w:rsidR="00240D56" w:rsidRPr="00AC41E0">
              <w:rPr>
                <w:rFonts w:ascii="Arial" w:hAnsi="Arial" w:cs="Arial"/>
                <w:color w:val="000000"/>
                <w:sz w:val="22"/>
                <w:szCs w:val="22"/>
              </w:rPr>
              <w:t>s that involve procurement require the use of contracts</w:t>
            </w:r>
          </w:p>
        </w:tc>
        <w:tc>
          <w:tcPr>
            <w:tcW w:w="1191" w:type="pct"/>
            <w:tcBorders>
              <w:top w:val="nil"/>
              <w:left w:val="nil"/>
              <w:bottom w:val="single" w:sz="8" w:space="0" w:color="8EAADB"/>
              <w:right w:val="single" w:sz="8" w:space="0" w:color="8EAADB"/>
            </w:tcBorders>
            <w:shd w:val="clear" w:color="000000" w:fill="D9E2F3"/>
            <w:tcMar>
              <w:left w:w="85" w:type="dxa"/>
              <w:bottom w:w="85" w:type="dxa"/>
              <w:right w:w="85" w:type="dxa"/>
            </w:tcMar>
            <w:hideMark/>
          </w:tcPr>
          <w:p w14:paraId="70121DD6" w14:textId="60061E1D" w:rsidR="00240D56"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r:id="rId97" w:history="1">
              <w:r w:rsidR="00240D56" w:rsidRPr="00AC41E0">
                <w:rPr>
                  <w:rStyle w:val="Hyperlink"/>
                  <w:rFonts w:ascii="Arial" w:eastAsia="Times New Roman" w:hAnsi="Arial" w:cs="Arial"/>
                  <w:lang w:eastAsia="en-AU"/>
                </w:rPr>
                <w:t xml:space="preserve">NSW </w:t>
              </w:r>
              <w:r w:rsidR="005065D6" w:rsidRPr="00AC41E0">
                <w:rPr>
                  <w:rStyle w:val="Hyperlink"/>
                  <w:rFonts w:ascii="Arial" w:eastAsia="Times New Roman" w:hAnsi="Arial" w:cs="Arial"/>
                  <w:lang w:eastAsia="en-AU"/>
                </w:rPr>
                <w:t>Go</w:t>
              </w:r>
              <w:r w:rsidR="005065D6" w:rsidRPr="00AC41E0">
                <w:rPr>
                  <w:rStyle w:val="Hyperlink"/>
                  <w:rFonts w:ascii="Arial" w:eastAsia="Times New Roman" w:hAnsi="Arial" w:cs="Arial"/>
                </w:rPr>
                <w:t xml:space="preserve">vernment </w:t>
              </w:r>
              <w:r w:rsidR="00240D56" w:rsidRPr="00AC41E0">
                <w:rPr>
                  <w:rStyle w:val="Hyperlink"/>
                  <w:rFonts w:ascii="Arial" w:eastAsia="Times New Roman" w:hAnsi="Arial" w:cs="Arial"/>
                  <w:lang w:eastAsia="en-AU"/>
                </w:rPr>
                <w:t xml:space="preserve">Procurement </w:t>
              </w:r>
              <w:r w:rsidR="00C96509" w:rsidRPr="00AC41E0">
                <w:rPr>
                  <w:rStyle w:val="Hyperlink"/>
                  <w:rFonts w:ascii="Arial" w:eastAsia="Times New Roman" w:hAnsi="Arial" w:cs="Arial"/>
                  <w:lang w:eastAsia="en-AU"/>
                </w:rPr>
                <w:t xml:space="preserve">Guidelines - </w:t>
              </w:r>
              <w:r w:rsidR="00240D56" w:rsidRPr="00AC41E0">
                <w:rPr>
                  <w:rStyle w:val="Hyperlink"/>
                  <w:rFonts w:ascii="Arial" w:eastAsia="Times New Roman" w:hAnsi="Arial" w:cs="Arial"/>
                  <w:lang w:eastAsia="en-AU"/>
                </w:rPr>
                <w:t>Risk Management (2006)</w:t>
              </w:r>
            </w:hyperlink>
          </w:p>
        </w:tc>
        <w:tc>
          <w:tcPr>
            <w:tcW w:w="841" w:type="pct"/>
            <w:tcBorders>
              <w:top w:val="nil"/>
              <w:left w:val="nil"/>
              <w:bottom w:val="single" w:sz="8" w:space="0" w:color="8EAADB"/>
              <w:right w:val="single" w:sz="8" w:space="0" w:color="8EAADB"/>
            </w:tcBorders>
            <w:shd w:val="clear" w:color="000000" w:fill="D9E2F3"/>
            <w:tcMar>
              <w:left w:w="85" w:type="dxa"/>
              <w:bottom w:w="85" w:type="dxa"/>
              <w:right w:w="85" w:type="dxa"/>
            </w:tcMar>
            <w:hideMark/>
          </w:tcPr>
          <w:p w14:paraId="6C297510" w14:textId="77777777" w:rsidR="00E266BD"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r:id="rId98" w:history="1">
              <w:r w:rsidR="00E266BD" w:rsidRPr="00AC41E0">
                <w:rPr>
                  <w:rStyle w:val="Hyperlink"/>
                  <w:rFonts w:ascii="Arial" w:eastAsia="Times New Roman" w:hAnsi="Arial" w:cs="Arial"/>
                  <w:lang w:eastAsia="en-AU"/>
                </w:rPr>
                <w:t>NSW Treasury Risk Management Toolkit (2012)</w:t>
              </w:r>
            </w:hyperlink>
          </w:p>
          <w:p w14:paraId="2C140386" w14:textId="3D8DE53D" w:rsidR="00240D56"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w:anchor="_Appendix_A_–" w:history="1">
              <w:r w:rsidR="00E266BD" w:rsidRPr="00AC41E0">
                <w:rPr>
                  <w:rStyle w:val="Hyperlink"/>
                  <w:rFonts w:ascii="Arial" w:eastAsia="Times New Roman" w:hAnsi="Arial" w:cs="Arial"/>
                  <w:lang w:eastAsia="en-AU"/>
                </w:rPr>
                <w:t>Pre-mortem exercise</w:t>
              </w:r>
            </w:hyperlink>
          </w:p>
        </w:tc>
        <w:tc>
          <w:tcPr>
            <w:tcW w:w="643" w:type="pct"/>
            <w:tcBorders>
              <w:top w:val="nil"/>
              <w:left w:val="nil"/>
              <w:bottom w:val="single" w:sz="8" w:space="0" w:color="8EAADB"/>
              <w:right w:val="single" w:sz="8" w:space="0" w:color="8EAADB"/>
            </w:tcBorders>
            <w:shd w:val="clear" w:color="auto" w:fill="D9E2F3"/>
            <w:tcMar>
              <w:left w:w="85" w:type="dxa"/>
              <w:bottom w:w="85" w:type="dxa"/>
              <w:right w:w="85" w:type="dxa"/>
            </w:tcMar>
            <w:hideMark/>
          </w:tcPr>
          <w:p w14:paraId="16D7FB42" w14:textId="6E2661E6" w:rsidR="00240D56" w:rsidRPr="00E46FB0" w:rsidRDefault="00084371" w:rsidP="0022369F">
            <w:pPr>
              <w:spacing w:after="60"/>
              <w:rPr>
                <w:rFonts w:ascii="Arial" w:hAnsi="Arial" w:cs="Arial"/>
                <w:color w:val="000000"/>
                <w:sz w:val="22"/>
                <w:szCs w:val="22"/>
              </w:rPr>
            </w:pPr>
            <w:hyperlink w:anchor="_Toc14690044" w:history="1">
              <w:r w:rsidR="00E467FF" w:rsidRPr="00AC41E0">
                <w:rPr>
                  <w:rStyle w:val="Hyperlink"/>
                  <w:rFonts w:ascii="Arial" w:hAnsi="Arial" w:cs="Arial"/>
                  <w:sz w:val="22"/>
                  <w:szCs w:val="22"/>
                </w:rPr>
                <w:t>Chapter 5.1 P</w:t>
              </w:r>
              <w:r w:rsidR="00240D56" w:rsidRPr="00AC41E0">
                <w:rPr>
                  <w:rStyle w:val="Hyperlink"/>
                  <w:rFonts w:ascii="Arial" w:hAnsi="Arial" w:cs="Arial"/>
                  <w:sz w:val="22"/>
                  <w:szCs w:val="22"/>
                </w:rPr>
                <w:t xml:space="preserve">rocuring IoT </w:t>
              </w:r>
              <w:r w:rsidR="002D6646" w:rsidRPr="00AC41E0">
                <w:rPr>
                  <w:rStyle w:val="Hyperlink"/>
                  <w:rFonts w:ascii="Arial" w:hAnsi="Arial" w:cs="Arial"/>
                  <w:sz w:val="22"/>
                  <w:szCs w:val="22"/>
                </w:rPr>
                <w:t>s</w:t>
              </w:r>
              <w:r w:rsidR="00240D56" w:rsidRPr="00AC41E0">
                <w:rPr>
                  <w:rStyle w:val="Hyperlink"/>
                  <w:rFonts w:ascii="Arial" w:hAnsi="Arial" w:cs="Arial"/>
                  <w:sz w:val="22"/>
                  <w:szCs w:val="22"/>
                </w:rPr>
                <w:t>olutions</w:t>
              </w:r>
            </w:hyperlink>
          </w:p>
        </w:tc>
      </w:tr>
      <w:tr w:rsidR="00A27A03" w:rsidRPr="00AC41E0" w14:paraId="09E99030" w14:textId="77777777" w:rsidTr="00A27A03">
        <w:trPr>
          <w:trHeight w:val="1549"/>
        </w:trPr>
        <w:tc>
          <w:tcPr>
            <w:tcW w:w="534" w:type="pct"/>
            <w:tcBorders>
              <w:top w:val="nil"/>
              <w:left w:val="single" w:sz="8" w:space="0" w:color="8EAADB"/>
              <w:bottom w:val="single" w:sz="8" w:space="0" w:color="8EAADB"/>
              <w:right w:val="single" w:sz="8" w:space="0" w:color="8EAADB"/>
            </w:tcBorders>
            <w:shd w:val="clear" w:color="auto" w:fill="FFFFFF" w:themeFill="background1"/>
            <w:tcMar>
              <w:left w:w="85" w:type="dxa"/>
              <w:bottom w:w="85" w:type="dxa"/>
              <w:right w:w="85" w:type="dxa"/>
            </w:tcMar>
            <w:hideMark/>
          </w:tcPr>
          <w:p w14:paraId="7882E093" w14:textId="77777777" w:rsidR="00240D56" w:rsidRPr="00AC41E0" w:rsidRDefault="00240D56" w:rsidP="0022369F">
            <w:pPr>
              <w:spacing w:after="40"/>
              <w:rPr>
                <w:rFonts w:ascii="Arial" w:hAnsi="Arial" w:cs="Arial"/>
                <w:b/>
                <w:bCs/>
                <w:color w:val="000000"/>
                <w:sz w:val="22"/>
                <w:szCs w:val="22"/>
              </w:rPr>
            </w:pPr>
            <w:r w:rsidRPr="00AC41E0">
              <w:rPr>
                <w:rFonts w:ascii="Arial" w:hAnsi="Arial" w:cs="Arial"/>
                <w:b/>
                <w:bCs/>
                <w:color w:val="000000"/>
                <w:sz w:val="22"/>
                <w:szCs w:val="22"/>
              </w:rPr>
              <w:lastRenderedPageBreak/>
              <w:t>Data</w:t>
            </w:r>
          </w:p>
        </w:tc>
        <w:tc>
          <w:tcPr>
            <w:tcW w:w="925" w:type="pct"/>
            <w:tcBorders>
              <w:top w:val="nil"/>
              <w:left w:val="nil"/>
              <w:bottom w:val="single" w:sz="8" w:space="0" w:color="8EAADB"/>
              <w:right w:val="single" w:sz="8" w:space="0" w:color="8EAADB"/>
            </w:tcBorders>
            <w:shd w:val="clear" w:color="auto" w:fill="FFFFFF" w:themeFill="background1"/>
            <w:tcMar>
              <w:left w:w="85" w:type="dxa"/>
              <w:bottom w:w="85" w:type="dxa"/>
              <w:right w:w="85" w:type="dxa"/>
            </w:tcMar>
            <w:hideMark/>
          </w:tcPr>
          <w:p w14:paraId="4FEE4FED" w14:textId="77777777" w:rsidR="00240D56" w:rsidRPr="00AC41E0" w:rsidRDefault="00240D56" w:rsidP="0022369F">
            <w:pPr>
              <w:spacing w:after="40"/>
              <w:rPr>
                <w:rFonts w:ascii="Arial" w:hAnsi="Arial" w:cs="Arial"/>
                <w:color w:val="000000"/>
                <w:sz w:val="22"/>
                <w:szCs w:val="22"/>
              </w:rPr>
            </w:pPr>
            <w:r w:rsidRPr="00AC41E0">
              <w:rPr>
                <w:rFonts w:ascii="Arial" w:hAnsi="Arial" w:cs="Arial"/>
                <w:color w:val="000000"/>
                <w:sz w:val="22"/>
                <w:szCs w:val="22"/>
              </w:rPr>
              <w:t>Harm/loss due to poor data governance, data mismanagement and/or lacklustre data security</w:t>
            </w:r>
          </w:p>
        </w:tc>
        <w:tc>
          <w:tcPr>
            <w:tcW w:w="866" w:type="pct"/>
            <w:tcBorders>
              <w:top w:val="nil"/>
              <w:left w:val="nil"/>
              <w:bottom w:val="single" w:sz="8" w:space="0" w:color="8EAADB"/>
              <w:right w:val="single" w:sz="8" w:space="0" w:color="8EAADB"/>
            </w:tcBorders>
            <w:shd w:val="clear" w:color="auto" w:fill="FFFFFF" w:themeFill="background1"/>
            <w:tcMar>
              <w:left w:w="85" w:type="dxa"/>
              <w:bottom w:w="85" w:type="dxa"/>
              <w:right w:w="85" w:type="dxa"/>
            </w:tcMar>
            <w:hideMark/>
          </w:tcPr>
          <w:p w14:paraId="047D1FED" w14:textId="2BE17A10" w:rsidR="00240D56" w:rsidRPr="00AC41E0" w:rsidRDefault="00240D56" w:rsidP="0022369F">
            <w:pPr>
              <w:spacing w:after="40"/>
              <w:rPr>
                <w:rFonts w:ascii="Arial" w:hAnsi="Arial" w:cs="Arial"/>
                <w:color w:val="000000"/>
                <w:sz w:val="22"/>
                <w:szCs w:val="22"/>
              </w:rPr>
            </w:pPr>
            <w:r w:rsidRPr="00AC41E0">
              <w:rPr>
                <w:rFonts w:ascii="Arial" w:hAnsi="Arial" w:cs="Arial"/>
                <w:color w:val="000000"/>
                <w:sz w:val="22"/>
                <w:szCs w:val="22"/>
              </w:rPr>
              <w:t xml:space="preserve">Many, if not most, </w:t>
            </w:r>
            <w:r w:rsidR="006B27BC" w:rsidRPr="00AC41E0">
              <w:rPr>
                <w:rFonts w:ascii="Arial" w:hAnsi="Arial" w:cs="Arial"/>
                <w:color w:val="000000"/>
                <w:sz w:val="22"/>
                <w:szCs w:val="22"/>
              </w:rPr>
              <w:t>IoT-enabled project</w:t>
            </w:r>
            <w:r w:rsidRPr="00AC41E0">
              <w:rPr>
                <w:rFonts w:ascii="Arial" w:hAnsi="Arial" w:cs="Arial"/>
                <w:color w:val="000000"/>
                <w:sz w:val="22"/>
                <w:szCs w:val="22"/>
              </w:rPr>
              <w:t>s</w:t>
            </w:r>
            <w:r w:rsidR="00C864C2" w:rsidRPr="00AC41E0">
              <w:rPr>
                <w:rFonts w:ascii="Arial" w:hAnsi="Arial" w:cs="Arial"/>
                <w:color w:val="000000"/>
                <w:sz w:val="22"/>
                <w:szCs w:val="22"/>
              </w:rPr>
              <w:t xml:space="preserve"> which rely on IoT</w:t>
            </w:r>
            <w:r w:rsidRPr="00AC41E0">
              <w:rPr>
                <w:rFonts w:ascii="Arial" w:hAnsi="Arial" w:cs="Arial"/>
                <w:color w:val="000000"/>
                <w:sz w:val="22"/>
                <w:szCs w:val="22"/>
              </w:rPr>
              <w:t xml:space="preserve"> involve the collection and use of data</w:t>
            </w:r>
          </w:p>
        </w:tc>
        <w:tc>
          <w:tcPr>
            <w:tcW w:w="1191" w:type="pct"/>
            <w:tcBorders>
              <w:top w:val="nil"/>
              <w:left w:val="nil"/>
              <w:bottom w:val="single" w:sz="8" w:space="0" w:color="8EAADB"/>
              <w:right w:val="single" w:sz="8" w:space="0" w:color="8EAADB"/>
            </w:tcBorders>
            <w:shd w:val="clear" w:color="auto" w:fill="FFFFFF" w:themeFill="background1"/>
            <w:tcMar>
              <w:left w:w="85" w:type="dxa"/>
              <w:bottom w:w="85" w:type="dxa"/>
              <w:right w:w="85" w:type="dxa"/>
            </w:tcMar>
            <w:hideMark/>
          </w:tcPr>
          <w:p w14:paraId="4F3E7EFE" w14:textId="5186B727" w:rsidR="00240D56" w:rsidRPr="00AC41E0" w:rsidRDefault="00D617AA" w:rsidP="0022369F">
            <w:pPr>
              <w:pStyle w:val="ListParagraph"/>
              <w:numPr>
                <w:ilvl w:val="0"/>
                <w:numId w:val="6"/>
              </w:numPr>
              <w:spacing w:after="60" w:line="240" w:lineRule="auto"/>
              <w:ind w:left="170" w:hanging="170"/>
              <w:contextualSpacing w:val="0"/>
              <w:rPr>
                <w:rStyle w:val="Hyperlink"/>
                <w:rFonts w:ascii="Arial" w:eastAsia="Times New Roman" w:hAnsi="Arial" w:cs="Arial"/>
                <w:sz w:val="24"/>
                <w:szCs w:val="24"/>
                <w:lang w:eastAsia="en-AU"/>
              </w:rPr>
            </w:pPr>
            <w:r w:rsidRPr="00E46FB0">
              <w:rPr>
                <w:rStyle w:val="Hyperlink"/>
                <w:rFonts w:ascii="Arial" w:eastAsia="Times New Roman" w:hAnsi="Arial" w:cs="Arial"/>
                <w:lang w:eastAsia="en-AU"/>
              </w:rPr>
              <w:fldChar w:fldCharType="begin"/>
            </w:r>
            <w:r w:rsidRPr="00AC41E0">
              <w:rPr>
                <w:rStyle w:val="Hyperlink"/>
                <w:rFonts w:ascii="Arial" w:eastAsia="Times New Roman" w:hAnsi="Arial" w:cs="Arial"/>
                <w:lang w:eastAsia="en-AU"/>
              </w:rPr>
              <w:instrText xml:space="preserve"> HYPERLINK "https://www.digital.nsw.gov.au/sites/default/files/Cloud%20Policy%20%28for%20publication%29-%20April%202018.pdf" </w:instrText>
            </w:r>
            <w:r w:rsidRPr="00AC41E0">
              <w:rPr>
                <w:rStyle w:val="Hyperlink"/>
                <w:rFonts w:ascii="Arial" w:eastAsia="Times New Roman" w:hAnsi="Arial" w:cs="Arial"/>
                <w:lang w:eastAsia="en-AU"/>
              </w:rPr>
              <w:fldChar w:fldCharType="separate"/>
            </w:r>
            <w:r w:rsidR="00240D56" w:rsidRPr="00AC41E0">
              <w:rPr>
                <w:rStyle w:val="Hyperlink"/>
                <w:rFonts w:ascii="Arial" w:eastAsia="Times New Roman" w:hAnsi="Arial" w:cs="Arial"/>
                <w:lang w:eastAsia="en-AU"/>
              </w:rPr>
              <w:t xml:space="preserve">NSW </w:t>
            </w:r>
            <w:r w:rsidR="00C6055C" w:rsidRPr="00AC41E0">
              <w:rPr>
                <w:rStyle w:val="Hyperlink"/>
                <w:rFonts w:ascii="Arial" w:eastAsia="Times New Roman" w:hAnsi="Arial" w:cs="Arial"/>
                <w:lang w:eastAsia="en-AU"/>
              </w:rPr>
              <w:t xml:space="preserve">Government </w:t>
            </w:r>
            <w:r w:rsidR="00240D56" w:rsidRPr="00AC41E0">
              <w:rPr>
                <w:rStyle w:val="Hyperlink"/>
                <w:rFonts w:ascii="Arial" w:eastAsia="Times New Roman" w:hAnsi="Arial" w:cs="Arial"/>
                <w:lang w:eastAsia="en-AU"/>
              </w:rPr>
              <w:t>Cloud Polic</w:t>
            </w:r>
            <w:r w:rsidR="00C6055C" w:rsidRPr="00AC41E0">
              <w:rPr>
                <w:rStyle w:val="Hyperlink"/>
                <w:rFonts w:ascii="Arial" w:eastAsia="Times New Roman" w:hAnsi="Arial" w:cs="Arial"/>
                <w:lang w:eastAsia="en-AU"/>
              </w:rPr>
              <w:t>y</w:t>
            </w:r>
            <w:r w:rsidR="00AE7575" w:rsidRPr="00AC41E0">
              <w:rPr>
                <w:rStyle w:val="Hyperlink"/>
                <w:rFonts w:ascii="Arial" w:eastAsia="Times New Roman" w:hAnsi="Arial" w:cs="Arial"/>
                <w:lang w:eastAsia="en-AU"/>
              </w:rPr>
              <w:t xml:space="preserve"> </w:t>
            </w:r>
            <w:r w:rsidR="00AE7575" w:rsidRPr="00AC41E0">
              <w:rPr>
                <w:rStyle w:val="Hyperlink"/>
                <w:rFonts w:ascii="Arial" w:hAnsi="Arial"/>
              </w:rPr>
              <w:t>(2018)</w:t>
            </w:r>
          </w:p>
          <w:p w14:paraId="24C60AEE" w14:textId="1B9284DA" w:rsidR="00C6055C" w:rsidRPr="00E46FB0" w:rsidRDefault="00D617AA"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r w:rsidRPr="00AC41E0">
              <w:rPr>
                <w:rStyle w:val="Hyperlink"/>
                <w:rFonts w:ascii="Arial" w:eastAsia="Times New Roman" w:hAnsi="Arial" w:cs="Arial"/>
                <w:lang w:eastAsia="en-AU"/>
              </w:rPr>
              <w:fldChar w:fldCharType="end"/>
            </w:r>
            <w:hyperlink r:id="rId99" w:history="1">
              <w:r w:rsidR="00C6055C" w:rsidRPr="00AC41E0">
                <w:rPr>
                  <w:rStyle w:val="Hyperlink"/>
                  <w:rFonts w:ascii="Arial" w:eastAsia="Times New Roman" w:hAnsi="Arial" w:cs="Arial"/>
                  <w:lang w:eastAsia="en-AU"/>
                </w:rPr>
                <w:t>NSW Cyber Security Policy</w:t>
              </w:r>
              <w:r w:rsidR="00C6055C" w:rsidRPr="00AC41E0">
                <w:rPr>
                  <w:rStyle w:val="Hyperlink"/>
                  <w:rFonts w:ascii="Arial" w:hAnsi="Arial" w:cs="Arial"/>
                </w:rPr>
                <w:t xml:space="preserve"> (2019)</w:t>
              </w:r>
            </w:hyperlink>
          </w:p>
          <w:p w14:paraId="6B48B8D7" w14:textId="382D4416" w:rsidR="00240D56" w:rsidRPr="00AC41E0" w:rsidRDefault="00084371" w:rsidP="0022369F">
            <w:pPr>
              <w:pStyle w:val="ListParagraph"/>
              <w:numPr>
                <w:ilvl w:val="0"/>
                <w:numId w:val="6"/>
              </w:numPr>
              <w:spacing w:after="60" w:line="240" w:lineRule="auto"/>
              <w:ind w:left="170" w:hanging="170"/>
              <w:contextualSpacing w:val="0"/>
              <w:rPr>
                <w:rStyle w:val="Hyperlink"/>
                <w:rFonts w:ascii="Arial" w:eastAsia="Times New Roman" w:hAnsi="Arial" w:cs="Arial"/>
                <w:color w:val="000000"/>
                <w:lang w:eastAsia="en-AU"/>
              </w:rPr>
            </w:pPr>
            <w:hyperlink r:id="rId100" w:history="1">
              <w:r w:rsidR="00240D56" w:rsidRPr="00AC41E0">
                <w:rPr>
                  <w:rStyle w:val="Hyperlink"/>
                  <w:rFonts w:ascii="Arial" w:eastAsia="Times New Roman" w:hAnsi="Arial" w:cs="Arial"/>
                  <w:lang w:eastAsia="en-AU"/>
                </w:rPr>
                <w:t>NSW Data and Information Custodianship Polic</w:t>
              </w:r>
              <w:r w:rsidR="0026458E" w:rsidRPr="00AC41E0">
                <w:rPr>
                  <w:rStyle w:val="Hyperlink"/>
                  <w:rFonts w:ascii="Arial" w:eastAsia="Times New Roman" w:hAnsi="Arial" w:cs="Arial"/>
                  <w:lang w:eastAsia="en-AU"/>
                </w:rPr>
                <w:t>y (2013)</w:t>
              </w:r>
            </w:hyperlink>
            <w:r w:rsidR="0026458E" w:rsidRPr="00E46FB0">
              <w:rPr>
                <w:rStyle w:val="Hyperlink"/>
                <w:rFonts w:ascii="Arial" w:eastAsia="Times New Roman" w:hAnsi="Arial" w:cs="Arial"/>
                <w:lang w:eastAsia="en-AU"/>
              </w:rPr>
              <w:t xml:space="preserve"> </w:t>
            </w:r>
          </w:p>
          <w:p w14:paraId="5FE7F46F" w14:textId="3F3E2524" w:rsidR="00240D56"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i/>
                <w:color w:val="000000"/>
                <w:lang w:eastAsia="en-AU"/>
              </w:rPr>
            </w:pPr>
            <w:hyperlink r:id="rId101" w:anchor="/view/act/2015/60" w:history="1">
              <w:r w:rsidR="00240D56" w:rsidRPr="00AC41E0">
                <w:rPr>
                  <w:rStyle w:val="Hyperlink"/>
                  <w:rFonts w:ascii="Arial" w:eastAsia="Times New Roman" w:hAnsi="Arial" w:cs="Arial"/>
                  <w:i/>
                  <w:lang w:eastAsia="en-AU"/>
                </w:rPr>
                <w:t>Data Sharing (Government Sector) Act 201</w:t>
              </w:r>
              <w:r w:rsidR="0026458E" w:rsidRPr="00AC41E0">
                <w:rPr>
                  <w:rStyle w:val="Hyperlink"/>
                  <w:rFonts w:ascii="Arial" w:eastAsia="Times New Roman" w:hAnsi="Arial" w:cs="Arial"/>
                  <w:i/>
                  <w:lang w:eastAsia="en-AU"/>
                </w:rPr>
                <w:t xml:space="preserve">5 </w:t>
              </w:r>
              <w:r w:rsidR="0026458E" w:rsidRPr="00AC41E0">
                <w:rPr>
                  <w:rStyle w:val="Hyperlink"/>
                  <w:rFonts w:ascii="Arial" w:eastAsia="Times New Roman" w:hAnsi="Arial" w:cs="Arial"/>
                  <w:lang w:eastAsia="en-AU"/>
                </w:rPr>
                <w:t>(NSW)</w:t>
              </w:r>
            </w:hyperlink>
          </w:p>
        </w:tc>
        <w:tc>
          <w:tcPr>
            <w:tcW w:w="841" w:type="pct"/>
            <w:tcBorders>
              <w:top w:val="nil"/>
              <w:left w:val="nil"/>
              <w:bottom w:val="single" w:sz="8" w:space="0" w:color="8EAADB"/>
              <w:right w:val="single" w:sz="8" w:space="0" w:color="8EAADB"/>
            </w:tcBorders>
            <w:shd w:val="clear" w:color="auto" w:fill="FFFFFF" w:themeFill="background1"/>
            <w:tcMar>
              <w:left w:w="85" w:type="dxa"/>
              <w:bottom w:w="85" w:type="dxa"/>
              <w:right w:w="85" w:type="dxa"/>
            </w:tcMar>
            <w:hideMark/>
          </w:tcPr>
          <w:p w14:paraId="3C7083F9" w14:textId="3B1BD757" w:rsidR="00E266BD"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r:id="rId102" w:history="1">
              <w:r w:rsidR="00E266BD" w:rsidRPr="00AC41E0">
                <w:rPr>
                  <w:rStyle w:val="Hyperlink"/>
                  <w:rFonts w:ascii="Arial" w:eastAsia="Times New Roman" w:hAnsi="Arial" w:cs="Arial"/>
                  <w:lang w:eastAsia="en-AU"/>
                </w:rPr>
                <w:t>NSW Treasury Risk Management Toolkit</w:t>
              </w:r>
            </w:hyperlink>
          </w:p>
          <w:p w14:paraId="1877A8E1" w14:textId="77777777" w:rsidR="00E266BD" w:rsidRPr="00E46FB0" w:rsidRDefault="00084371" w:rsidP="0022369F">
            <w:pPr>
              <w:pStyle w:val="ListParagraph"/>
              <w:numPr>
                <w:ilvl w:val="0"/>
                <w:numId w:val="6"/>
              </w:numPr>
              <w:spacing w:after="60" w:line="240" w:lineRule="auto"/>
              <w:ind w:left="170" w:hanging="170"/>
              <w:contextualSpacing w:val="0"/>
              <w:rPr>
                <w:rStyle w:val="Hyperlink"/>
                <w:rFonts w:ascii="Arial" w:eastAsia="Times New Roman" w:hAnsi="Arial" w:cs="Arial"/>
                <w:color w:val="000000"/>
                <w:u w:val="none"/>
                <w:lang w:eastAsia="en-AU"/>
              </w:rPr>
            </w:pPr>
            <w:hyperlink w:anchor="_Appendix_A_–" w:history="1">
              <w:r w:rsidR="00E266BD" w:rsidRPr="00AC41E0">
                <w:rPr>
                  <w:rStyle w:val="Hyperlink"/>
                  <w:rFonts w:ascii="Arial" w:eastAsia="Times New Roman" w:hAnsi="Arial" w:cs="Arial"/>
                  <w:lang w:eastAsia="en-AU"/>
                </w:rPr>
                <w:t>Pre-mortem exercise</w:t>
              </w:r>
            </w:hyperlink>
          </w:p>
          <w:p w14:paraId="4AF2239B" w14:textId="314AAA65" w:rsidR="00240D56"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r:id="rId103" w:history="1">
              <w:r w:rsidR="00240D56" w:rsidRPr="00AC41E0">
                <w:rPr>
                  <w:rStyle w:val="Hyperlink"/>
                  <w:rFonts w:ascii="Arial" w:eastAsia="Times New Roman" w:hAnsi="Arial" w:cs="Arial"/>
                  <w:lang w:eastAsia="en-AU"/>
                </w:rPr>
                <w:t>Privacy Impact Statement</w:t>
              </w:r>
            </w:hyperlink>
          </w:p>
        </w:tc>
        <w:tc>
          <w:tcPr>
            <w:tcW w:w="643" w:type="pct"/>
            <w:tcBorders>
              <w:top w:val="nil"/>
              <w:left w:val="nil"/>
              <w:bottom w:val="single" w:sz="8" w:space="0" w:color="8EAADB"/>
              <w:right w:val="single" w:sz="8" w:space="0" w:color="8EAADB"/>
            </w:tcBorders>
            <w:shd w:val="clear" w:color="auto" w:fill="FFFFFF" w:themeFill="background1"/>
            <w:tcMar>
              <w:left w:w="85" w:type="dxa"/>
              <w:bottom w:w="85" w:type="dxa"/>
              <w:right w:w="85" w:type="dxa"/>
            </w:tcMar>
            <w:hideMark/>
          </w:tcPr>
          <w:p w14:paraId="5FE2AACF" w14:textId="3B99CF91" w:rsidR="00A40DC8" w:rsidRPr="00E46FB0" w:rsidRDefault="00084371" w:rsidP="0022369F">
            <w:pPr>
              <w:spacing w:after="60"/>
              <w:rPr>
                <w:rStyle w:val="Hyperlink"/>
                <w:rFonts w:ascii="Arial" w:eastAsiaTheme="minorHAnsi" w:hAnsi="Arial" w:cs="Arial"/>
                <w:sz w:val="22"/>
                <w:szCs w:val="22"/>
                <w:lang w:eastAsia="en-US"/>
              </w:rPr>
            </w:pPr>
            <w:hyperlink w:anchor="_Cyber_Security_1" w:history="1">
              <w:r w:rsidR="00A40DC8" w:rsidRPr="00AC41E0">
                <w:rPr>
                  <w:rStyle w:val="Hyperlink"/>
                  <w:rFonts w:ascii="Arial" w:hAnsi="Arial" w:cs="Arial"/>
                  <w:sz w:val="22"/>
                  <w:szCs w:val="22"/>
                </w:rPr>
                <w:t>C</w:t>
              </w:r>
              <w:r w:rsidR="00E467FF" w:rsidRPr="00AC41E0">
                <w:rPr>
                  <w:rStyle w:val="Hyperlink"/>
                  <w:rFonts w:ascii="Arial" w:hAnsi="Arial" w:cs="Arial"/>
                  <w:sz w:val="22"/>
                  <w:szCs w:val="22"/>
                </w:rPr>
                <w:t>hapter 3.6 C</w:t>
              </w:r>
              <w:r w:rsidR="00A40DC8" w:rsidRPr="00AC41E0">
                <w:rPr>
                  <w:rStyle w:val="Hyperlink"/>
                  <w:rFonts w:ascii="Arial" w:hAnsi="Arial" w:cs="Arial"/>
                  <w:sz w:val="22"/>
                  <w:szCs w:val="22"/>
                </w:rPr>
                <w:t>yber Security</w:t>
              </w:r>
            </w:hyperlink>
          </w:p>
          <w:p w14:paraId="12907794" w14:textId="77777777" w:rsidR="00761249" w:rsidRPr="00AC41E0" w:rsidRDefault="00761249" w:rsidP="0022369F">
            <w:pPr>
              <w:spacing w:after="60"/>
              <w:rPr>
                <w:rStyle w:val="Hyperlink"/>
                <w:rFonts w:ascii="Arial" w:hAnsi="Arial" w:cs="Arial"/>
                <w:sz w:val="22"/>
                <w:szCs w:val="22"/>
              </w:rPr>
            </w:pPr>
          </w:p>
          <w:bookmarkStart w:id="1049" w:name="_Hlk17983135"/>
          <w:p w14:paraId="464CC335" w14:textId="7514F8FA" w:rsidR="002F2A6D" w:rsidRPr="00E46FB0" w:rsidRDefault="00102D38" w:rsidP="0022369F">
            <w:pPr>
              <w:spacing w:after="60"/>
              <w:rPr>
                <w:rFonts w:ascii="Arial" w:hAnsi="Arial" w:cs="Arial"/>
                <w:color w:val="000000"/>
                <w:sz w:val="22"/>
                <w:szCs w:val="22"/>
              </w:rPr>
            </w:pPr>
            <w:r w:rsidRPr="00E46FB0">
              <w:rPr>
                <w:rStyle w:val="Hyperlink"/>
                <w:rFonts w:ascii="Arial" w:hAnsi="Arial" w:cs="Arial"/>
                <w:sz w:val="22"/>
                <w:szCs w:val="22"/>
              </w:rPr>
              <w:fldChar w:fldCharType="begin"/>
            </w:r>
            <w:r w:rsidRPr="00AC41E0">
              <w:rPr>
                <w:rStyle w:val="Hyperlink"/>
                <w:rFonts w:ascii="Arial" w:hAnsi="Arial" w:cs="Arial"/>
                <w:sz w:val="22"/>
                <w:szCs w:val="22"/>
              </w:rPr>
              <w:instrText xml:space="preserve"> HYPERLINK \l "_Privacy" </w:instrText>
            </w:r>
            <w:r w:rsidRPr="00AC41E0">
              <w:rPr>
                <w:rStyle w:val="Hyperlink"/>
                <w:rFonts w:ascii="Arial" w:hAnsi="Arial" w:cs="Arial"/>
                <w:sz w:val="22"/>
                <w:szCs w:val="22"/>
              </w:rPr>
              <w:fldChar w:fldCharType="separate"/>
            </w:r>
            <w:r w:rsidR="00E467FF" w:rsidRPr="00AC41E0">
              <w:rPr>
                <w:rStyle w:val="Hyperlink"/>
                <w:rFonts w:ascii="Arial" w:hAnsi="Arial" w:cs="Arial"/>
                <w:sz w:val="22"/>
                <w:szCs w:val="22"/>
              </w:rPr>
              <w:t>Chapter 3.5 P</w:t>
            </w:r>
            <w:r w:rsidR="002F2A6D" w:rsidRPr="00AC41E0">
              <w:rPr>
                <w:rStyle w:val="Hyperlink"/>
                <w:rFonts w:ascii="Arial" w:hAnsi="Arial" w:cs="Arial"/>
                <w:sz w:val="22"/>
                <w:szCs w:val="22"/>
              </w:rPr>
              <w:t>rivacy</w:t>
            </w:r>
            <w:r w:rsidRPr="00AC41E0">
              <w:rPr>
                <w:rStyle w:val="Hyperlink"/>
                <w:rFonts w:ascii="Arial" w:hAnsi="Arial" w:cs="Arial"/>
                <w:sz w:val="22"/>
                <w:szCs w:val="22"/>
              </w:rPr>
              <w:fldChar w:fldCharType="end"/>
            </w:r>
            <w:bookmarkEnd w:id="1049"/>
          </w:p>
        </w:tc>
      </w:tr>
      <w:tr w:rsidR="00A27A03" w:rsidRPr="00AC41E0" w14:paraId="4E5B6BD6" w14:textId="77777777" w:rsidTr="00A27A03">
        <w:trPr>
          <w:trHeight w:val="1056"/>
        </w:trPr>
        <w:tc>
          <w:tcPr>
            <w:tcW w:w="534" w:type="pct"/>
            <w:tcBorders>
              <w:top w:val="nil"/>
              <w:left w:val="single" w:sz="8" w:space="0" w:color="8EAADB"/>
              <w:bottom w:val="single" w:sz="8" w:space="0" w:color="8EAADB"/>
              <w:right w:val="single" w:sz="8" w:space="0" w:color="8EAADB"/>
            </w:tcBorders>
            <w:shd w:val="clear" w:color="auto" w:fill="D9E2F3"/>
            <w:tcMar>
              <w:left w:w="85" w:type="dxa"/>
              <w:bottom w:w="85" w:type="dxa"/>
              <w:right w:w="85" w:type="dxa"/>
            </w:tcMar>
            <w:hideMark/>
          </w:tcPr>
          <w:p w14:paraId="604D434C" w14:textId="77777777" w:rsidR="00A40DC8" w:rsidRPr="00AC41E0" w:rsidRDefault="00A40DC8" w:rsidP="0022369F">
            <w:pPr>
              <w:spacing w:after="40"/>
              <w:rPr>
                <w:rFonts w:ascii="Arial" w:hAnsi="Arial" w:cs="Arial"/>
                <w:b/>
                <w:bCs/>
                <w:color w:val="000000"/>
                <w:sz w:val="22"/>
                <w:szCs w:val="22"/>
              </w:rPr>
            </w:pPr>
            <w:r w:rsidRPr="00AC41E0">
              <w:rPr>
                <w:rFonts w:ascii="Arial" w:hAnsi="Arial" w:cs="Arial"/>
                <w:b/>
                <w:bCs/>
                <w:color w:val="000000"/>
                <w:sz w:val="22"/>
                <w:szCs w:val="22"/>
              </w:rPr>
              <w:t>Procurement</w:t>
            </w:r>
          </w:p>
        </w:tc>
        <w:tc>
          <w:tcPr>
            <w:tcW w:w="925" w:type="pct"/>
            <w:tcBorders>
              <w:top w:val="nil"/>
              <w:left w:val="nil"/>
              <w:bottom w:val="single" w:sz="8" w:space="0" w:color="8EAADB"/>
              <w:right w:val="single" w:sz="8" w:space="0" w:color="8EAADB"/>
            </w:tcBorders>
            <w:shd w:val="clear" w:color="auto" w:fill="D9E2F3"/>
            <w:tcMar>
              <w:left w:w="85" w:type="dxa"/>
              <w:bottom w:w="85" w:type="dxa"/>
              <w:right w:w="85" w:type="dxa"/>
            </w:tcMar>
            <w:hideMark/>
          </w:tcPr>
          <w:p w14:paraId="0F1BADDA" w14:textId="77777777" w:rsidR="00A40DC8" w:rsidRPr="00AC41E0" w:rsidRDefault="00A40DC8" w:rsidP="0022369F">
            <w:pPr>
              <w:spacing w:after="40"/>
              <w:rPr>
                <w:rFonts w:ascii="Arial" w:hAnsi="Arial" w:cs="Arial"/>
                <w:color w:val="000000"/>
                <w:sz w:val="22"/>
                <w:szCs w:val="22"/>
              </w:rPr>
            </w:pPr>
            <w:r w:rsidRPr="00AC41E0">
              <w:rPr>
                <w:rFonts w:ascii="Arial" w:hAnsi="Arial" w:cs="Arial"/>
                <w:color w:val="000000"/>
                <w:sz w:val="22"/>
                <w:szCs w:val="22"/>
              </w:rPr>
              <w:t>Failure to perform due diligence leading to ineffective spend and poor outcomes</w:t>
            </w:r>
          </w:p>
        </w:tc>
        <w:tc>
          <w:tcPr>
            <w:tcW w:w="866" w:type="pct"/>
            <w:tcBorders>
              <w:top w:val="nil"/>
              <w:left w:val="nil"/>
              <w:bottom w:val="single" w:sz="8" w:space="0" w:color="8EAADB"/>
              <w:right w:val="single" w:sz="8" w:space="0" w:color="8EAADB"/>
            </w:tcBorders>
            <w:shd w:val="clear" w:color="auto" w:fill="D9E2F3"/>
            <w:tcMar>
              <w:left w:w="85" w:type="dxa"/>
              <w:bottom w:w="85" w:type="dxa"/>
              <w:right w:w="85" w:type="dxa"/>
            </w:tcMar>
            <w:hideMark/>
          </w:tcPr>
          <w:p w14:paraId="33E9459C" w14:textId="79F5D48E" w:rsidR="00A40DC8" w:rsidRPr="00AC41E0" w:rsidRDefault="00A40DC8" w:rsidP="0022369F">
            <w:pPr>
              <w:spacing w:after="40"/>
              <w:rPr>
                <w:rFonts w:ascii="Arial" w:hAnsi="Arial" w:cs="Arial"/>
                <w:color w:val="000000"/>
                <w:sz w:val="22"/>
                <w:szCs w:val="22"/>
              </w:rPr>
            </w:pPr>
            <w:r w:rsidRPr="00AC41E0">
              <w:rPr>
                <w:rFonts w:ascii="Arial" w:hAnsi="Arial" w:cs="Arial"/>
                <w:color w:val="000000"/>
                <w:sz w:val="22"/>
                <w:szCs w:val="22"/>
              </w:rPr>
              <w:t>Almost all IoT</w:t>
            </w:r>
            <w:r w:rsidR="00B320E2" w:rsidRPr="00AC41E0">
              <w:rPr>
                <w:rFonts w:ascii="Arial" w:hAnsi="Arial" w:cs="Arial"/>
                <w:color w:val="000000"/>
                <w:sz w:val="22"/>
                <w:szCs w:val="22"/>
              </w:rPr>
              <w:t xml:space="preserve">-enabled </w:t>
            </w:r>
            <w:r w:rsidRPr="00AC41E0">
              <w:rPr>
                <w:rFonts w:ascii="Arial" w:hAnsi="Arial" w:cs="Arial"/>
                <w:color w:val="000000"/>
                <w:sz w:val="22"/>
                <w:szCs w:val="22"/>
              </w:rPr>
              <w:t xml:space="preserve">projects will involve a procurement </w:t>
            </w:r>
            <w:r w:rsidRPr="00AC41E0">
              <w:rPr>
                <w:rFonts w:ascii="Arial" w:hAnsi="Arial" w:cs="Arial"/>
                <w:sz w:val="22"/>
                <w:szCs w:val="22"/>
              </w:rPr>
              <w:t>process</w:t>
            </w:r>
          </w:p>
        </w:tc>
        <w:tc>
          <w:tcPr>
            <w:tcW w:w="1191" w:type="pct"/>
            <w:tcBorders>
              <w:top w:val="nil"/>
              <w:left w:val="nil"/>
              <w:bottom w:val="single" w:sz="8" w:space="0" w:color="8EAADB"/>
              <w:right w:val="single" w:sz="8" w:space="0" w:color="8EAADB"/>
            </w:tcBorders>
            <w:shd w:val="clear" w:color="auto" w:fill="D9E2F3"/>
            <w:tcMar>
              <w:left w:w="85" w:type="dxa"/>
              <w:bottom w:w="85" w:type="dxa"/>
              <w:right w:w="85" w:type="dxa"/>
            </w:tcMar>
            <w:hideMark/>
          </w:tcPr>
          <w:p w14:paraId="17203B1B" w14:textId="09FB867C" w:rsidR="00A40DC8"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r:id="rId104" w:history="1">
              <w:r w:rsidR="00761249" w:rsidRPr="00AC41E0">
                <w:rPr>
                  <w:rStyle w:val="Hyperlink"/>
                  <w:rFonts w:ascii="Arial" w:eastAsia="Times New Roman" w:hAnsi="Arial" w:cs="Arial"/>
                  <w:lang w:eastAsia="en-AU"/>
                </w:rPr>
                <w:t xml:space="preserve">NSW </w:t>
              </w:r>
              <w:r w:rsidR="00517A91" w:rsidRPr="00AC41E0">
                <w:rPr>
                  <w:rStyle w:val="Hyperlink"/>
                  <w:rFonts w:ascii="Arial" w:eastAsia="Times New Roman" w:hAnsi="Arial" w:cs="Arial"/>
                  <w:lang w:eastAsia="en-AU"/>
                </w:rPr>
                <w:t xml:space="preserve">Government </w:t>
              </w:r>
              <w:r w:rsidR="00761249" w:rsidRPr="00AC41E0">
                <w:rPr>
                  <w:rStyle w:val="Hyperlink"/>
                  <w:rFonts w:ascii="Arial" w:eastAsia="Times New Roman" w:hAnsi="Arial" w:cs="Arial"/>
                  <w:lang w:eastAsia="en-AU"/>
                </w:rPr>
                <w:t>Procurement Guidelines - Risk Management (2006)</w:t>
              </w:r>
            </w:hyperlink>
          </w:p>
        </w:tc>
        <w:tc>
          <w:tcPr>
            <w:tcW w:w="841" w:type="pct"/>
            <w:tcBorders>
              <w:top w:val="nil"/>
              <w:left w:val="nil"/>
              <w:bottom w:val="single" w:sz="8" w:space="0" w:color="8EAADB"/>
              <w:right w:val="single" w:sz="8" w:space="0" w:color="8EAADB"/>
            </w:tcBorders>
            <w:shd w:val="clear" w:color="auto" w:fill="D9E2F3"/>
            <w:tcMar>
              <w:left w:w="85" w:type="dxa"/>
              <w:bottom w:w="85" w:type="dxa"/>
              <w:right w:w="85" w:type="dxa"/>
            </w:tcMar>
            <w:hideMark/>
          </w:tcPr>
          <w:p w14:paraId="212C7217" w14:textId="4B99D598" w:rsidR="00A40DC8"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r:id="rId105" w:history="1">
              <w:r w:rsidR="00A40DC8" w:rsidRPr="00AC41E0">
                <w:rPr>
                  <w:rStyle w:val="Hyperlink"/>
                  <w:rFonts w:ascii="Arial" w:eastAsia="Times New Roman" w:hAnsi="Arial" w:cs="Arial"/>
                  <w:lang w:eastAsia="en-AU"/>
                </w:rPr>
                <w:t>NSW Treasury Risk Management Toolkit</w:t>
              </w:r>
            </w:hyperlink>
          </w:p>
          <w:p w14:paraId="656FF7AC" w14:textId="4121B0F3" w:rsidR="00A40DC8"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w:anchor="_Appendix_A_–" w:history="1">
              <w:r w:rsidR="00A40DC8" w:rsidRPr="00AC41E0">
                <w:rPr>
                  <w:rStyle w:val="Hyperlink"/>
                  <w:rFonts w:ascii="Arial" w:eastAsia="Times New Roman" w:hAnsi="Arial" w:cs="Arial"/>
                  <w:lang w:eastAsia="en-AU"/>
                </w:rPr>
                <w:t>Pre-mortem exercise</w:t>
              </w:r>
            </w:hyperlink>
          </w:p>
        </w:tc>
        <w:tc>
          <w:tcPr>
            <w:tcW w:w="643" w:type="pct"/>
            <w:tcBorders>
              <w:top w:val="nil"/>
              <w:left w:val="nil"/>
              <w:bottom w:val="single" w:sz="8" w:space="0" w:color="8EAADB"/>
              <w:right w:val="single" w:sz="8" w:space="0" w:color="8EAADB"/>
            </w:tcBorders>
            <w:shd w:val="clear" w:color="auto" w:fill="D9E2F3"/>
            <w:tcMar>
              <w:left w:w="85" w:type="dxa"/>
              <w:bottom w:w="85" w:type="dxa"/>
              <w:right w:w="85" w:type="dxa"/>
            </w:tcMar>
            <w:hideMark/>
          </w:tcPr>
          <w:p w14:paraId="137D70C2" w14:textId="6BCF3D29" w:rsidR="00A40DC8" w:rsidRPr="00E46FB0" w:rsidRDefault="00084371" w:rsidP="0022369F">
            <w:pPr>
              <w:spacing w:after="60"/>
              <w:rPr>
                <w:rFonts w:ascii="Arial" w:hAnsi="Arial" w:cs="Arial"/>
                <w:color w:val="000000"/>
                <w:sz w:val="22"/>
                <w:szCs w:val="22"/>
              </w:rPr>
            </w:pPr>
            <w:hyperlink w:anchor="_Toc14690044" w:history="1">
              <w:r w:rsidR="00E467FF" w:rsidRPr="00AC41E0">
                <w:rPr>
                  <w:rStyle w:val="Hyperlink"/>
                  <w:rFonts w:ascii="Arial" w:hAnsi="Arial" w:cs="Arial"/>
                  <w:sz w:val="22"/>
                  <w:szCs w:val="22"/>
                </w:rPr>
                <w:t>Chapter 5.1 P</w:t>
              </w:r>
              <w:r w:rsidR="00A40DC8" w:rsidRPr="00AC41E0">
                <w:rPr>
                  <w:rStyle w:val="Hyperlink"/>
                  <w:rFonts w:ascii="Arial" w:hAnsi="Arial" w:cs="Arial"/>
                  <w:sz w:val="22"/>
                  <w:szCs w:val="22"/>
                </w:rPr>
                <w:t xml:space="preserve">rocuring IoT </w:t>
              </w:r>
              <w:r w:rsidR="002D6646" w:rsidRPr="00AC41E0">
                <w:rPr>
                  <w:rStyle w:val="Hyperlink"/>
                  <w:rFonts w:ascii="Arial" w:hAnsi="Arial" w:cs="Arial"/>
                  <w:sz w:val="22"/>
                  <w:szCs w:val="22"/>
                </w:rPr>
                <w:t>s</w:t>
              </w:r>
              <w:r w:rsidR="00A40DC8" w:rsidRPr="00AC41E0">
                <w:rPr>
                  <w:rStyle w:val="Hyperlink"/>
                  <w:rFonts w:ascii="Arial" w:hAnsi="Arial" w:cs="Arial"/>
                  <w:sz w:val="22"/>
                  <w:szCs w:val="22"/>
                </w:rPr>
                <w:t>olutions</w:t>
              </w:r>
            </w:hyperlink>
          </w:p>
        </w:tc>
      </w:tr>
      <w:tr w:rsidR="00A27A03" w:rsidRPr="00AC41E0" w14:paraId="7CDF4600" w14:textId="77777777" w:rsidTr="00A27A03">
        <w:trPr>
          <w:trHeight w:val="976"/>
        </w:trPr>
        <w:tc>
          <w:tcPr>
            <w:tcW w:w="534" w:type="pct"/>
            <w:tcBorders>
              <w:top w:val="nil"/>
              <w:left w:val="single" w:sz="8" w:space="0" w:color="8EAADB"/>
              <w:bottom w:val="single" w:sz="8" w:space="0" w:color="8EAADB"/>
              <w:right w:val="single" w:sz="8" w:space="0" w:color="8EAADB"/>
            </w:tcBorders>
            <w:shd w:val="clear" w:color="auto" w:fill="FFFFFF" w:themeFill="background1"/>
            <w:tcMar>
              <w:left w:w="85" w:type="dxa"/>
              <w:bottom w:w="85" w:type="dxa"/>
              <w:right w:w="85" w:type="dxa"/>
            </w:tcMar>
            <w:hideMark/>
          </w:tcPr>
          <w:p w14:paraId="2444D4C6" w14:textId="77777777" w:rsidR="00A40DC8" w:rsidRPr="00AC41E0" w:rsidRDefault="00A40DC8" w:rsidP="0022369F">
            <w:pPr>
              <w:spacing w:after="40"/>
              <w:rPr>
                <w:rFonts w:ascii="Arial" w:hAnsi="Arial" w:cs="Arial"/>
                <w:b/>
                <w:bCs/>
                <w:color w:val="000000"/>
                <w:sz w:val="22"/>
                <w:szCs w:val="22"/>
              </w:rPr>
            </w:pPr>
            <w:r w:rsidRPr="00AC41E0">
              <w:rPr>
                <w:rFonts w:ascii="Arial" w:hAnsi="Arial" w:cs="Arial"/>
                <w:b/>
                <w:bCs/>
                <w:color w:val="000000"/>
                <w:sz w:val="22"/>
                <w:szCs w:val="22"/>
              </w:rPr>
              <w:t>People safety (WHS)</w:t>
            </w:r>
          </w:p>
        </w:tc>
        <w:tc>
          <w:tcPr>
            <w:tcW w:w="925" w:type="pct"/>
            <w:tcBorders>
              <w:top w:val="nil"/>
              <w:left w:val="nil"/>
              <w:bottom w:val="single" w:sz="8" w:space="0" w:color="8EAADB"/>
              <w:right w:val="single" w:sz="8" w:space="0" w:color="8EAADB"/>
            </w:tcBorders>
            <w:shd w:val="clear" w:color="auto" w:fill="FFFFFF" w:themeFill="background1"/>
            <w:tcMar>
              <w:left w:w="85" w:type="dxa"/>
              <w:bottom w:w="85" w:type="dxa"/>
              <w:right w:w="85" w:type="dxa"/>
            </w:tcMar>
            <w:hideMark/>
          </w:tcPr>
          <w:p w14:paraId="7FA37635" w14:textId="77777777" w:rsidR="00A40DC8" w:rsidRPr="00AC41E0" w:rsidRDefault="00A40DC8" w:rsidP="0022369F">
            <w:pPr>
              <w:spacing w:after="40"/>
              <w:rPr>
                <w:rFonts w:ascii="Arial" w:hAnsi="Arial" w:cs="Arial"/>
                <w:color w:val="000000"/>
                <w:sz w:val="22"/>
                <w:szCs w:val="22"/>
              </w:rPr>
            </w:pPr>
            <w:r w:rsidRPr="00AC41E0">
              <w:rPr>
                <w:rFonts w:ascii="Arial" w:hAnsi="Arial" w:cs="Arial"/>
                <w:color w:val="000000"/>
                <w:sz w:val="22"/>
                <w:szCs w:val="22"/>
              </w:rPr>
              <w:t>Harm (death, injury or illness) resulting from exposure to a hazard</w:t>
            </w:r>
          </w:p>
        </w:tc>
        <w:tc>
          <w:tcPr>
            <w:tcW w:w="866" w:type="pct"/>
            <w:tcBorders>
              <w:top w:val="nil"/>
              <w:left w:val="nil"/>
              <w:bottom w:val="single" w:sz="8" w:space="0" w:color="8EAADB"/>
              <w:right w:val="single" w:sz="8" w:space="0" w:color="8EAADB"/>
            </w:tcBorders>
            <w:shd w:val="clear" w:color="auto" w:fill="FFFFFF" w:themeFill="background1"/>
            <w:tcMar>
              <w:left w:w="85" w:type="dxa"/>
              <w:bottom w:w="85" w:type="dxa"/>
              <w:right w:w="85" w:type="dxa"/>
            </w:tcMar>
            <w:hideMark/>
          </w:tcPr>
          <w:p w14:paraId="3CFADDFE" w14:textId="77777777" w:rsidR="00A40DC8" w:rsidRPr="00AC41E0" w:rsidRDefault="00A40DC8" w:rsidP="0022369F">
            <w:pPr>
              <w:spacing w:after="40"/>
              <w:rPr>
                <w:rFonts w:ascii="Arial" w:hAnsi="Arial" w:cs="Arial"/>
                <w:color w:val="000000"/>
                <w:sz w:val="22"/>
                <w:szCs w:val="22"/>
              </w:rPr>
            </w:pPr>
            <w:r w:rsidRPr="00AC41E0">
              <w:rPr>
                <w:rFonts w:ascii="Arial" w:hAnsi="Arial" w:cs="Arial"/>
                <w:color w:val="000000"/>
                <w:sz w:val="22"/>
                <w:szCs w:val="22"/>
              </w:rPr>
              <w:t>Most relevant to IoT enabled projects involving physical infrastructure</w:t>
            </w:r>
          </w:p>
        </w:tc>
        <w:tc>
          <w:tcPr>
            <w:tcW w:w="1191" w:type="pct"/>
            <w:tcBorders>
              <w:top w:val="nil"/>
              <w:left w:val="nil"/>
              <w:bottom w:val="single" w:sz="8" w:space="0" w:color="8EAADB"/>
              <w:right w:val="single" w:sz="8" w:space="0" w:color="8EAADB"/>
            </w:tcBorders>
            <w:shd w:val="clear" w:color="auto" w:fill="FFFFFF" w:themeFill="background1"/>
            <w:tcMar>
              <w:left w:w="85" w:type="dxa"/>
              <w:bottom w:w="85" w:type="dxa"/>
              <w:right w:w="85" w:type="dxa"/>
            </w:tcMar>
            <w:hideMark/>
          </w:tcPr>
          <w:p w14:paraId="7F233428" w14:textId="77777777" w:rsidR="00A40DC8"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r:id="rId106" w:history="1">
              <w:r w:rsidR="00A40DC8" w:rsidRPr="00AC41E0">
                <w:rPr>
                  <w:rStyle w:val="Hyperlink"/>
                  <w:rFonts w:ascii="Arial" w:eastAsia="Times New Roman" w:hAnsi="Arial" w:cs="Arial"/>
                  <w:lang w:eastAsia="en-AU"/>
                </w:rPr>
                <w:t>SafeWork NSW codes of practice</w:t>
              </w:r>
            </w:hyperlink>
          </w:p>
        </w:tc>
        <w:tc>
          <w:tcPr>
            <w:tcW w:w="841" w:type="pct"/>
            <w:tcBorders>
              <w:top w:val="nil"/>
              <w:left w:val="nil"/>
              <w:bottom w:val="single" w:sz="8" w:space="0" w:color="8EAADB"/>
              <w:right w:val="single" w:sz="8" w:space="0" w:color="8EAADB"/>
            </w:tcBorders>
            <w:shd w:val="clear" w:color="auto" w:fill="FFFFFF" w:themeFill="background1"/>
            <w:tcMar>
              <w:left w:w="85" w:type="dxa"/>
              <w:bottom w:w="85" w:type="dxa"/>
              <w:right w:w="85" w:type="dxa"/>
            </w:tcMar>
            <w:hideMark/>
          </w:tcPr>
          <w:p w14:paraId="0494EF66" w14:textId="77777777" w:rsidR="00A40DC8"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r:id="rId107" w:history="1">
              <w:r w:rsidR="00A40DC8" w:rsidRPr="00AC41E0">
                <w:rPr>
                  <w:rStyle w:val="Hyperlink"/>
                  <w:rFonts w:ascii="Arial" w:eastAsia="Times New Roman" w:hAnsi="Arial" w:cs="Arial"/>
                  <w:lang w:eastAsia="en-AU"/>
                </w:rPr>
                <w:t>SafeWork NSW codes of practice</w:t>
              </w:r>
            </w:hyperlink>
          </w:p>
        </w:tc>
        <w:tc>
          <w:tcPr>
            <w:tcW w:w="643" w:type="pct"/>
            <w:tcBorders>
              <w:top w:val="nil"/>
              <w:left w:val="nil"/>
              <w:bottom w:val="single" w:sz="8" w:space="0" w:color="8EAADB"/>
              <w:right w:val="single" w:sz="8" w:space="0" w:color="8EAADB"/>
            </w:tcBorders>
            <w:shd w:val="clear" w:color="auto" w:fill="FFFFFF" w:themeFill="background1"/>
            <w:tcMar>
              <w:left w:w="85" w:type="dxa"/>
              <w:bottom w:w="85" w:type="dxa"/>
              <w:right w:w="85" w:type="dxa"/>
            </w:tcMar>
            <w:hideMark/>
          </w:tcPr>
          <w:p w14:paraId="60B0E21C" w14:textId="1A6E9750" w:rsidR="00A40DC8" w:rsidRPr="00E46FB0" w:rsidRDefault="00084371" w:rsidP="0022369F">
            <w:pPr>
              <w:spacing w:after="60"/>
              <w:rPr>
                <w:rFonts w:ascii="Arial" w:hAnsi="Arial" w:cs="Arial"/>
                <w:color w:val="000000"/>
                <w:sz w:val="22"/>
                <w:szCs w:val="22"/>
              </w:rPr>
            </w:pPr>
            <w:hyperlink r:id="rId108" w:history="1">
              <w:r w:rsidR="00A40DC8" w:rsidRPr="00AC41E0">
                <w:rPr>
                  <w:rStyle w:val="Hyperlink"/>
                  <w:rFonts w:ascii="Arial" w:hAnsi="Arial" w:cs="Arial"/>
                  <w:sz w:val="22"/>
                  <w:szCs w:val="22"/>
                </w:rPr>
                <w:t>SafeWork NSW</w:t>
              </w:r>
            </w:hyperlink>
          </w:p>
        </w:tc>
      </w:tr>
      <w:tr w:rsidR="00A27A03" w:rsidRPr="00AC41E0" w14:paraId="0FB46824" w14:textId="77777777" w:rsidTr="00A27A03">
        <w:trPr>
          <w:trHeight w:val="1317"/>
        </w:trPr>
        <w:tc>
          <w:tcPr>
            <w:tcW w:w="534" w:type="pct"/>
            <w:tcBorders>
              <w:top w:val="nil"/>
              <w:left w:val="single" w:sz="8" w:space="0" w:color="8EAADB"/>
              <w:bottom w:val="single" w:sz="8" w:space="0" w:color="8EAADB"/>
              <w:right w:val="single" w:sz="8" w:space="0" w:color="8EAADB"/>
            </w:tcBorders>
            <w:shd w:val="clear" w:color="auto" w:fill="D9E2F3"/>
            <w:tcMar>
              <w:left w:w="85" w:type="dxa"/>
              <w:bottom w:w="85" w:type="dxa"/>
              <w:right w:w="85" w:type="dxa"/>
            </w:tcMar>
            <w:hideMark/>
          </w:tcPr>
          <w:p w14:paraId="1C8D7B8B" w14:textId="77777777" w:rsidR="00A40DC8" w:rsidRPr="00AC41E0" w:rsidRDefault="00A40DC8" w:rsidP="0022369F">
            <w:pPr>
              <w:spacing w:after="40"/>
              <w:rPr>
                <w:rFonts w:ascii="Arial" w:hAnsi="Arial" w:cs="Arial"/>
                <w:b/>
                <w:bCs/>
                <w:color w:val="000000"/>
                <w:sz w:val="22"/>
                <w:szCs w:val="22"/>
              </w:rPr>
            </w:pPr>
            <w:r w:rsidRPr="00AC41E0">
              <w:rPr>
                <w:rFonts w:ascii="Arial" w:hAnsi="Arial" w:cs="Arial"/>
                <w:b/>
                <w:bCs/>
                <w:color w:val="000000"/>
                <w:sz w:val="22"/>
                <w:szCs w:val="22"/>
              </w:rPr>
              <w:t>Legislation/ obligations</w:t>
            </w:r>
          </w:p>
        </w:tc>
        <w:tc>
          <w:tcPr>
            <w:tcW w:w="925" w:type="pct"/>
            <w:tcBorders>
              <w:top w:val="nil"/>
              <w:left w:val="nil"/>
              <w:bottom w:val="single" w:sz="8" w:space="0" w:color="8EAADB"/>
              <w:right w:val="single" w:sz="8" w:space="0" w:color="8EAADB"/>
            </w:tcBorders>
            <w:shd w:val="clear" w:color="auto" w:fill="D9E2F3"/>
            <w:tcMar>
              <w:left w:w="85" w:type="dxa"/>
              <w:bottom w:w="85" w:type="dxa"/>
              <w:right w:w="85" w:type="dxa"/>
            </w:tcMar>
            <w:hideMark/>
          </w:tcPr>
          <w:p w14:paraId="7AC93B9D" w14:textId="10930C9F" w:rsidR="00A40DC8" w:rsidRPr="00AC41E0" w:rsidRDefault="00A40DC8" w:rsidP="0022369F">
            <w:pPr>
              <w:spacing w:after="40"/>
              <w:rPr>
                <w:rFonts w:ascii="Arial" w:hAnsi="Arial" w:cs="Arial"/>
                <w:color w:val="000000"/>
                <w:sz w:val="22"/>
                <w:szCs w:val="22"/>
              </w:rPr>
            </w:pPr>
            <w:r w:rsidRPr="00AC41E0">
              <w:rPr>
                <w:rFonts w:ascii="Arial" w:hAnsi="Arial" w:cs="Arial"/>
                <w:color w:val="000000"/>
                <w:sz w:val="22"/>
                <w:szCs w:val="22"/>
              </w:rPr>
              <w:t xml:space="preserve">Lack of awareness and resources for </w:t>
            </w:r>
            <w:r w:rsidR="00966D93" w:rsidRPr="00AC41E0">
              <w:rPr>
                <w:rFonts w:ascii="Arial" w:hAnsi="Arial" w:cs="Arial"/>
                <w:color w:val="000000"/>
                <w:sz w:val="22"/>
                <w:szCs w:val="22"/>
              </w:rPr>
              <w:t xml:space="preserve">the </w:t>
            </w:r>
            <w:r w:rsidRPr="00AC41E0">
              <w:rPr>
                <w:rFonts w:ascii="Arial" w:hAnsi="Arial" w:cs="Arial"/>
                <w:color w:val="000000"/>
                <w:sz w:val="22"/>
                <w:szCs w:val="22"/>
              </w:rPr>
              <w:t>management of obligations resulting in requirements not being met</w:t>
            </w:r>
          </w:p>
        </w:tc>
        <w:tc>
          <w:tcPr>
            <w:tcW w:w="866" w:type="pct"/>
            <w:tcBorders>
              <w:top w:val="nil"/>
              <w:left w:val="nil"/>
              <w:bottom w:val="single" w:sz="8" w:space="0" w:color="8EAADB"/>
              <w:right w:val="single" w:sz="8" w:space="0" w:color="8EAADB"/>
            </w:tcBorders>
            <w:shd w:val="clear" w:color="auto" w:fill="D9E2F3"/>
            <w:tcMar>
              <w:left w:w="85" w:type="dxa"/>
              <w:bottom w:w="85" w:type="dxa"/>
              <w:right w:w="85" w:type="dxa"/>
            </w:tcMar>
            <w:hideMark/>
          </w:tcPr>
          <w:p w14:paraId="1500F81D" w14:textId="7457E63B" w:rsidR="00A40DC8" w:rsidRPr="00AC41E0" w:rsidRDefault="00A40DC8" w:rsidP="0022369F">
            <w:pPr>
              <w:spacing w:after="40"/>
              <w:rPr>
                <w:rFonts w:ascii="Arial" w:hAnsi="Arial" w:cs="Arial"/>
                <w:color w:val="000000"/>
                <w:sz w:val="22"/>
                <w:szCs w:val="22"/>
              </w:rPr>
            </w:pPr>
            <w:r w:rsidRPr="00AC41E0">
              <w:rPr>
                <w:rFonts w:ascii="Arial" w:hAnsi="Arial" w:cs="Arial"/>
                <w:color w:val="000000"/>
                <w:sz w:val="22"/>
                <w:szCs w:val="22"/>
              </w:rPr>
              <w:t>All projects, including IoT</w:t>
            </w:r>
            <w:r w:rsidR="00B320E2" w:rsidRPr="00AC41E0">
              <w:rPr>
                <w:rFonts w:ascii="Arial" w:hAnsi="Arial" w:cs="Arial"/>
                <w:color w:val="000000"/>
                <w:sz w:val="22"/>
                <w:szCs w:val="22"/>
              </w:rPr>
              <w:t>-</w:t>
            </w:r>
            <w:r w:rsidRPr="00AC41E0">
              <w:rPr>
                <w:rFonts w:ascii="Arial" w:hAnsi="Arial" w:cs="Arial"/>
                <w:color w:val="000000"/>
                <w:sz w:val="22"/>
                <w:szCs w:val="22"/>
              </w:rPr>
              <w:t xml:space="preserve"> </w:t>
            </w:r>
            <w:r w:rsidR="007420C9" w:rsidRPr="00AC41E0">
              <w:rPr>
                <w:rFonts w:ascii="Arial" w:hAnsi="Arial" w:cs="Arial"/>
                <w:color w:val="000000"/>
                <w:sz w:val="22"/>
                <w:szCs w:val="22"/>
              </w:rPr>
              <w:t xml:space="preserve">enabled </w:t>
            </w:r>
            <w:r w:rsidRPr="00AC41E0">
              <w:rPr>
                <w:rFonts w:ascii="Arial" w:hAnsi="Arial" w:cs="Arial"/>
                <w:color w:val="000000"/>
                <w:sz w:val="22"/>
                <w:szCs w:val="22"/>
              </w:rPr>
              <w:t>projects, are subject to legislation, obligations</w:t>
            </w:r>
            <w:r w:rsidR="00966D93" w:rsidRPr="00AC41E0">
              <w:rPr>
                <w:rFonts w:ascii="Arial" w:hAnsi="Arial" w:cs="Arial"/>
                <w:color w:val="000000"/>
                <w:sz w:val="22"/>
                <w:szCs w:val="22"/>
              </w:rPr>
              <w:t>,</w:t>
            </w:r>
            <w:r w:rsidRPr="00AC41E0">
              <w:rPr>
                <w:rFonts w:ascii="Arial" w:hAnsi="Arial" w:cs="Arial"/>
                <w:color w:val="000000"/>
                <w:sz w:val="22"/>
                <w:szCs w:val="22"/>
              </w:rPr>
              <w:t xml:space="preserve"> and risks</w:t>
            </w:r>
          </w:p>
        </w:tc>
        <w:tc>
          <w:tcPr>
            <w:tcW w:w="1191" w:type="pct"/>
            <w:tcBorders>
              <w:top w:val="nil"/>
              <w:left w:val="nil"/>
              <w:bottom w:val="single" w:sz="8" w:space="0" w:color="8EAADB"/>
              <w:right w:val="single" w:sz="8" w:space="0" w:color="8EAADB"/>
            </w:tcBorders>
            <w:shd w:val="clear" w:color="auto" w:fill="D9E2F3"/>
            <w:tcMar>
              <w:left w:w="85" w:type="dxa"/>
              <w:bottom w:w="85" w:type="dxa"/>
              <w:right w:w="85" w:type="dxa"/>
            </w:tcMar>
            <w:hideMark/>
          </w:tcPr>
          <w:p w14:paraId="613B3099" w14:textId="69B3F2D2" w:rsidR="00A40DC8" w:rsidRPr="00AC41E0" w:rsidRDefault="00612E0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r w:rsidRPr="00AC41E0">
              <w:rPr>
                <w:rFonts w:ascii="Arial" w:eastAsia="Times New Roman" w:hAnsi="Arial" w:cs="Arial"/>
                <w:color w:val="000000"/>
                <w:lang w:eastAsia="en-AU"/>
              </w:rPr>
              <w:t>F</w:t>
            </w:r>
            <w:r w:rsidRPr="00AC41E0">
              <w:rPr>
                <w:rFonts w:ascii="Arial" w:hAnsi="Arial" w:cs="Arial"/>
                <w:color w:val="000000"/>
              </w:rPr>
              <w:t xml:space="preserve">or example, </w:t>
            </w:r>
            <w:hyperlink r:id="rId109" w:anchor="/view/act/2018/55" w:history="1">
              <w:r w:rsidR="00A40DC8" w:rsidRPr="00AC41E0">
                <w:rPr>
                  <w:rStyle w:val="Hyperlink"/>
                  <w:rFonts w:ascii="Arial" w:eastAsia="Times New Roman" w:hAnsi="Arial" w:cs="Arial"/>
                  <w:i/>
                  <w:lang w:eastAsia="en-AU"/>
                </w:rPr>
                <w:t>Government Sector Finance Act 201</w:t>
              </w:r>
              <w:r w:rsidR="009F027A" w:rsidRPr="00AC41E0">
                <w:rPr>
                  <w:rStyle w:val="Hyperlink"/>
                  <w:rFonts w:ascii="Arial" w:eastAsia="Times New Roman" w:hAnsi="Arial" w:cs="Arial"/>
                  <w:i/>
                  <w:lang w:eastAsia="en-AU"/>
                </w:rPr>
                <w:t xml:space="preserve">9 </w:t>
              </w:r>
              <w:r w:rsidR="009F027A" w:rsidRPr="00AC41E0">
                <w:rPr>
                  <w:rStyle w:val="Hyperlink"/>
                  <w:rFonts w:ascii="Arial" w:eastAsia="Times New Roman" w:hAnsi="Arial" w:cs="Arial"/>
                  <w:lang w:eastAsia="en-AU"/>
                </w:rPr>
                <w:t>(NSW)</w:t>
              </w:r>
            </w:hyperlink>
            <w:r w:rsidR="00A40DC8" w:rsidRPr="00E46FB0">
              <w:rPr>
                <w:rFonts w:ascii="Arial" w:eastAsia="Times New Roman" w:hAnsi="Arial" w:cs="Arial"/>
                <w:color w:val="000000"/>
                <w:lang w:eastAsia="en-AU"/>
              </w:rPr>
              <w:t xml:space="preserve">; </w:t>
            </w:r>
            <w:hyperlink r:id="rId110" w:anchor="/view/act/1979/203" w:history="1">
              <w:r w:rsidR="00A40DC8" w:rsidRPr="00AC41E0">
                <w:rPr>
                  <w:rStyle w:val="Hyperlink"/>
                  <w:rFonts w:ascii="Arial" w:eastAsia="Times New Roman" w:hAnsi="Arial" w:cs="Arial"/>
                  <w:i/>
                  <w:lang w:eastAsia="en-AU"/>
                </w:rPr>
                <w:t>Environmental Planning and Assessment Act 197</w:t>
              </w:r>
              <w:r w:rsidR="009F027A" w:rsidRPr="00AC41E0">
                <w:rPr>
                  <w:rStyle w:val="Hyperlink"/>
                  <w:rFonts w:ascii="Arial" w:eastAsia="Times New Roman" w:hAnsi="Arial" w:cs="Arial"/>
                  <w:i/>
                  <w:lang w:eastAsia="en-AU"/>
                </w:rPr>
                <w:t xml:space="preserve">9 </w:t>
              </w:r>
              <w:r w:rsidR="009F027A" w:rsidRPr="00AC41E0">
                <w:rPr>
                  <w:rStyle w:val="Hyperlink"/>
                  <w:rFonts w:ascii="Arial" w:eastAsia="Times New Roman" w:hAnsi="Arial" w:cs="Arial"/>
                  <w:lang w:eastAsia="en-AU"/>
                </w:rPr>
                <w:t>(NSW)</w:t>
              </w:r>
            </w:hyperlink>
            <w:r w:rsidR="00A40DC8" w:rsidRPr="00E46FB0">
              <w:rPr>
                <w:rFonts w:ascii="Arial" w:eastAsia="Times New Roman" w:hAnsi="Arial" w:cs="Arial"/>
                <w:color w:val="000000"/>
                <w:lang w:eastAsia="en-AU"/>
              </w:rPr>
              <w:t xml:space="preserve"> </w:t>
            </w:r>
          </w:p>
          <w:p w14:paraId="36C44309" w14:textId="77777777" w:rsidR="00A40DC8" w:rsidRPr="00AC41E0" w:rsidRDefault="00A40DC8" w:rsidP="0022369F">
            <w:pPr>
              <w:pStyle w:val="ListParagraph"/>
              <w:spacing w:after="60" w:line="240" w:lineRule="auto"/>
              <w:ind w:left="170"/>
              <w:contextualSpacing w:val="0"/>
              <w:rPr>
                <w:rFonts w:ascii="Arial" w:eastAsia="Times New Roman" w:hAnsi="Arial" w:cs="Arial"/>
                <w:color w:val="000000"/>
                <w:lang w:eastAsia="en-AU"/>
              </w:rPr>
            </w:pPr>
          </w:p>
        </w:tc>
        <w:tc>
          <w:tcPr>
            <w:tcW w:w="841" w:type="pct"/>
            <w:tcBorders>
              <w:top w:val="nil"/>
              <w:left w:val="nil"/>
              <w:bottom w:val="single" w:sz="8" w:space="0" w:color="8EAADB"/>
              <w:right w:val="single" w:sz="8" w:space="0" w:color="8EAADB"/>
            </w:tcBorders>
            <w:shd w:val="clear" w:color="auto" w:fill="D9E2F3"/>
            <w:tcMar>
              <w:left w:w="85" w:type="dxa"/>
              <w:bottom w:w="85" w:type="dxa"/>
              <w:right w:w="85" w:type="dxa"/>
            </w:tcMar>
            <w:hideMark/>
          </w:tcPr>
          <w:p w14:paraId="1C6D47B1" w14:textId="1A34384B" w:rsidR="00A40DC8"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r:id="rId111" w:history="1">
              <w:r w:rsidR="00A40DC8" w:rsidRPr="00AC41E0">
                <w:rPr>
                  <w:rStyle w:val="Hyperlink"/>
                  <w:rFonts w:ascii="Arial" w:eastAsia="Times New Roman" w:hAnsi="Arial" w:cs="Arial"/>
                  <w:lang w:eastAsia="en-AU"/>
                </w:rPr>
                <w:t>NSW Treasury Risk Management Toolkit</w:t>
              </w:r>
            </w:hyperlink>
          </w:p>
          <w:p w14:paraId="6D04E9B9" w14:textId="27640DD8" w:rsidR="00A40DC8"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w:anchor="_Appendix_A_–" w:history="1">
              <w:r w:rsidR="00A40DC8" w:rsidRPr="00AC41E0">
                <w:rPr>
                  <w:rStyle w:val="Hyperlink"/>
                  <w:rFonts w:ascii="Arial" w:eastAsia="Times New Roman" w:hAnsi="Arial" w:cs="Arial"/>
                  <w:lang w:eastAsia="en-AU"/>
                </w:rPr>
                <w:t>Pre-mortem exercise</w:t>
              </w:r>
            </w:hyperlink>
          </w:p>
        </w:tc>
        <w:tc>
          <w:tcPr>
            <w:tcW w:w="643" w:type="pct"/>
            <w:tcBorders>
              <w:top w:val="nil"/>
              <w:left w:val="nil"/>
              <w:bottom w:val="single" w:sz="8" w:space="0" w:color="8EAADB"/>
              <w:right w:val="single" w:sz="8" w:space="0" w:color="8EAADB"/>
            </w:tcBorders>
            <w:shd w:val="clear" w:color="auto" w:fill="D9E2F3"/>
            <w:tcMar>
              <w:left w:w="85" w:type="dxa"/>
              <w:bottom w:w="85" w:type="dxa"/>
              <w:right w:w="85" w:type="dxa"/>
            </w:tcMar>
            <w:hideMark/>
          </w:tcPr>
          <w:p w14:paraId="70874023" w14:textId="086A48A1" w:rsidR="00A40DC8" w:rsidRPr="00E46FB0" w:rsidRDefault="00084371" w:rsidP="0022369F">
            <w:pPr>
              <w:spacing w:after="60"/>
              <w:rPr>
                <w:rFonts w:ascii="Arial" w:hAnsi="Arial" w:cs="Arial"/>
                <w:color w:val="000000"/>
                <w:sz w:val="22"/>
                <w:szCs w:val="22"/>
              </w:rPr>
            </w:pPr>
            <w:hyperlink w:anchor="_Risks_and_obligations_2" w:history="1">
              <w:hyperlink w:anchor="_Risks_and_obligations_2" w:history="1">
                <w:r w:rsidR="00E467FF" w:rsidRPr="00AC41E0">
                  <w:rPr>
                    <w:rStyle w:val="Hyperlink"/>
                    <w:rFonts w:ascii="Arial" w:hAnsi="Arial" w:cs="Arial"/>
                    <w:sz w:val="22"/>
                    <w:szCs w:val="22"/>
                  </w:rPr>
                  <w:t>Chapter 3.4 Risks and obligations</w:t>
                </w:r>
              </w:hyperlink>
            </w:hyperlink>
          </w:p>
        </w:tc>
      </w:tr>
      <w:tr w:rsidR="00A27A03" w:rsidRPr="00AC41E0" w14:paraId="0B1C6858" w14:textId="77777777" w:rsidTr="00A27A03">
        <w:trPr>
          <w:trHeight w:val="1038"/>
        </w:trPr>
        <w:tc>
          <w:tcPr>
            <w:tcW w:w="534" w:type="pct"/>
            <w:tcBorders>
              <w:top w:val="nil"/>
              <w:left w:val="single" w:sz="8" w:space="0" w:color="8EAADB"/>
              <w:bottom w:val="single" w:sz="8" w:space="0" w:color="8EAADB"/>
              <w:right w:val="single" w:sz="8" w:space="0" w:color="8EAADB"/>
            </w:tcBorders>
            <w:shd w:val="clear" w:color="auto" w:fill="FFFFFF" w:themeFill="background1"/>
            <w:tcMar>
              <w:left w:w="85" w:type="dxa"/>
              <w:bottom w:w="85" w:type="dxa"/>
              <w:right w:w="85" w:type="dxa"/>
            </w:tcMar>
            <w:hideMark/>
          </w:tcPr>
          <w:p w14:paraId="170BF670" w14:textId="77777777" w:rsidR="00A40DC8" w:rsidRPr="00AC41E0" w:rsidRDefault="00A40DC8" w:rsidP="0022369F">
            <w:pPr>
              <w:spacing w:after="40"/>
              <w:rPr>
                <w:rFonts w:ascii="Arial" w:hAnsi="Arial" w:cs="Arial"/>
                <w:b/>
                <w:bCs/>
                <w:color w:val="000000"/>
                <w:sz w:val="22"/>
                <w:szCs w:val="22"/>
              </w:rPr>
            </w:pPr>
            <w:r w:rsidRPr="00AC41E0">
              <w:rPr>
                <w:rFonts w:ascii="Arial" w:hAnsi="Arial" w:cs="Arial"/>
                <w:b/>
                <w:bCs/>
                <w:color w:val="000000"/>
                <w:sz w:val="22"/>
                <w:szCs w:val="22"/>
              </w:rPr>
              <w:t>Technology</w:t>
            </w:r>
          </w:p>
        </w:tc>
        <w:tc>
          <w:tcPr>
            <w:tcW w:w="925" w:type="pct"/>
            <w:tcBorders>
              <w:top w:val="nil"/>
              <w:left w:val="nil"/>
              <w:bottom w:val="single" w:sz="8" w:space="0" w:color="8EAADB"/>
              <w:right w:val="single" w:sz="8" w:space="0" w:color="8EAADB"/>
            </w:tcBorders>
            <w:shd w:val="clear" w:color="auto" w:fill="FFFFFF" w:themeFill="background1"/>
            <w:tcMar>
              <w:left w:w="85" w:type="dxa"/>
              <w:bottom w:w="85" w:type="dxa"/>
              <w:right w:w="85" w:type="dxa"/>
            </w:tcMar>
            <w:hideMark/>
          </w:tcPr>
          <w:p w14:paraId="40F9D37F" w14:textId="77777777" w:rsidR="00A40DC8" w:rsidRPr="00AC41E0" w:rsidRDefault="00A40DC8" w:rsidP="0022369F">
            <w:pPr>
              <w:spacing w:after="40"/>
              <w:rPr>
                <w:rFonts w:ascii="Arial" w:hAnsi="Arial" w:cs="Arial"/>
                <w:color w:val="000000"/>
                <w:sz w:val="22"/>
                <w:szCs w:val="22"/>
              </w:rPr>
            </w:pPr>
            <w:r w:rsidRPr="00AC41E0">
              <w:rPr>
                <w:rFonts w:ascii="Arial" w:hAnsi="Arial" w:cs="Arial"/>
                <w:color w:val="000000"/>
                <w:sz w:val="22"/>
                <w:szCs w:val="22"/>
              </w:rPr>
              <w:t>Harm/loss resulting from rapid technology changes/failures or lack of interoperability</w:t>
            </w:r>
          </w:p>
        </w:tc>
        <w:tc>
          <w:tcPr>
            <w:tcW w:w="866" w:type="pct"/>
            <w:tcBorders>
              <w:top w:val="nil"/>
              <w:left w:val="nil"/>
              <w:bottom w:val="single" w:sz="8" w:space="0" w:color="8EAADB"/>
              <w:right w:val="single" w:sz="8" w:space="0" w:color="8EAADB"/>
            </w:tcBorders>
            <w:shd w:val="clear" w:color="auto" w:fill="FFFFFF" w:themeFill="background1"/>
            <w:tcMar>
              <w:left w:w="85" w:type="dxa"/>
              <w:bottom w:w="85" w:type="dxa"/>
              <w:right w:w="85" w:type="dxa"/>
            </w:tcMar>
            <w:hideMark/>
          </w:tcPr>
          <w:p w14:paraId="4B337A70" w14:textId="1C7BCDD0" w:rsidR="00A40DC8" w:rsidRPr="00AC41E0" w:rsidRDefault="00A40DC8" w:rsidP="0022369F">
            <w:pPr>
              <w:spacing w:after="40"/>
              <w:rPr>
                <w:rFonts w:ascii="Arial" w:hAnsi="Arial" w:cs="Arial"/>
                <w:color w:val="000000"/>
                <w:sz w:val="22"/>
                <w:szCs w:val="22"/>
              </w:rPr>
            </w:pPr>
            <w:r w:rsidRPr="00AC41E0">
              <w:rPr>
                <w:rFonts w:ascii="Arial" w:hAnsi="Arial" w:cs="Arial"/>
                <w:color w:val="000000"/>
                <w:sz w:val="22"/>
                <w:szCs w:val="22"/>
              </w:rPr>
              <w:t>IoT</w:t>
            </w:r>
            <w:r w:rsidR="00062758" w:rsidRPr="00AC41E0">
              <w:rPr>
                <w:rFonts w:ascii="Arial" w:hAnsi="Arial" w:cs="Arial"/>
                <w:color w:val="000000"/>
                <w:sz w:val="22"/>
                <w:szCs w:val="22"/>
              </w:rPr>
              <w:t xml:space="preserve">-enabled </w:t>
            </w:r>
            <w:r w:rsidRPr="00AC41E0">
              <w:rPr>
                <w:rFonts w:ascii="Arial" w:hAnsi="Arial" w:cs="Arial"/>
                <w:color w:val="000000"/>
                <w:sz w:val="22"/>
                <w:szCs w:val="22"/>
              </w:rPr>
              <w:t>projects involve technology</w:t>
            </w:r>
          </w:p>
        </w:tc>
        <w:tc>
          <w:tcPr>
            <w:tcW w:w="1191" w:type="pct"/>
            <w:tcBorders>
              <w:top w:val="nil"/>
              <w:left w:val="nil"/>
              <w:bottom w:val="single" w:sz="8" w:space="0" w:color="8EAADB"/>
              <w:right w:val="single" w:sz="8" w:space="0" w:color="8EAADB"/>
            </w:tcBorders>
            <w:shd w:val="clear" w:color="auto" w:fill="FFFFFF" w:themeFill="background1"/>
            <w:tcMar>
              <w:left w:w="85" w:type="dxa"/>
              <w:bottom w:w="85" w:type="dxa"/>
              <w:right w:w="85" w:type="dxa"/>
            </w:tcMar>
            <w:hideMark/>
          </w:tcPr>
          <w:p w14:paraId="10ED0996" w14:textId="77777777" w:rsidR="00A40DC8" w:rsidRPr="00AC41E0" w:rsidRDefault="00A40DC8" w:rsidP="0022369F">
            <w:pPr>
              <w:pStyle w:val="ListParagraph"/>
              <w:spacing w:after="60" w:line="240" w:lineRule="auto"/>
              <w:ind w:left="170"/>
              <w:contextualSpacing w:val="0"/>
              <w:rPr>
                <w:rFonts w:ascii="Arial" w:eastAsia="Times New Roman" w:hAnsi="Arial" w:cs="Arial"/>
                <w:color w:val="000000"/>
                <w:lang w:eastAsia="en-AU"/>
              </w:rPr>
            </w:pPr>
            <w:r w:rsidRPr="00AC41E0">
              <w:rPr>
                <w:rFonts w:ascii="Arial" w:eastAsia="Times New Roman" w:hAnsi="Arial" w:cs="Arial"/>
                <w:color w:val="000000"/>
                <w:lang w:eastAsia="en-AU"/>
              </w:rPr>
              <w:t>N/A</w:t>
            </w:r>
          </w:p>
        </w:tc>
        <w:tc>
          <w:tcPr>
            <w:tcW w:w="841" w:type="pct"/>
            <w:tcBorders>
              <w:top w:val="nil"/>
              <w:left w:val="nil"/>
              <w:bottom w:val="single" w:sz="8" w:space="0" w:color="8EAADB"/>
              <w:right w:val="single" w:sz="8" w:space="0" w:color="8EAADB"/>
            </w:tcBorders>
            <w:shd w:val="clear" w:color="auto" w:fill="FFFFFF" w:themeFill="background1"/>
            <w:tcMar>
              <w:left w:w="85" w:type="dxa"/>
              <w:bottom w:w="85" w:type="dxa"/>
              <w:right w:w="85" w:type="dxa"/>
            </w:tcMar>
            <w:hideMark/>
          </w:tcPr>
          <w:p w14:paraId="4D4E11D0" w14:textId="188881E9" w:rsidR="00A40DC8"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r:id="rId112" w:history="1">
              <w:r w:rsidR="00A40DC8" w:rsidRPr="00AC41E0">
                <w:rPr>
                  <w:rStyle w:val="Hyperlink"/>
                  <w:rFonts w:ascii="Arial" w:eastAsia="Times New Roman" w:hAnsi="Arial" w:cs="Arial"/>
                  <w:lang w:eastAsia="en-AU"/>
                </w:rPr>
                <w:t>NSW Treasury Risk Management Toolkit</w:t>
              </w:r>
            </w:hyperlink>
          </w:p>
          <w:p w14:paraId="2F6B7126" w14:textId="470E24EA" w:rsidR="00A40DC8"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w:anchor="_Appendix_A_–" w:history="1">
              <w:r w:rsidR="00A40DC8" w:rsidRPr="00AC41E0">
                <w:rPr>
                  <w:rStyle w:val="Hyperlink"/>
                  <w:rFonts w:ascii="Arial" w:eastAsia="Times New Roman" w:hAnsi="Arial" w:cs="Arial"/>
                  <w:lang w:eastAsia="en-AU"/>
                </w:rPr>
                <w:t>Pre-mortem exercise</w:t>
              </w:r>
            </w:hyperlink>
          </w:p>
        </w:tc>
        <w:tc>
          <w:tcPr>
            <w:tcW w:w="643" w:type="pct"/>
            <w:tcBorders>
              <w:top w:val="nil"/>
              <w:left w:val="nil"/>
              <w:bottom w:val="single" w:sz="8" w:space="0" w:color="8EAADB"/>
              <w:right w:val="single" w:sz="8" w:space="0" w:color="8EAADB"/>
            </w:tcBorders>
            <w:shd w:val="clear" w:color="auto" w:fill="FFFFFF" w:themeFill="background1"/>
            <w:tcMar>
              <w:left w:w="85" w:type="dxa"/>
              <w:bottom w:w="85" w:type="dxa"/>
              <w:right w:w="85" w:type="dxa"/>
            </w:tcMar>
            <w:hideMark/>
          </w:tcPr>
          <w:p w14:paraId="47E0835D" w14:textId="77777777" w:rsidR="00A40DC8" w:rsidRPr="00AC41E0" w:rsidRDefault="00A40DC8" w:rsidP="0022369F">
            <w:pPr>
              <w:spacing w:after="60"/>
              <w:rPr>
                <w:rFonts w:ascii="Arial" w:hAnsi="Arial" w:cs="Arial"/>
                <w:color w:val="000000"/>
                <w:sz w:val="22"/>
                <w:szCs w:val="22"/>
              </w:rPr>
            </w:pPr>
            <w:r w:rsidRPr="00AC41E0">
              <w:rPr>
                <w:rFonts w:ascii="Arial" w:hAnsi="Arial" w:cs="Arial"/>
                <w:color w:val="000000"/>
                <w:sz w:val="22"/>
                <w:szCs w:val="22"/>
              </w:rPr>
              <w:t>Seek advice from experts within your organisation</w:t>
            </w:r>
          </w:p>
        </w:tc>
      </w:tr>
      <w:tr w:rsidR="00A27A03" w:rsidRPr="00AC41E0" w14:paraId="216AFE3A" w14:textId="77777777" w:rsidTr="00A27A03">
        <w:trPr>
          <w:trHeight w:val="756"/>
        </w:trPr>
        <w:tc>
          <w:tcPr>
            <w:tcW w:w="534" w:type="pct"/>
            <w:tcBorders>
              <w:top w:val="nil"/>
              <w:left w:val="single" w:sz="8" w:space="0" w:color="8EAADB"/>
              <w:bottom w:val="single" w:sz="8" w:space="0" w:color="8EAADB"/>
              <w:right w:val="single" w:sz="8" w:space="0" w:color="8EAADB"/>
            </w:tcBorders>
            <w:shd w:val="clear" w:color="auto" w:fill="D9E2F3"/>
            <w:tcMar>
              <w:left w:w="85" w:type="dxa"/>
              <w:bottom w:w="85" w:type="dxa"/>
              <w:right w:w="85" w:type="dxa"/>
            </w:tcMar>
            <w:hideMark/>
          </w:tcPr>
          <w:p w14:paraId="5BDBBE7A" w14:textId="77777777" w:rsidR="00A40DC8" w:rsidRPr="00AC41E0" w:rsidRDefault="00A40DC8" w:rsidP="0022369F">
            <w:pPr>
              <w:spacing w:after="40"/>
              <w:rPr>
                <w:rFonts w:ascii="Arial" w:hAnsi="Arial" w:cs="Arial"/>
                <w:b/>
                <w:bCs/>
                <w:color w:val="000000"/>
                <w:sz w:val="22"/>
                <w:szCs w:val="22"/>
              </w:rPr>
            </w:pPr>
            <w:r w:rsidRPr="00AC41E0">
              <w:rPr>
                <w:rFonts w:ascii="Arial" w:hAnsi="Arial" w:cs="Arial"/>
                <w:b/>
                <w:bCs/>
                <w:color w:val="000000"/>
                <w:sz w:val="22"/>
                <w:szCs w:val="22"/>
              </w:rPr>
              <w:t>Machinery of Government</w:t>
            </w:r>
          </w:p>
        </w:tc>
        <w:tc>
          <w:tcPr>
            <w:tcW w:w="925" w:type="pct"/>
            <w:tcBorders>
              <w:top w:val="nil"/>
              <w:left w:val="nil"/>
              <w:bottom w:val="single" w:sz="8" w:space="0" w:color="8EAADB"/>
              <w:right w:val="single" w:sz="8" w:space="0" w:color="8EAADB"/>
            </w:tcBorders>
            <w:shd w:val="clear" w:color="auto" w:fill="D9E2F3"/>
            <w:tcMar>
              <w:left w:w="85" w:type="dxa"/>
              <w:bottom w:w="85" w:type="dxa"/>
              <w:right w:w="85" w:type="dxa"/>
            </w:tcMar>
            <w:hideMark/>
          </w:tcPr>
          <w:p w14:paraId="1827253D" w14:textId="77777777" w:rsidR="00A40DC8" w:rsidRPr="00AC41E0" w:rsidRDefault="00A40DC8" w:rsidP="0022369F">
            <w:pPr>
              <w:spacing w:after="40"/>
              <w:rPr>
                <w:rFonts w:ascii="Arial" w:hAnsi="Arial" w:cs="Arial"/>
                <w:color w:val="000000"/>
                <w:sz w:val="22"/>
                <w:szCs w:val="22"/>
              </w:rPr>
            </w:pPr>
            <w:r w:rsidRPr="00AC41E0">
              <w:rPr>
                <w:rFonts w:ascii="Arial" w:hAnsi="Arial" w:cs="Arial"/>
                <w:color w:val="000000"/>
                <w:sz w:val="22"/>
                <w:szCs w:val="22"/>
              </w:rPr>
              <w:t>Project barriers resulting in changing priorities and workstreams</w:t>
            </w:r>
          </w:p>
        </w:tc>
        <w:tc>
          <w:tcPr>
            <w:tcW w:w="866" w:type="pct"/>
            <w:tcBorders>
              <w:top w:val="nil"/>
              <w:left w:val="nil"/>
              <w:bottom w:val="single" w:sz="8" w:space="0" w:color="8EAADB"/>
              <w:right w:val="single" w:sz="8" w:space="0" w:color="8EAADB"/>
            </w:tcBorders>
            <w:shd w:val="clear" w:color="auto" w:fill="D9E2F3"/>
            <w:tcMar>
              <w:left w:w="85" w:type="dxa"/>
              <w:bottom w:w="85" w:type="dxa"/>
              <w:right w:w="85" w:type="dxa"/>
            </w:tcMar>
            <w:hideMark/>
          </w:tcPr>
          <w:p w14:paraId="30CC639D" w14:textId="2432E4B2" w:rsidR="00A40DC8" w:rsidRPr="00AC41E0" w:rsidRDefault="00A40DC8" w:rsidP="0022369F">
            <w:pPr>
              <w:spacing w:after="40"/>
              <w:rPr>
                <w:rFonts w:ascii="Arial" w:hAnsi="Arial" w:cs="Arial"/>
                <w:color w:val="000000"/>
                <w:sz w:val="22"/>
                <w:szCs w:val="22"/>
              </w:rPr>
            </w:pPr>
            <w:r w:rsidRPr="00AC41E0">
              <w:rPr>
                <w:rFonts w:ascii="Arial" w:hAnsi="Arial" w:cs="Arial"/>
                <w:color w:val="000000"/>
                <w:sz w:val="22"/>
                <w:szCs w:val="22"/>
              </w:rPr>
              <w:t xml:space="preserve">Change of leadership and priorities can impact </w:t>
            </w:r>
            <w:r w:rsidR="006B27BC" w:rsidRPr="00AC41E0">
              <w:rPr>
                <w:rFonts w:ascii="Arial" w:hAnsi="Arial" w:cs="Arial"/>
                <w:color w:val="000000"/>
                <w:sz w:val="22"/>
                <w:szCs w:val="22"/>
              </w:rPr>
              <w:t>IoT-enabled project</w:t>
            </w:r>
            <w:r w:rsidRPr="00AC41E0">
              <w:rPr>
                <w:rFonts w:ascii="Arial" w:hAnsi="Arial" w:cs="Arial"/>
                <w:color w:val="000000"/>
                <w:sz w:val="22"/>
                <w:szCs w:val="22"/>
              </w:rPr>
              <w:t>s</w:t>
            </w:r>
          </w:p>
        </w:tc>
        <w:tc>
          <w:tcPr>
            <w:tcW w:w="1191" w:type="pct"/>
            <w:tcBorders>
              <w:top w:val="nil"/>
              <w:left w:val="nil"/>
              <w:bottom w:val="single" w:sz="8" w:space="0" w:color="8EAADB"/>
              <w:right w:val="single" w:sz="8" w:space="0" w:color="8EAADB"/>
            </w:tcBorders>
            <w:shd w:val="clear" w:color="auto" w:fill="D9E2F3"/>
            <w:tcMar>
              <w:left w:w="85" w:type="dxa"/>
              <w:bottom w:w="85" w:type="dxa"/>
              <w:right w:w="85" w:type="dxa"/>
            </w:tcMar>
            <w:hideMark/>
          </w:tcPr>
          <w:p w14:paraId="2C163855" w14:textId="77777777" w:rsidR="00A40DC8" w:rsidRPr="00AC41E0" w:rsidRDefault="00A40DC8" w:rsidP="0022369F">
            <w:pPr>
              <w:pStyle w:val="ListParagraph"/>
              <w:spacing w:after="60" w:line="240" w:lineRule="auto"/>
              <w:ind w:left="170"/>
              <w:contextualSpacing w:val="0"/>
              <w:rPr>
                <w:rFonts w:ascii="Arial" w:eastAsia="Times New Roman" w:hAnsi="Arial" w:cs="Arial"/>
                <w:color w:val="000000"/>
                <w:lang w:eastAsia="en-AU"/>
              </w:rPr>
            </w:pPr>
            <w:r w:rsidRPr="00AC41E0">
              <w:rPr>
                <w:rFonts w:ascii="Arial" w:eastAsia="Times New Roman" w:hAnsi="Arial" w:cs="Arial"/>
                <w:color w:val="000000"/>
                <w:lang w:eastAsia="en-AU"/>
              </w:rPr>
              <w:t>N/A</w:t>
            </w:r>
          </w:p>
        </w:tc>
        <w:tc>
          <w:tcPr>
            <w:tcW w:w="841" w:type="pct"/>
            <w:tcBorders>
              <w:top w:val="nil"/>
              <w:left w:val="nil"/>
              <w:bottom w:val="single" w:sz="8" w:space="0" w:color="8EAADB"/>
              <w:right w:val="single" w:sz="8" w:space="0" w:color="8EAADB"/>
            </w:tcBorders>
            <w:shd w:val="clear" w:color="auto" w:fill="D9E2F3"/>
            <w:tcMar>
              <w:left w:w="85" w:type="dxa"/>
              <w:bottom w:w="85" w:type="dxa"/>
              <w:right w:w="85" w:type="dxa"/>
            </w:tcMar>
            <w:hideMark/>
          </w:tcPr>
          <w:p w14:paraId="587B775E" w14:textId="169D7D46" w:rsidR="00A40DC8"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r:id="rId113" w:history="1">
              <w:r w:rsidR="00A40DC8" w:rsidRPr="00AC41E0">
                <w:rPr>
                  <w:rStyle w:val="Hyperlink"/>
                  <w:rFonts w:ascii="Arial" w:eastAsia="Times New Roman" w:hAnsi="Arial" w:cs="Arial"/>
                  <w:lang w:eastAsia="en-AU"/>
                </w:rPr>
                <w:t>NSW Treasury Risk Management Toolkit</w:t>
              </w:r>
            </w:hyperlink>
          </w:p>
          <w:p w14:paraId="0893C7C9" w14:textId="139F3734" w:rsidR="00A40DC8" w:rsidRPr="00E46FB0" w:rsidRDefault="00084371" w:rsidP="0022369F">
            <w:pPr>
              <w:pStyle w:val="ListParagraph"/>
              <w:numPr>
                <w:ilvl w:val="0"/>
                <w:numId w:val="6"/>
              </w:numPr>
              <w:spacing w:after="60" w:line="240" w:lineRule="auto"/>
              <w:ind w:left="170" w:hanging="170"/>
              <w:contextualSpacing w:val="0"/>
              <w:rPr>
                <w:rFonts w:ascii="Arial" w:eastAsia="Times New Roman" w:hAnsi="Arial" w:cs="Arial"/>
                <w:color w:val="000000"/>
                <w:lang w:eastAsia="en-AU"/>
              </w:rPr>
            </w:pPr>
            <w:hyperlink w:anchor="_Appendix_A_–" w:history="1">
              <w:r w:rsidR="00A40DC8" w:rsidRPr="00AC41E0">
                <w:rPr>
                  <w:rStyle w:val="Hyperlink"/>
                  <w:rFonts w:ascii="Arial" w:eastAsia="Times New Roman" w:hAnsi="Arial" w:cs="Arial"/>
                  <w:lang w:eastAsia="en-AU"/>
                </w:rPr>
                <w:t>Pre-mortem exercise</w:t>
              </w:r>
            </w:hyperlink>
          </w:p>
        </w:tc>
        <w:tc>
          <w:tcPr>
            <w:tcW w:w="643" w:type="pct"/>
            <w:tcBorders>
              <w:top w:val="nil"/>
              <w:left w:val="nil"/>
              <w:bottom w:val="single" w:sz="8" w:space="0" w:color="8EAADB"/>
              <w:right w:val="single" w:sz="8" w:space="0" w:color="8EAADB"/>
            </w:tcBorders>
            <w:shd w:val="clear" w:color="auto" w:fill="D9E2F3"/>
            <w:tcMar>
              <w:left w:w="85" w:type="dxa"/>
              <w:bottom w:w="85" w:type="dxa"/>
              <w:right w:w="85" w:type="dxa"/>
            </w:tcMar>
            <w:hideMark/>
          </w:tcPr>
          <w:p w14:paraId="28640D9D" w14:textId="70711058" w:rsidR="00A40DC8" w:rsidRPr="00E46FB0" w:rsidRDefault="00084371" w:rsidP="0022369F">
            <w:pPr>
              <w:spacing w:after="60"/>
              <w:rPr>
                <w:rFonts w:ascii="Arial" w:hAnsi="Arial" w:cs="Arial"/>
                <w:color w:val="000000"/>
                <w:sz w:val="22"/>
                <w:szCs w:val="22"/>
              </w:rPr>
            </w:pPr>
            <w:hyperlink w:anchor="_Risks_and_obligations_2" w:history="1">
              <w:r w:rsidR="00E467FF" w:rsidRPr="00AC41E0">
                <w:rPr>
                  <w:rStyle w:val="Hyperlink"/>
                  <w:rFonts w:ascii="Arial" w:hAnsi="Arial" w:cs="Arial"/>
                  <w:sz w:val="22"/>
                  <w:szCs w:val="22"/>
                </w:rPr>
                <w:t>Chapter 3.4 Risks and obligations</w:t>
              </w:r>
            </w:hyperlink>
          </w:p>
        </w:tc>
      </w:tr>
    </w:tbl>
    <w:p w14:paraId="5A1FE793" w14:textId="77777777" w:rsidR="00D33243" w:rsidRPr="00AC41E0" w:rsidRDefault="00D33243" w:rsidP="00D4137E">
      <w:pPr>
        <w:pStyle w:val="DCSbodytext"/>
        <w:ind w:left="868"/>
        <w:rPr>
          <w:lang w:eastAsia="en-AU"/>
        </w:rPr>
        <w:sectPr w:rsidR="00D33243" w:rsidRPr="00AC41E0" w:rsidSect="002771AA">
          <w:footerReference w:type="first" r:id="rId114"/>
          <w:pgSz w:w="16838" w:h="11906" w:orient="landscape"/>
          <w:pgMar w:top="1134" w:right="1670" w:bottom="1134" w:left="1134" w:header="851" w:footer="425" w:gutter="0"/>
          <w:cols w:space="708"/>
          <w:titlePg/>
          <w:docGrid w:linePitch="360"/>
        </w:sectPr>
      </w:pPr>
    </w:p>
    <w:p w14:paraId="2E1F84B2" w14:textId="77777777" w:rsidR="008D0368" w:rsidRPr="00AC41E0" w:rsidRDefault="008D0368" w:rsidP="00D4137E">
      <w:pPr>
        <w:pStyle w:val="Heading3"/>
        <w:ind w:left="868"/>
        <w:rPr>
          <w:rFonts w:ascii="Arial" w:hAnsi="Arial"/>
        </w:rPr>
      </w:pPr>
      <w:bookmarkStart w:id="1050" w:name="_Toc14442697"/>
      <w:bookmarkStart w:id="1051" w:name="_Toc14444261"/>
      <w:bookmarkStart w:id="1052" w:name="_Toc14444474"/>
      <w:bookmarkStart w:id="1053" w:name="_Toc14445133"/>
      <w:bookmarkStart w:id="1054" w:name="_Toc14442698"/>
      <w:bookmarkStart w:id="1055" w:name="_Toc14444262"/>
      <w:bookmarkStart w:id="1056" w:name="_Toc14444475"/>
      <w:bookmarkStart w:id="1057" w:name="_Toc14445134"/>
      <w:bookmarkStart w:id="1058" w:name="_Toc14441821"/>
      <w:bookmarkStart w:id="1059" w:name="_Toc14442699"/>
      <w:bookmarkStart w:id="1060" w:name="_Toc14444263"/>
      <w:bookmarkStart w:id="1061" w:name="_Toc14444476"/>
      <w:bookmarkStart w:id="1062" w:name="_Toc14445135"/>
      <w:bookmarkStart w:id="1063" w:name="_Toc14441822"/>
      <w:bookmarkStart w:id="1064" w:name="_Toc14442700"/>
      <w:bookmarkStart w:id="1065" w:name="_Toc14444264"/>
      <w:bookmarkStart w:id="1066" w:name="_Toc14444477"/>
      <w:bookmarkStart w:id="1067" w:name="_Toc14445136"/>
      <w:bookmarkStart w:id="1068" w:name="_Toc14441823"/>
      <w:bookmarkStart w:id="1069" w:name="_Toc14442701"/>
      <w:bookmarkStart w:id="1070" w:name="_Toc14444265"/>
      <w:bookmarkStart w:id="1071" w:name="_Toc14444478"/>
      <w:bookmarkStart w:id="1072" w:name="_Toc14445137"/>
      <w:bookmarkStart w:id="1073" w:name="_Toc14441824"/>
      <w:bookmarkStart w:id="1074" w:name="_Toc14442702"/>
      <w:bookmarkStart w:id="1075" w:name="_Toc14444266"/>
      <w:bookmarkStart w:id="1076" w:name="_Toc14444479"/>
      <w:bookmarkStart w:id="1077" w:name="_Toc14445138"/>
      <w:bookmarkStart w:id="1078" w:name="_Toc14441825"/>
      <w:bookmarkStart w:id="1079" w:name="_Toc14442703"/>
      <w:bookmarkStart w:id="1080" w:name="_Toc14444267"/>
      <w:bookmarkStart w:id="1081" w:name="_Toc14444480"/>
      <w:bookmarkStart w:id="1082" w:name="_Toc14445139"/>
      <w:bookmarkStart w:id="1083" w:name="_Toc14441826"/>
      <w:bookmarkStart w:id="1084" w:name="_Toc14442704"/>
      <w:bookmarkStart w:id="1085" w:name="_Toc14444268"/>
      <w:bookmarkStart w:id="1086" w:name="_Toc14444481"/>
      <w:bookmarkStart w:id="1087" w:name="_Toc14445140"/>
      <w:bookmarkStart w:id="1088" w:name="_Toc14441827"/>
      <w:bookmarkStart w:id="1089" w:name="_Toc14442705"/>
      <w:bookmarkStart w:id="1090" w:name="_Toc14444269"/>
      <w:bookmarkStart w:id="1091" w:name="_Toc14444482"/>
      <w:bookmarkStart w:id="1092" w:name="_Toc14445141"/>
      <w:bookmarkStart w:id="1093" w:name="_Toc65760508"/>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r w:rsidRPr="00E46FB0">
        <w:rPr>
          <w:rFonts w:ascii="Arial" w:hAnsi="Arial"/>
        </w:rPr>
        <w:lastRenderedPageBreak/>
        <w:t>How to manage risk and compliance</w:t>
      </w:r>
      <w:bookmarkEnd w:id="1093"/>
    </w:p>
    <w:p w14:paraId="64E3952A" w14:textId="79C6793C" w:rsidR="00C82EDD" w:rsidRPr="00AC41E0" w:rsidRDefault="00C82EDD" w:rsidP="00D4137E">
      <w:pPr>
        <w:pStyle w:val="DCSbodytext"/>
        <w:ind w:left="868"/>
      </w:pPr>
      <w:r w:rsidRPr="00AC41E0">
        <w:t>Effective risk and compliance management allows you to identify your project’s strengths, weaknesses, opportunities</w:t>
      </w:r>
      <w:r w:rsidR="00966D93" w:rsidRPr="00AC41E0">
        <w:t>,</w:t>
      </w:r>
      <w:r w:rsidRPr="00AC41E0">
        <w:t xml:space="preserve"> and threats and helps you to make effective decisions. This increases the likelihood of your project achieving its objectives. </w:t>
      </w:r>
    </w:p>
    <w:p w14:paraId="09DE553C" w14:textId="6DD75EA5" w:rsidR="00C82EDD" w:rsidRPr="00AC41E0" w:rsidRDefault="00C82EDD" w:rsidP="00D4137E">
      <w:pPr>
        <w:pStyle w:val="DCSbodytext"/>
        <w:ind w:left="868"/>
      </w:pPr>
      <w:r w:rsidRPr="00AC41E0">
        <w:t xml:space="preserve">Risk and compliance management is proactive. It should be embedded as part of the management of a project. A risk and compliance assessment can </w:t>
      </w:r>
      <w:r w:rsidR="005211F1" w:rsidRPr="00AC41E0">
        <w:t>help</w:t>
      </w:r>
      <w:r w:rsidRPr="00AC41E0">
        <w:t xml:space="preserve"> the project team to identify the internal and external obligations and risks a project faces, and outline actions to manage or treat them. </w:t>
      </w:r>
    </w:p>
    <w:p w14:paraId="0FBB7246" w14:textId="70A59BB7" w:rsidR="008D0368" w:rsidRPr="00AC41E0" w:rsidRDefault="0017790D" w:rsidP="00D4137E">
      <w:pPr>
        <w:pStyle w:val="DCSbodytext"/>
        <w:ind w:left="868"/>
      </w:pPr>
      <w:r w:rsidRPr="00AC41E0">
        <w:t>F</w:t>
      </w:r>
      <w:r w:rsidR="00C82EDD" w:rsidRPr="00AC41E0">
        <w:t xml:space="preserve">ollow the steps below to manage risk and compliance in your </w:t>
      </w:r>
      <w:r w:rsidR="006B27BC" w:rsidRPr="00AC41E0">
        <w:t>IoT-enabled project</w:t>
      </w:r>
      <w:r w:rsidR="00C82EDD" w:rsidRPr="00AC41E0">
        <w:t>. Steps 2 to 4 are the risk assessment process. Also</w:t>
      </w:r>
      <w:r w:rsidR="00966D93" w:rsidRPr="00AC41E0">
        <w:t>,</w:t>
      </w:r>
      <w:r w:rsidR="00C82EDD" w:rsidRPr="00AC41E0">
        <w:t xml:space="preserve"> be sure to speak to your organisation’s risk and compliance team and/or Project Management Office about any internal risk and compliance management policies and requirements. They can help you implement the recommendations in this chapter</w:t>
      </w:r>
      <w:r w:rsidR="004F630D" w:rsidRPr="00AC41E0">
        <w:t>.</w:t>
      </w:r>
    </w:p>
    <w:p w14:paraId="251B9BE2" w14:textId="7F3BF9A8" w:rsidR="008D0368" w:rsidRPr="00AC41E0" w:rsidRDefault="008D0368" w:rsidP="0003467D">
      <w:pPr>
        <w:pStyle w:val="DCSbodytext"/>
        <w:numPr>
          <w:ilvl w:val="0"/>
          <w:numId w:val="22"/>
        </w:numPr>
        <w:ind w:left="1228"/>
        <w:rPr>
          <w:b/>
        </w:rPr>
      </w:pPr>
      <w:r w:rsidRPr="00AC41E0">
        <w:rPr>
          <w:b/>
        </w:rPr>
        <w:t>Understand</w:t>
      </w:r>
    </w:p>
    <w:p w14:paraId="1DA67FA3" w14:textId="1C53B8EA" w:rsidR="000312C6" w:rsidRPr="00AC41E0" w:rsidRDefault="000312C6" w:rsidP="00723E36">
      <w:pPr>
        <w:pStyle w:val="DCSbodytext"/>
        <w:spacing w:after="120"/>
        <w:ind w:left="868"/>
      </w:pPr>
      <w:r w:rsidRPr="00AC41E0">
        <w:t>The first step is to understand your obligations and the implications for your project activities, products</w:t>
      </w:r>
      <w:r w:rsidR="00966D93" w:rsidRPr="00AC41E0">
        <w:t>,</w:t>
      </w:r>
      <w:r w:rsidRPr="00AC41E0">
        <w:t xml:space="preserve"> and services. Think about the internal and external context of your project, such as:</w:t>
      </w:r>
    </w:p>
    <w:p w14:paraId="177B4558" w14:textId="14E3E980" w:rsidR="000312C6" w:rsidRPr="00AC41E0" w:rsidRDefault="000312C6" w:rsidP="0062572A">
      <w:pPr>
        <w:pStyle w:val="DCSbodytext"/>
        <w:numPr>
          <w:ilvl w:val="0"/>
          <w:numId w:val="104"/>
        </w:numPr>
        <w:spacing w:after="120"/>
      </w:pPr>
      <w:r w:rsidRPr="00AC41E0">
        <w:t xml:space="preserve">What is the scope of your project? </w:t>
      </w:r>
    </w:p>
    <w:p w14:paraId="6F1FEC20" w14:textId="465665A7" w:rsidR="000312C6" w:rsidRPr="00AC41E0" w:rsidRDefault="000312C6" w:rsidP="0062572A">
      <w:pPr>
        <w:pStyle w:val="DCSbodytext"/>
        <w:numPr>
          <w:ilvl w:val="0"/>
          <w:numId w:val="104"/>
        </w:numPr>
        <w:spacing w:after="120"/>
      </w:pPr>
      <w:r w:rsidRPr="00AC41E0">
        <w:t xml:space="preserve">What are the dependencies? </w:t>
      </w:r>
    </w:p>
    <w:p w14:paraId="36B27971" w14:textId="2B872CCD" w:rsidR="000312C6" w:rsidRPr="00AC41E0" w:rsidRDefault="000312C6" w:rsidP="0062572A">
      <w:pPr>
        <w:pStyle w:val="DCSbodytext"/>
        <w:numPr>
          <w:ilvl w:val="0"/>
          <w:numId w:val="104"/>
        </w:numPr>
        <w:spacing w:after="120"/>
      </w:pPr>
      <w:r w:rsidRPr="00AC41E0">
        <w:t xml:space="preserve">Who are the stakeholders and what are their goals? </w:t>
      </w:r>
    </w:p>
    <w:p w14:paraId="77E9BA97" w14:textId="6B6FBC30" w:rsidR="000312C6" w:rsidRPr="00AC41E0" w:rsidRDefault="000312C6" w:rsidP="0062572A">
      <w:pPr>
        <w:pStyle w:val="DCSbodytext"/>
        <w:numPr>
          <w:ilvl w:val="0"/>
          <w:numId w:val="104"/>
        </w:numPr>
        <w:spacing w:after="120"/>
      </w:pPr>
      <w:r w:rsidRPr="00AC41E0">
        <w:t xml:space="preserve">Do you have any assumptions going into this project? </w:t>
      </w:r>
    </w:p>
    <w:p w14:paraId="5CA82B30" w14:textId="7963F6F6" w:rsidR="000312C6" w:rsidRPr="00AC41E0" w:rsidRDefault="000312C6" w:rsidP="0062572A">
      <w:pPr>
        <w:pStyle w:val="DCSbodytext"/>
        <w:numPr>
          <w:ilvl w:val="0"/>
          <w:numId w:val="104"/>
        </w:numPr>
        <w:spacing w:after="120"/>
      </w:pPr>
      <w:r w:rsidRPr="00AC41E0">
        <w:t xml:space="preserve">What amount and type of risk can your project take? </w:t>
      </w:r>
      <w:r w:rsidR="008217E0" w:rsidRPr="00AC41E0">
        <w:t>This</w:t>
      </w:r>
      <w:r w:rsidR="00751C73" w:rsidRPr="00AC41E0">
        <w:t xml:space="preserve"> should</w:t>
      </w:r>
      <w:r w:rsidR="00757132" w:rsidRPr="00AC41E0">
        <w:t xml:space="preserve"> align </w:t>
      </w:r>
      <w:r w:rsidR="008217E0" w:rsidRPr="00AC41E0">
        <w:t>with</w:t>
      </w:r>
      <w:r w:rsidR="00757132" w:rsidRPr="00AC41E0">
        <w:t xml:space="preserve"> your agency’s risk appetite</w:t>
      </w:r>
      <w:r w:rsidR="00CB15F6" w:rsidRPr="00AC41E0">
        <w:t>.</w:t>
      </w:r>
    </w:p>
    <w:p w14:paraId="3A4085A8" w14:textId="5AB5F6A9" w:rsidR="004720C0" w:rsidRPr="00AC41E0" w:rsidRDefault="000312C6" w:rsidP="005B17AE">
      <w:pPr>
        <w:pStyle w:val="DCSbodytext"/>
        <w:numPr>
          <w:ilvl w:val="0"/>
          <w:numId w:val="104"/>
        </w:numPr>
        <w:spacing w:after="120"/>
      </w:pPr>
      <w:r w:rsidRPr="00AC41E0">
        <w:t>Have you met your compliance requirements</w:t>
      </w:r>
      <w:r w:rsidR="00712325" w:rsidRPr="00AC41E0">
        <w:t xml:space="preserve"> and/or other obligations</w:t>
      </w:r>
      <w:r w:rsidR="00F64D31" w:rsidRPr="00AC41E0">
        <w:t xml:space="preserve"> </w:t>
      </w:r>
      <w:r w:rsidR="00600670" w:rsidRPr="00AC41E0">
        <w:t>that may be applicable</w:t>
      </w:r>
      <w:r w:rsidR="00997424" w:rsidRPr="00AC41E0">
        <w:t xml:space="preserve"> to your organisation</w:t>
      </w:r>
      <w:r w:rsidRPr="00AC41E0">
        <w:t xml:space="preserve">? </w:t>
      </w:r>
    </w:p>
    <w:p w14:paraId="5D2D050B" w14:textId="77777777" w:rsidR="005B17AE" w:rsidRPr="00AC41E0" w:rsidRDefault="005B17AE" w:rsidP="00707364">
      <w:pPr>
        <w:pStyle w:val="DCSbodytext"/>
        <w:spacing w:after="120"/>
        <w:ind w:left="0"/>
      </w:pPr>
    </w:p>
    <w:p w14:paraId="58D494C4" w14:textId="5ADDE755" w:rsidR="008D0368" w:rsidRPr="00AC41E0" w:rsidRDefault="008D0368" w:rsidP="0003467D">
      <w:pPr>
        <w:pStyle w:val="DCSbodytext"/>
        <w:numPr>
          <w:ilvl w:val="0"/>
          <w:numId w:val="22"/>
        </w:numPr>
        <w:ind w:left="1228"/>
        <w:rPr>
          <w:b/>
        </w:rPr>
      </w:pPr>
      <w:r w:rsidRPr="00AC41E0">
        <w:rPr>
          <w:b/>
        </w:rPr>
        <w:t>Identify</w:t>
      </w:r>
    </w:p>
    <w:p w14:paraId="662B009E" w14:textId="3D3AFD1B" w:rsidR="007C4091" w:rsidRPr="00AC41E0" w:rsidRDefault="007C4091" w:rsidP="00D4137E">
      <w:pPr>
        <w:pStyle w:val="DCSbodytext"/>
        <w:ind w:left="868"/>
      </w:pPr>
      <w:r w:rsidRPr="00AC41E0">
        <w:t xml:space="preserve">This step is about identifying and describing risks that might prevent your project from achieving its objectives. Alternatively, your project may provide intended or unintended opportunities for your team, organisation or others. </w:t>
      </w:r>
    </w:p>
    <w:p w14:paraId="1AC39CD2" w14:textId="03A93F39" w:rsidR="007C4091" w:rsidRPr="00AC41E0" w:rsidRDefault="007C4091" w:rsidP="00D4137E">
      <w:pPr>
        <w:pStyle w:val="DCSbodytext"/>
        <w:ind w:left="868"/>
      </w:pPr>
      <w:r w:rsidRPr="00AC41E0">
        <w:t>Do not be afraid to look outward. Consider risks that may come from outside your or</w:t>
      </w:r>
      <w:r w:rsidR="00A47E4E" w:rsidRPr="00AC41E0">
        <w:t xml:space="preserve">ganisation, such as climate or </w:t>
      </w:r>
      <w:r w:rsidR="008C772F" w:rsidRPr="00AC41E0">
        <w:t>weather-related</w:t>
      </w:r>
      <w:r w:rsidRPr="00AC41E0">
        <w:t xml:space="preserve"> risks</w:t>
      </w:r>
      <w:r w:rsidR="00A47E4E" w:rsidRPr="00AC41E0">
        <w:t>,</w:t>
      </w:r>
      <w:r w:rsidRPr="00AC41E0">
        <w:t xml:space="preserve"> or economic risks. Be aware that risks may impact people or projects not directly involved in your project, particularly in the case of cyber </w:t>
      </w:r>
      <w:r w:rsidR="00726FE8" w:rsidRPr="00AC41E0">
        <w:t xml:space="preserve">security </w:t>
      </w:r>
      <w:r w:rsidRPr="00AC41E0">
        <w:t xml:space="preserve">and privacy risks. A pre-mortem exercise can assist with identifying and mitigating risks through an interactive activity with your team. </w:t>
      </w:r>
      <w:r w:rsidR="005F6B98" w:rsidRPr="00AC41E0">
        <w:t xml:space="preserve">See </w:t>
      </w:r>
      <w:hyperlink w:anchor="_Appendix_A_–" w:history="1">
        <w:r w:rsidR="005F6B98" w:rsidRPr="00AC41E0">
          <w:rPr>
            <w:rStyle w:val="Hyperlink"/>
          </w:rPr>
          <w:t>Appendix A</w:t>
        </w:r>
      </w:hyperlink>
      <w:r w:rsidR="005F6B98" w:rsidRPr="00E46FB0">
        <w:t xml:space="preserve"> for </w:t>
      </w:r>
      <w:r w:rsidR="00E3778D" w:rsidRPr="00AC41E0">
        <w:t>steps</w:t>
      </w:r>
      <w:r w:rsidR="00783A52" w:rsidRPr="00AC41E0">
        <w:t xml:space="preserve"> to run a pre-mortem exercise. </w:t>
      </w:r>
    </w:p>
    <w:p w14:paraId="1EFC6872" w14:textId="4B8266D7" w:rsidR="008D0368" w:rsidRPr="00E46FB0" w:rsidRDefault="007C4091" w:rsidP="00D4137E">
      <w:pPr>
        <w:pStyle w:val="DCSbodytext"/>
        <w:ind w:left="868"/>
      </w:pPr>
      <w:r w:rsidRPr="00AC41E0">
        <w:lastRenderedPageBreak/>
        <w:t xml:space="preserve">Identified opportunities and risks should be recorded and reported in a project Risk Register. You can find a Risk Register template in the </w:t>
      </w:r>
      <w:hyperlink r:id="rId115" w:history="1">
        <w:r w:rsidRPr="00E46FB0">
          <w:rPr>
            <w:rStyle w:val="Hyperlink"/>
          </w:rPr>
          <w:t>NSW Treasury Risk Management Toolkit</w:t>
        </w:r>
      </w:hyperlink>
      <w:r w:rsidRPr="00E46FB0">
        <w:t>.</w:t>
      </w:r>
    </w:p>
    <w:p w14:paraId="543F92E9" w14:textId="190A53AE" w:rsidR="008D0368" w:rsidRPr="00AC41E0" w:rsidRDefault="008D0368" w:rsidP="0003467D">
      <w:pPr>
        <w:pStyle w:val="DCSbodytext"/>
        <w:numPr>
          <w:ilvl w:val="0"/>
          <w:numId w:val="22"/>
        </w:numPr>
        <w:ind w:left="1228"/>
        <w:rPr>
          <w:b/>
        </w:rPr>
      </w:pPr>
      <w:r w:rsidRPr="00AC41E0">
        <w:rPr>
          <w:b/>
        </w:rPr>
        <w:t xml:space="preserve">Analyse </w:t>
      </w:r>
    </w:p>
    <w:p w14:paraId="193ECEF1" w14:textId="52E99F2E" w:rsidR="008D0368" w:rsidRPr="00AC41E0" w:rsidRDefault="004168E2" w:rsidP="00D4137E">
      <w:pPr>
        <w:pStyle w:val="DCSbodytext"/>
        <w:ind w:left="868"/>
      </w:pPr>
      <w:r w:rsidRPr="00AC41E0">
        <w:t>Risk analysis involves detailed consideration of uncertainties, risk sources, consequences, likelihood</w:t>
      </w:r>
      <w:r w:rsidR="00966D93" w:rsidRPr="00AC41E0">
        <w:t>,</w:t>
      </w:r>
      <w:r w:rsidRPr="00AC41E0">
        <w:t xml:space="preserve"> and controls. Analyse the risks to determine their causes, probability of occurring and the likely consequences</w:t>
      </w:r>
      <w:r w:rsidR="008D0368" w:rsidRPr="00AC41E0">
        <w:t xml:space="preserve">. </w:t>
      </w:r>
    </w:p>
    <w:p w14:paraId="1995A588" w14:textId="6C03636E" w:rsidR="008D0368" w:rsidRPr="00AC41E0" w:rsidRDefault="008D0368" w:rsidP="0003467D">
      <w:pPr>
        <w:pStyle w:val="DCSbodytext"/>
        <w:numPr>
          <w:ilvl w:val="0"/>
          <w:numId w:val="22"/>
        </w:numPr>
        <w:ind w:left="1228"/>
        <w:rPr>
          <w:b/>
        </w:rPr>
      </w:pPr>
      <w:r w:rsidRPr="00AC41E0">
        <w:rPr>
          <w:b/>
        </w:rPr>
        <w:t>Evaluate</w:t>
      </w:r>
    </w:p>
    <w:p w14:paraId="5E85ACA2" w14:textId="678C8E10" w:rsidR="00407FD9" w:rsidRPr="00AC41E0" w:rsidRDefault="00407FD9" w:rsidP="00D4137E">
      <w:pPr>
        <w:pStyle w:val="DCSbodytext"/>
        <w:ind w:left="868"/>
      </w:pPr>
      <w:r w:rsidRPr="00AC41E0">
        <w:t xml:space="preserve">Evaluation involves reviewing the risks that have been identified and analysed against any established risk criteria for your organisation. Some risks will have a small impact on the project and </w:t>
      </w:r>
      <w:r w:rsidR="00966D93" w:rsidRPr="00AC41E0">
        <w:t xml:space="preserve">the </w:t>
      </w:r>
      <w:r w:rsidRPr="00AC41E0">
        <w:t xml:space="preserve">organisation. Some may result in a project prematurely ending. Others may impact people and projects outside of your project and organisation. </w:t>
      </w:r>
    </w:p>
    <w:p w14:paraId="0C5D968F" w14:textId="7C0D5C51" w:rsidR="008D0368" w:rsidRPr="00AC41E0" w:rsidRDefault="00407FD9" w:rsidP="00D4137E">
      <w:pPr>
        <w:pStyle w:val="DCSbodytext"/>
        <w:ind w:left="868"/>
      </w:pPr>
      <w:r w:rsidRPr="00AC41E0">
        <w:t>Evaluating and prioritising risks</w:t>
      </w:r>
      <w:r w:rsidR="00D752CF" w:rsidRPr="00AC41E0">
        <w:t xml:space="preserve"> against your risk appetite</w:t>
      </w:r>
      <w:r w:rsidRPr="00AC41E0">
        <w:t xml:space="preserve"> help</w:t>
      </w:r>
      <w:r w:rsidR="002B5C5F" w:rsidRPr="00AC41E0">
        <w:t>s</w:t>
      </w:r>
      <w:r w:rsidRPr="00AC41E0">
        <w:t xml:space="preserve"> to determine what resources you should allocate to mitigating each risk, and what level of risk is acceptable. You should update your Risk Register to reflect the outcomes of the risk evaluation. </w:t>
      </w:r>
    </w:p>
    <w:p w14:paraId="7D65B2AE" w14:textId="7BAF828D" w:rsidR="008D0368" w:rsidRPr="00AC41E0" w:rsidRDefault="008D0368" w:rsidP="0003467D">
      <w:pPr>
        <w:pStyle w:val="DCSbodytext"/>
        <w:numPr>
          <w:ilvl w:val="0"/>
          <w:numId w:val="22"/>
        </w:numPr>
        <w:ind w:left="1228"/>
        <w:rPr>
          <w:b/>
        </w:rPr>
      </w:pPr>
      <w:r w:rsidRPr="00AC41E0">
        <w:rPr>
          <w:b/>
        </w:rPr>
        <w:t xml:space="preserve">Treatment </w:t>
      </w:r>
    </w:p>
    <w:p w14:paraId="1969D9C9" w14:textId="2D38211F" w:rsidR="00A37C7E" w:rsidRPr="00AC41E0" w:rsidRDefault="00A37C7E" w:rsidP="00D4137E">
      <w:pPr>
        <w:pStyle w:val="DCSbodytext"/>
        <w:ind w:left="868"/>
      </w:pPr>
      <w:r w:rsidRPr="00AC41E0">
        <w:t xml:space="preserve">You need to consider what actions could be taken to </w:t>
      </w:r>
      <w:r w:rsidR="00910BFF" w:rsidRPr="00AC41E0">
        <w:t xml:space="preserve">address </w:t>
      </w:r>
      <w:r w:rsidRPr="00AC41E0">
        <w:t>each of the identified risks.</w:t>
      </w:r>
      <w:r w:rsidR="00910BFF" w:rsidRPr="00AC41E0">
        <w:t xml:space="preserve"> A risk may be accepted, mitigated or eliminated.</w:t>
      </w:r>
      <w:r w:rsidRPr="00AC41E0">
        <w:t xml:space="preserve"> </w:t>
      </w:r>
      <w:r w:rsidR="000371FE" w:rsidRPr="00AC41E0">
        <w:t>B</w:t>
      </w:r>
      <w:r w:rsidRPr="00AC41E0">
        <w:t xml:space="preserve">alance the potential benefits against the cost, effort or disadvantages of implementing the treatment. Assign owners to each action </w:t>
      </w:r>
      <w:r w:rsidR="00197E74" w:rsidRPr="00AC41E0">
        <w:t>who</w:t>
      </w:r>
      <w:r w:rsidRPr="00AC41E0">
        <w:t xml:space="preserve"> </w:t>
      </w:r>
      <w:r w:rsidR="00966D93" w:rsidRPr="00AC41E0">
        <w:t xml:space="preserve">is </w:t>
      </w:r>
      <w:r w:rsidRPr="00AC41E0">
        <w:t xml:space="preserve">accountable for mitigating the risk. </w:t>
      </w:r>
    </w:p>
    <w:p w14:paraId="3EE8BE0B" w14:textId="77777777" w:rsidR="00487F75" w:rsidRPr="00AC41E0" w:rsidRDefault="00A37C7E" w:rsidP="004A24ED">
      <w:pPr>
        <w:pStyle w:val="DCSbodytext"/>
        <w:ind w:left="868"/>
      </w:pPr>
      <w:r w:rsidRPr="00AC41E0">
        <w:t>Record each action and the owner in the Risk Register. Clearly identify the order in which the actions should be taken, as well as the rationale for the action, resources required, reporting, measures</w:t>
      </w:r>
      <w:r w:rsidR="00966D93" w:rsidRPr="00AC41E0">
        <w:t>,</w:t>
      </w:r>
      <w:r w:rsidRPr="00AC41E0">
        <w:t xml:space="preserve"> and constraints.</w:t>
      </w:r>
    </w:p>
    <w:p w14:paraId="4D751631" w14:textId="00E3D180" w:rsidR="00F078E6" w:rsidRPr="00AC41E0" w:rsidRDefault="00A37C7E" w:rsidP="00D4137E">
      <w:pPr>
        <w:pStyle w:val="Heading3"/>
        <w:ind w:left="868"/>
        <w:rPr>
          <w:rFonts w:ascii="Arial" w:hAnsi="Arial"/>
        </w:rPr>
      </w:pPr>
      <w:r w:rsidRPr="00AC41E0">
        <w:t xml:space="preserve"> </w:t>
      </w:r>
      <w:bookmarkStart w:id="1094" w:name="_Toc65760509"/>
      <w:r w:rsidR="00AA1A99" w:rsidRPr="00AC41E0">
        <w:rPr>
          <w:rFonts w:ascii="Arial" w:hAnsi="Arial"/>
        </w:rPr>
        <w:t>Ongoing c</w:t>
      </w:r>
      <w:r w:rsidR="00F078E6" w:rsidRPr="00AC41E0">
        <w:rPr>
          <w:rFonts w:ascii="Arial" w:hAnsi="Arial"/>
        </w:rPr>
        <w:t>ommunication and monitoring</w:t>
      </w:r>
      <w:bookmarkEnd w:id="1094"/>
      <w:r w:rsidR="00F078E6" w:rsidRPr="00AC41E0">
        <w:rPr>
          <w:rFonts w:ascii="Arial" w:hAnsi="Arial"/>
        </w:rPr>
        <w:t xml:space="preserve"> </w:t>
      </w:r>
    </w:p>
    <w:p w14:paraId="50901413" w14:textId="720BAEC6" w:rsidR="008D0368" w:rsidRPr="00AC41E0" w:rsidRDefault="008A79BE" w:rsidP="00D4137E">
      <w:pPr>
        <w:pStyle w:val="DCSbodytext"/>
        <w:ind w:left="868"/>
      </w:pPr>
      <w:r w:rsidRPr="00AC41E0">
        <w:t>Ongoing communication and consultation are vital to ensuring your stakeholders understand the risks of your project, the basis on which decisions are made, and why particular actions are required</w:t>
      </w:r>
      <w:r w:rsidR="008D0368" w:rsidRPr="00AC41E0">
        <w:t xml:space="preserve">. </w:t>
      </w:r>
    </w:p>
    <w:p w14:paraId="058F84CD" w14:textId="616428D8" w:rsidR="006F2BC9" w:rsidRPr="00AC41E0" w:rsidRDefault="00F078E6" w:rsidP="00D4137E">
      <w:pPr>
        <w:pStyle w:val="DCSbodytext"/>
        <w:ind w:left="868"/>
      </w:pPr>
      <w:r w:rsidRPr="00AC41E0">
        <w:t>Also, remember to monitor the</w:t>
      </w:r>
      <w:r w:rsidR="006F2BC9" w:rsidRPr="00AC41E0">
        <w:t xml:space="preserve"> Risk Register throughout the project to ensure you are completing the risk mitigation actions. Existing risks may be eliminated </w:t>
      </w:r>
      <w:r w:rsidR="00E5730E" w:rsidRPr="00AC41E0">
        <w:t>by</w:t>
      </w:r>
      <w:r w:rsidR="006F2BC9" w:rsidRPr="00AC41E0">
        <w:t xml:space="preserve"> taking effective action.</w:t>
      </w:r>
    </w:p>
    <w:p w14:paraId="33C8FEEF" w14:textId="7FCDF553" w:rsidR="008D0368" w:rsidRPr="00AC41E0" w:rsidRDefault="006F2BC9" w:rsidP="00D4137E">
      <w:pPr>
        <w:pStyle w:val="DCSbodytext"/>
        <w:ind w:left="868"/>
      </w:pPr>
      <w:r w:rsidRPr="00AC41E0">
        <w:t>You should consider risk and compliance reviews at different points in the project since risks change throughout the lifecycle of a project. This can be</w:t>
      </w:r>
      <w:r w:rsidR="00611325" w:rsidRPr="00AC41E0">
        <w:t xml:space="preserve"> just</w:t>
      </w:r>
      <w:r w:rsidRPr="00AC41E0">
        <w:t xml:space="preserve"> a simple review of existing information in the Risk Register. Any new risks which are identified should be added to the Risk Register. </w:t>
      </w:r>
    </w:p>
    <w:p w14:paraId="60E6E42D" w14:textId="2D422868" w:rsidR="003E47E1" w:rsidRPr="00AC41E0" w:rsidRDefault="003E47E1" w:rsidP="00D4137E">
      <w:pPr>
        <w:pStyle w:val="Heading3"/>
        <w:ind w:left="868"/>
        <w:rPr>
          <w:rFonts w:ascii="Arial" w:hAnsi="Arial"/>
        </w:rPr>
      </w:pPr>
      <w:bookmarkStart w:id="1095" w:name="_Policies,_procedures_and"/>
      <w:bookmarkStart w:id="1096" w:name="_Toc65760510"/>
      <w:bookmarkEnd w:id="1095"/>
      <w:r w:rsidRPr="00AC41E0">
        <w:rPr>
          <w:rFonts w:ascii="Arial" w:hAnsi="Arial"/>
        </w:rPr>
        <w:lastRenderedPageBreak/>
        <w:t>Risk management standards</w:t>
      </w:r>
      <w:bookmarkEnd w:id="1096"/>
    </w:p>
    <w:p w14:paraId="1BDF2925" w14:textId="5466C3FB" w:rsidR="00AB4B87" w:rsidRPr="00AC41E0" w:rsidRDefault="00FE58C4" w:rsidP="00D4137E">
      <w:pPr>
        <w:pStyle w:val="DCSbodytext"/>
        <w:ind w:left="868"/>
      </w:pPr>
      <w:r w:rsidRPr="00AC41E0">
        <w:t xml:space="preserve">Organisations should comply with </w:t>
      </w:r>
      <w:r w:rsidR="003E47E1" w:rsidRPr="00AC41E0">
        <w:t>international standards</w:t>
      </w:r>
      <w:r w:rsidRPr="00AC41E0">
        <w:t xml:space="preserve"> </w:t>
      </w:r>
      <w:r w:rsidR="00337085" w:rsidRPr="00AC41E0">
        <w:t xml:space="preserve">that </w:t>
      </w:r>
      <w:r w:rsidRPr="00AC41E0">
        <w:t xml:space="preserve">Australia has adopted. </w:t>
      </w:r>
      <w:r w:rsidR="00E92021" w:rsidRPr="00AC41E0">
        <w:t>Key s</w:t>
      </w:r>
      <w:r w:rsidR="00D03559" w:rsidRPr="00AC41E0">
        <w:t>t</w:t>
      </w:r>
      <w:r w:rsidR="008608B1" w:rsidRPr="00AC41E0">
        <w:t>andards relevant to</w:t>
      </w:r>
      <w:r w:rsidR="007842DD" w:rsidRPr="00AC41E0">
        <w:t xml:space="preserve"> risk management </w:t>
      </w:r>
      <w:r w:rsidR="003E47E1" w:rsidRPr="00AC41E0">
        <w:t xml:space="preserve">are summarised in the </w:t>
      </w:r>
      <w:r w:rsidR="008608B1" w:rsidRPr="00AC41E0">
        <w:t xml:space="preserve">following </w:t>
      </w:r>
      <w:r w:rsidR="003E47E1" w:rsidRPr="00AC41E0">
        <w:t>table.</w:t>
      </w:r>
    </w:p>
    <w:tbl>
      <w:tblPr>
        <w:tblStyle w:val="GridTable4-Accent1"/>
        <w:tblW w:w="0" w:type="auto"/>
        <w:tblInd w:w="704" w:type="dxa"/>
        <w:tblLook w:val="04A0" w:firstRow="1" w:lastRow="0" w:firstColumn="1" w:lastColumn="0" w:noHBand="0" w:noVBand="1"/>
      </w:tblPr>
      <w:tblGrid>
        <w:gridCol w:w="2693"/>
        <w:gridCol w:w="5954"/>
      </w:tblGrid>
      <w:tr w:rsidR="003E47E1" w:rsidRPr="00AC41E0" w14:paraId="15FBBAA9" w14:textId="77777777" w:rsidTr="001D74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shd w:val="clear" w:color="auto" w:fill="1F497D" w:themeFill="text2"/>
          </w:tcPr>
          <w:p w14:paraId="05EB6ABC" w14:textId="77777777" w:rsidR="003E47E1" w:rsidRPr="00AC41E0" w:rsidRDefault="003E47E1" w:rsidP="00E60B8D">
            <w:pPr>
              <w:spacing w:after="120"/>
              <w:jc w:val="center"/>
              <w:rPr>
                <w:rFonts w:ascii="Arial" w:hAnsi="Arial" w:cs="Arial"/>
                <w:sz w:val="22"/>
                <w:szCs w:val="22"/>
              </w:rPr>
            </w:pPr>
            <w:r w:rsidRPr="00AC41E0">
              <w:rPr>
                <w:rFonts w:ascii="Arial" w:hAnsi="Arial" w:cs="Arial"/>
                <w:sz w:val="22"/>
                <w:szCs w:val="22"/>
              </w:rPr>
              <w:t>Risk management standards</w:t>
            </w:r>
            <w:bookmarkStart w:id="1097" w:name="_Hlk14188811"/>
          </w:p>
        </w:tc>
        <w:tc>
          <w:tcPr>
            <w:tcW w:w="5954" w:type="dxa"/>
            <w:tcBorders>
              <w:top w:val="single" w:sz="4" w:space="0" w:color="auto"/>
              <w:left w:val="single" w:sz="4" w:space="0" w:color="auto"/>
              <w:bottom w:val="single" w:sz="4" w:space="0" w:color="auto"/>
              <w:right w:val="single" w:sz="4" w:space="0" w:color="auto"/>
            </w:tcBorders>
            <w:shd w:val="clear" w:color="auto" w:fill="1F497D" w:themeFill="text2"/>
          </w:tcPr>
          <w:p w14:paraId="336A7448" w14:textId="77777777" w:rsidR="003E47E1" w:rsidRPr="00AC41E0" w:rsidRDefault="003E47E1" w:rsidP="00E60B8D">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C41E0">
              <w:rPr>
                <w:rFonts w:ascii="Arial" w:hAnsi="Arial" w:cs="Arial"/>
                <w:sz w:val="22"/>
                <w:szCs w:val="22"/>
              </w:rPr>
              <w:t>Description</w:t>
            </w:r>
          </w:p>
        </w:tc>
      </w:tr>
      <w:tr w:rsidR="003E47E1" w:rsidRPr="00AC41E0" w14:paraId="7874978F" w14:textId="77777777" w:rsidTr="0081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tcBorders>
          </w:tcPr>
          <w:p w14:paraId="48219C6F" w14:textId="77777777" w:rsidR="005F4741" w:rsidRPr="00AC41E0" w:rsidRDefault="003E47E1" w:rsidP="000966D7">
            <w:pPr>
              <w:pStyle w:val="DCStablebodytext"/>
            </w:pPr>
            <w:bookmarkStart w:id="1098" w:name="_Toc14341838"/>
            <w:r w:rsidRPr="00AC41E0">
              <w:t xml:space="preserve">AS/NZS ISO 31000:2018  </w:t>
            </w:r>
          </w:p>
          <w:p w14:paraId="7534AA53" w14:textId="53E30AC9" w:rsidR="003E47E1" w:rsidRPr="00AC41E0" w:rsidRDefault="003E47E1" w:rsidP="000966D7">
            <w:pPr>
              <w:pStyle w:val="DCStablebodytext"/>
            </w:pPr>
            <w:r w:rsidRPr="00AC41E0">
              <w:t>Risk Management - Guidelines</w:t>
            </w:r>
            <w:bookmarkEnd w:id="1098"/>
          </w:p>
        </w:tc>
        <w:tc>
          <w:tcPr>
            <w:tcW w:w="5954" w:type="dxa"/>
            <w:tcBorders>
              <w:top w:val="single" w:sz="4" w:space="0" w:color="auto"/>
            </w:tcBorders>
          </w:tcPr>
          <w:p w14:paraId="0077368E" w14:textId="72E1FFB6" w:rsidR="003E47E1" w:rsidRPr="00AC41E0" w:rsidRDefault="00A70996" w:rsidP="000966D7">
            <w:pPr>
              <w:pStyle w:val="DCStablebodytext"/>
              <w:cnfStyle w:val="000000100000" w:firstRow="0" w:lastRow="0" w:firstColumn="0" w:lastColumn="0" w:oddVBand="0" w:evenVBand="0" w:oddHBand="1" w:evenHBand="0" w:firstRowFirstColumn="0" w:firstRowLastColumn="0" w:lastRowFirstColumn="0" w:lastRowLastColumn="0"/>
            </w:pPr>
            <w:r w:rsidRPr="00AC41E0">
              <w:t>This Australian standard is t</w:t>
            </w:r>
            <w:r w:rsidR="003E47E1" w:rsidRPr="00AC41E0">
              <w:t xml:space="preserve">he most widely used standard for risk management in </w:t>
            </w:r>
            <w:r w:rsidR="00966D93" w:rsidRPr="00AC41E0">
              <w:t xml:space="preserve">the </w:t>
            </w:r>
            <w:r w:rsidR="003E47E1" w:rsidRPr="00AC41E0">
              <w:t>NSW Government.</w:t>
            </w:r>
            <w:r w:rsidRPr="00AC41E0">
              <w:t xml:space="preserve"> It</w:t>
            </w:r>
            <w:r w:rsidR="003E47E1" w:rsidRPr="00AC41E0">
              <w:t xml:space="preserve"> is equivalent to ISO</w:t>
            </w:r>
            <w:r w:rsidR="00BB5882" w:rsidRPr="00AC41E0">
              <w:t xml:space="preserve"> </w:t>
            </w:r>
            <w:r w:rsidR="003E47E1" w:rsidRPr="00AC41E0">
              <w:t>31000:2018. It provides customisable guidelines on managing risks and guidelines on compliance management.</w:t>
            </w:r>
          </w:p>
        </w:tc>
      </w:tr>
      <w:tr w:rsidR="003E47E1" w:rsidRPr="00AC41E0" w14:paraId="6FFD20F0" w14:textId="77777777" w:rsidTr="00811350">
        <w:tc>
          <w:tcPr>
            <w:cnfStyle w:val="001000000000" w:firstRow="0" w:lastRow="0" w:firstColumn="1" w:lastColumn="0" w:oddVBand="0" w:evenVBand="0" w:oddHBand="0" w:evenHBand="0" w:firstRowFirstColumn="0" w:firstRowLastColumn="0" w:lastRowFirstColumn="0" w:lastRowLastColumn="0"/>
            <w:tcW w:w="2693" w:type="dxa"/>
          </w:tcPr>
          <w:p w14:paraId="29763F50" w14:textId="77777777" w:rsidR="005F4741" w:rsidRPr="00AC41E0" w:rsidRDefault="003E47E1" w:rsidP="000966D7">
            <w:pPr>
              <w:pStyle w:val="DCStablebodytext"/>
            </w:pPr>
            <w:bookmarkStart w:id="1099" w:name="_Toc14341839"/>
            <w:r w:rsidRPr="00AC41E0">
              <w:t xml:space="preserve">AS ISO 19600:2015  </w:t>
            </w:r>
          </w:p>
          <w:p w14:paraId="2BE74F13" w14:textId="4C7B18E1" w:rsidR="003E47E1" w:rsidRPr="00AC41E0" w:rsidRDefault="003E47E1" w:rsidP="000966D7">
            <w:pPr>
              <w:pStyle w:val="DCStablebodytext"/>
            </w:pPr>
            <w:r w:rsidRPr="00AC41E0">
              <w:t>Compliance Management System – Guidelines</w:t>
            </w:r>
            <w:bookmarkEnd w:id="1099"/>
          </w:p>
        </w:tc>
        <w:tc>
          <w:tcPr>
            <w:tcW w:w="5954" w:type="dxa"/>
          </w:tcPr>
          <w:p w14:paraId="63D15029" w14:textId="77777777" w:rsidR="003E47E1" w:rsidRPr="00AC41E0" w:rsidRDefault="003E47E1" w:rsidP="000966D7">
            <w:pPr>
              <w:pStyle w:val="DCStablebodytext"/>
              <w:cnfStyle w:val="000000000000" w:firstRow="0" w:lastRow="0" w:firstColumn="0" w:lastColumn="0" w:oddVBand="0" w:evenVBand="0" w:oddHBand="0" w:evenHBand="0" w:firstRowFirstColumn="0" w:firstRowLastColumn="0" w:lastRowFirstColumn="0" w:lastRowLastColumn="0"/>
            </w:pPr>
            <w:r w:rsidRPr="00AC41E0">
              <w:t>This Australian standard adopts ISO 19600:2014 to provide guidance for establishing, developing, implementing, evaluating, maintaining and improving a compliance management system.</w:t>
            </w:r>
          </w:p>
        </w:tc>
      </w:tr>
      <w:tr w:rsidR="003E47E1" w:rsidRPr="00AC41E0" w14:paraId="5008666A" w14:textId="77777777" w:rsidTr="0081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7DC3EB0D" w14:textId="77777777" w:rsidR="005F4741" w:rsidRPr="00AC41E0" w:rsidRDefault="003E47E1" w:rsidP="000966D7">
            <w:pPr>
              <w:pStyle w:val="DCStablebodytext"/>
            </w:pPr>
            <w:bookmarkStart w:id="1100" w:name="_Toc14341840"/>
            <w:r w:rsidRPr="00AC41E0">
              <w:t xml:space="preserve">AS ISO 22301:2017  </w:t>
            </w:r>
          </w:p>
          <w:p w14:paraId="5CE5948B" w14:textId="015CAC13" w:rsidR="003E47E1" w:rsidRPr="00AC41E0" w:rsidRDefault="003E47E1" w:rsidP="000966D7">
            <w:pPr>
              <w:pStyle w:val="DCStablebodytext"/>
            </w:pPr>
            <w:r w:rsidRPr="00AC41E0">
              <w:t>Societal Security – Business continuity management systems – Requirements</w:t>
            </w:r>
            <w:bookmarkEnd w:id="1100"/>
          </w:p>
        </w:tc>
        <w:tc>
          <w:tcPr>
            <w:tcW w:w="5954" w:type="dxa"/>
          </w:tcPr>
          <w:p w14:paraId="6E806DFD" w14:textId="77777777" w:rsidR="003E47E1" w:rsidRPr="00AC41E0" w:rsidRDefault="003E47E1" w:rsidP="000966D7">
            <w:pPr>
              <w:pStyle w:val="DCStablebodytext"/>
              <w:cnfStyle w:val="000000100000" w:firstRow="0" w:lastRow="0" w:firstColumn="0" w:lastColumn="0" w:oddVBand="0" w:evenVBand="0" w:oddHBand="1" w:evenHBand="0" w:firstRowFirstColumn="0" w:firstRowLastColumn="0" w:lastRowFirstColumn="0" w:lastRowLastColumn="0"/>
            </w:pPr>
            <w:r w:rsidRPr="00AC41E0">
              <w:t>This Australian standard is equivalent to ISO 22301:2012. It specifies requirements for a documented management system to protect against, reduce the likelihood of occurrence, prepare for, respond to, and recover from disruptive incidents when they arise.</w:t>
            </w:r>
          </w:p>
        </w:tc>
      </w:tr>
      <w:tr w:rsidR="003E47E1" w:rsidRPr="00AC41E0" w14:paraId="0A8175A9" w14:textId="77777777" w:rsidTr="00811350">
        <w:tc>
          <w:tcPr>
            <w:cnfStyle w:val="001000000000" w:firstRow="0" w:lastRow="0" w:firstColumn="1" w:lastColumn="0" w:oddVBand="0" w:evenVBand="0" w:oddHBand="0" w:evenHBand="0" w:firstRowFirstColumn="0" w:firstRowLastColumn="0" w:lastRowFirstColumn="0" w:lastRowLastColumn="0"/>
            <w:tcW w:w="2693" w:type="dxa"/>
          </w:tcPr>
          <w:p w14:paraId="7C6CCC44" w14:textId="5835760D" w:rsidR="00E950FA" w:rsidRPr="00AC41E0" w:rsidRDefault="003E47E1" w:rsidP="000966D7">
            <w:pPr>
              <w:pStyle w:val="DCStablebodytext"/>
            </w:pPr>
            <w:bookmarkStart w:id="1101" w:name="_Toc14341841"/>
            <w:r w:rsidRPr="00AC41E0">
              <w:t xml:space="preserve">AS ISO/IEC 38500:2016  </w:t>
            </w:r>
          </w:p>
          <w:p w14:paraId="6D4DD2BD" w14:textId="7FE4826F" w:rsidR="003E47E1" w:rsidRPr="00AC41E0" w:rsidRDefault="003E47E1" w:rsidP="000966D7">
            <w:pPr>
              <w:pStyle w:val="DCStablebodytext"/>
            </w:pPr>
            <w:r w:rsidRPr="00AC41E0">
              <w:t>IT – Governance of IT for the Organisation</w:t>
            </w:r>
            <w:bookmarkEnd w:id="1101"/>
          </w:p>
        </w:tc>
        <w:tc>
          <w:tcPr>
            <w:tcW w:w="5954" w:type="dxa"/>
          </w:tcPr>
          <w:p w14:paraId="5D9A7B85" w14:textId="77777777" w:rsidR="003E47E1" w:rsidRPr="00AC41E0" w:rsidRDefault="003E47E1" w:rsidP="000966D7">
            <w:pPr>
              <w:pStyle w:val="DCStablebodytext"/>
              <w:cnfStyle w:val="000000000000" w:firstRow="0" w:lastRow="0" w:firstColumn="0" w:lastColumn="0" w:oddVBand="0" w:evenVBand="0" w:oddHBand="0" w:evenHBand="0" w:firstRowFirstColumn="0" w:firstRowLastColumn="0" w:lastRowFirstColumn="0" w:lastRowLastColumn="0"/>
            </w:pPr>
            <w:r w:rsidRPr="00AC41E0">
              <w:t xml:space="preserve">This Australian standard is equivalent to ISO/IEC 38500:2015. It provides guiding principles on the use of IT within organisations. It comprises a framework of definitions, principles and a model. </w:t>
            </w:r>
          </w:p>
        </w:tc>
      </w:tr>
      <w:tr w:rsidR="00CC4D47" w:rsidRPr="00AC41E0" w14:paraId="2E564FA0" w14:textId="77777777" w:rsidTr="0081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5DCF7C46" w14:textId="77777777" w:rsidR="00CC4D47" w:rsidRPr="00AC41E0" w:rsidRDefault="00CC4D47" w:rsidP="000F6D47">
            <w:pPr>
              <w:pStyle w:val="DCStablebodytext"/>
            </w:pPr>
            <w:r w:rsidRPr="00AC41E0">
              <w:t>AS ISO/IEC 38505.1:2018</w:t>
            </w:r>
          </w:p>
          <w:p w14:paraId="7BDF7CF7" w14:textId="5B4BC745" w:rsidR="00CC4D47" w:rsidRPr="00AC41E0" w:rsidRDefault="00CC4D47" w:rsidP="000F6D47">
            <w:pPr>
              <w:pStyle w:val="DCStablebodytext"/>
            </w:pPr>
            <w:r w:rsidRPr="00AC41E0">
              <w:t>IT – Governance of IT – Governance of data – Application of AS ISO/IEC 38500 to the governance of data</w:t>
            </w:r>
          </w:p>
        </w:tc>
        <w:tc>
          <w:tcPr>
            <w:tcW w:w="5954" w:type="dxa"/>
          </w:tcPr>
          <w:p w14:paraId="47CA1361" w14:textId="3F1AB2EB" w:rsidR="00CC4D47" w:rsidRPr="00AC41E0" w:rsidRDefault="00CC4D47" w:rsidP="000F6D47">
            <w:pPr>
              <w:pStyle w:val="DCStablebodytext"/>
              <w:cnfStyle w:val="000000100000" w:firstRow="0" w:lastRow="0" w:firstColumn="0" w:lastColumn="0" w:oddVBand="0" w:evenVBand="0" w:oddHBand="1" w:evenHBand="0" w:firstRowFirstColumn="0" w:firstRowLastColumn="0" w:lastRowFirstColumn="0" w:lastRowLastColumn="0"/>
            </w:pPr>
            <w:r w:rsidRPr="00AC41E0">
              <w:t>This Australian standard is equivalent to ISO/IEC 38505-1:2017.</w:t>
            </w:r>
            <w:r w:rsidR="007A3D9A" w:rsidRPr="00AC41E0">
              <w:t xml:space="preserve"> </w:t>
            </w:r>
            <w:r w:rsidRPr="00AC41E0">
              <w:t>It provides guiding principles on the application of the AS ISO/IEC 38500 model to the governance of data.</w:t>
            </w:r>
          </w:p>
        </w:tc>
      </w:tr>
      <w:tr w:rsidR="003E47E1" w:rsidRPr="00AC41E0" w14:paraId="03CD8B54" w14:textId="77777777" w:rsidTr="00811350">
        <w:tc>
          <w:tcPr>
            <w:cnfStyle w:val="001000000000" w:firstRow="0" w:lastRow="0" w:firstColumn="1" w:lastColumn="0" w:oddVBand="0" w:evenVBand="0" w:oddHBand="0" w:evenHBand="0" w:firstRowFirstColumn="0" w:firstRowLastColumn="0" w:lastRowFirstColumn="0" w:lastRowLastColumn="0"/>
            <w:tcW w:w="2693" w:type="dxa"/>
          </w:tcPr>
          <w:p w14:paraId="61EDAB0C" w14:textId="77777777" w:rsidR="005F4741" w:rsidRPr="00AC41E0" w:rsidRDefault="003E47E1" w:rsidP="000966D7">
            <w:pPr>
              <w:pStyle w:val="DCStablebodytext"/>
            </w:pPr>
            <w:bookmarkStart w:id="1102" w:name="_Toc14341842"/>
            <w:r w:rsidRPr="00AC41E0">
              <w:t xml:space="preserve">ISO/IEC 27031:2011 </w:t>
            </w:r>
          </w:p>
          <w:p w14:paraId="238B8DCB" w14:textId="58938A51" w:rsidR="003E47E1" w:rsidRPr="00AC41E0" w:rsidRDefault="003E47E1" w:rsidP="000966D7">
            <w:pPr>
              <w:pStyle w:val="DCStablebodytext"/>
            </w:pPr>
            <w:r w:rsidRPr="00AC41E0">
              <w:t>IT – Security techniques</w:t>
            </w:r>
            <w:bookmarkEnd w:id="1102"/>
          </w:p>
        </w:tc>
        <w:tc>
          <w:tcPr>
            <w:tcW w:w="5954" w:type="dxa"/>
          </w:tcPr>
          <w:p w14:paraId="3BCB5D78" w14:textId="4DC5BE02" w:rsidR="003E47E1" w:rsidRPr="00AC41E0" w:rsidRDefault="003E47E1" w:rsidP="000966D7">
            <w:pPr>
              <w:pStyle w:val="DCStablebodytext"/>
              <w:cnfStyle w:val="000000000000" w:firstRow="0" w:lastRow="0" w:firstColumn="0" w:lastColumn="0" w:oddVBand="0" w:evenVBand="0" w:oddHBand="0" w:evenHBand="0" w:firstRowFirstColumn="0" w:firstRowLastColumn="0" w:lastRowFirstColumn="0" w:lastRowLastColumn="0"/>
            </w:pPr>
            <w:r w:rsidRPr="00AC41E0">
              <w:t>Not adopted by Australia, but this international standard provides a framework for improving an organisation's ICT readiness to ensure business continuity.</w:t>
            </w:r>
            <w:r w:rsidRPr="00AC41E0">
              <w:br w:type="page"/>
            </w:r>
          </w:p>
        </w:tc>
      </w:tr>
    </w:tbl>
    <w:bookmarkEnd w:id="1097"/>
    <w:p w14:paraId="35D5A3E2" w14:textId="77777777" w:rsidR="003E47E1" w:rsidRPr="00E46FB0" w:rsidRDefault="003E47E1" w:rsidP="00D4137E">
      <w:pPr>
        <w:pStyle w:val="DCSbodytext"/>
        <w:ind w:left="868"/>
      </w:pPr>
      <w:r w:rsidRPr="00E46FB0">
        <w:t> </w:t>
      </w:r>
    </w:p>
    <w:p w14:paraId="06531A9F" w14:textId="6C449AE1" w:rsidR="003E47E1" w:rsidRPr="00AC41E0" w:rsidRDefault="003E47E1" w:rsidP="00D4137E">
      <w:pPr>
        <w:ind w:left="74"/>
        <w:rPr>
          <w:rFonts w:ascii="Arial" w:hAnsi="Arial" w:cs="Arial"/>
        </w:rPr>
      </w:pPr>
    </w:p>
    <w:p w14:paraId="3B901ECD" w14:textId="77777777" w:rsidR="008B19B1" w:rsidRPr="00AC41E0" w:rsidRDefault="008B19B1" w:rsidP="00D4137E">
      <w:pPr>
        <w:pStyle w:val="Heading2"/>
        <w:tabs>
          <w:tab w:val="num" w:pos="868"/>
        </w:tabs>
        <w:ind w:left="868"/>
        <w:rPr>
          <w:rFonts w:ascii="Arial" w:hAnsi="Arial"/>
        </w:rPr>
        <w:sectPr w:rsidR="008B19B1" w:rsidRPr="00AC41E0" w:rsidSect="002771AA">
          <w:footerReference w:type="first" r:id="rId116"/>
          <w:pgSz w:w="11906" w:h="16838"/>
          <w:pgMar w:top="1418" w:right="1134" w:bottom="1134" w:left="1134" w:header="851" w:footer="425" w:gutter="0"/>
          <w:cols w:space="708"/>
          <w:titlePg/>
          <w:docGrid w:linePitch="360"/>
        </w:sectPr>
      </w:pPr>
      <w:bookmarkStart w:id="1103" w:name="_Toc14444485"/>
      <w:bookmarkStart w:id="1104" w:name="_Toc14445144"/>
      <w:bookmarkEnd w:id="1103"/>
      <w:bookmarkEnd w:id="1104"/>
    </w:p>
    <w:p w14:paraId="1240ECE0" w14:textId="4541323D" w:rsidR="00B13F0A" w:rsidRPr="00AC41E0" w:rsidRDefault="006B300D" w:rsidP="00D4137E">
      <w:pPr>
        <w:pStyle w:val="Heading2"/>
        <w:tabs>
          <w:tab w:val="num" w:pos="868"/>
        </w:tabs>
        <w:ind w:left="868"/>
        <w:rPr>
          <w:rFonts w:ascii="Arial" w:hAnsi="Arial"/>
        </w:rPr>
      </w:pPr>
      <w:bookmarkStart w:id="1105" w:name="_Privacy"/>
      <w:bookmarkStart w:id="1106" w:name="_Toc14686276"/>
      <w:bookmarkStart w:id="1107" w:name="_Toc14690010"/>
      <w:bookmarkStart w:id="1108" w:name="_Toc14691976"/>
      <w:bookmarkStart w:id="1109" w:name="_Toc14694046"/>
      <w:bookmarkStart w:id="1110" w:name="_Toc14694193"/>
      <w:bookmarkStart w:id="1111" w:name="_Toc14695761"/>
      <w:bookmarkStart w:id="1112" w:name="_Toc14700970"/>
      <w:bookmarkStart w:id="1113" w:name="_Toc14702946"/>
      <w:bookmarkStart w:id="1114" w:name="_Toc14709786"/>
      <w:bookmarkStart w:id="1115" w:name="_Toc14768663"/>
      <w:bookmarkStart w:id="1116" w:name="_Toc14771123"/>
      <w:bookmarkStart w:id="1117" w:name="_Toc14771306"/>
      <w:bookmarkStart w:id="1118" w:name="_Toc14771691"/>
      <w:bookmarkStart w:id="1119" w:name="_Toc14771902"/>
      <w:bookmarkStart w:id="1120" w:name="_Toc14774504"/>
      <w:bookmarkStart w:id="1121" w:name="_Toc14775568"/>
      <w:bookmarkStart w:id="1122" w:name="_Toc14775731"/>
      <w:bookmarkStart w:id="1123" w:name="_Toc14776324"/>
      <w:bookmarkStart w:id="1124" w:name="_Toc14777942"/>
      <w:bookmarkStart w:id="1125" w:name="_Toc14778088"/>
      <w:bookmarkStart w:id="1126" w:name="_Toc14686277"/>
      <w:bookmarkStart w:id="1127" w:name="_Toc14690011"/>
      <w:bookmarkStart w:id="1128" w:name="_Toc14691977"/>
      <w:bookmarkStart w:id="1129" w:name="_Toc14694047"/>
      <w:bookmarkStart w:id="1130" w:name="_Toc14694194"/>
      <w:bookmarkStart w:id="1131" w:name="_Toc14695762"/>
      <w:bookmarkStart w:id="1132" w:name="_Toc14700971"/>
      <w:bookmarkStart w:id="1133" w:name="_Toc14702947"/>
      <w:bookmarkStart w:id="1134" w:name="_Toc14709787"/>
      <w:bookmarkStart w:id="1135" w:name="_Toc14768664"/>
      <w:bookmarkStart w:id="1136" w:name="_Toc14771124"/>
      <w:bookmarkStart w:id="1137" w:name="_Toc14771307"/>
      <w:bookmarkStart w:id="1138" w:name="_Toc14771692"/>
      <w:bookmarkStart w:id="1139" w:name="_Toc14771903"/>
      <w:bookmarkStart w:id="1140" w:name="_Toc14774505"/>
      <w:bookmarkStart w:id="1141" w:name="_Toc14775569"/>
      <w:bookmarkStart w:id="1142" w:name="_Toc14775732"/>
      <w:bookmarkStart w:id="1143" w:name="_Toc14776325"/>
      <w:bookmarkStart w:id="1144" w:name="_Toc14777943"/>
      <w:bookmarkStart w:id="1145" w:name="_Toc14778089"/>
      <w:bookmarkStart w:id="1146" w:name="_Privacy_1"/>
      <w:bookmarkStart w:id="1147" w:name="_Toc65760511"/>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r w:rsidRPr="00E46FB0">
        <w:rPr>
          <w:rFonts w:ascii="Arial" w:hAnsi="Arial"/>
        </w:rPr>
        <w:lastRenderedPageBreak/>
        <w:t>Privacy</w:t>
      </w:r>
      <w:bookmarkEnd w:id="1147"/>
      <w:r w:rsidRPr="00E46FB0">
        <w:rPr>
          <w:rFonts w:ascii="Arial" w:hAnsi="Arial"/>
        </w:rPr>
        <w:t xml:space="preserve"> </w:t>
      </w:r>
    </w:p>
    <w:p w14:paraId="731E09FE" w14:textId="1EDE3F87" w:rsidR="00722864" w:rsidRPr="00AC41E0" w:rsidRDefault="00276CAA" w:rsidP="00D4137E">
      <w:pPr>
        <w:pStyle w:val="Heading3"/>
        <w:ind w:left="868"/>
        <w:rPr>
          <w:rFonts w:ascii="Arial" w:hAnsi="Arial"/>
        </w:rPr>
      </w:pPr>
      <w:bookmarkStart w:id="1148" w:name="_The_privacy_regulatory"/>
      <w:bookmarkStart w:id="1149" w:name="_Toc14700244"/>
      <w:bookmarkStart w:id="1150" w:name="_Toc65760512"/>
      <w:bookmarkStart w:id="1151" w:name="_Hlk7529038"/>
      <w:bookmarkEnd w:id="1148"/>
      <w:r w:rsidRPr="00AC41E0">
        <w:rPr>
          <w:rFonts w:ascii="Arial" w:hAnsi="Arial"/>
        </w:rPr>
        <w:t>The privacy regulatory landscape</w:t>
      </w:r>
      <w:bookmarkEnd w:id="1149"/>
      <w:bookmarkEnd w:id="1150"/>
    </w:p>
    <w:p w14:paraId="54A6B71A" w14:textId="032CB013" w:rsidR="0063570C" w:rsidRPr="00AC41E0" w:rsidRDefault="00722864" w:rsidP="00D4137E">
      <w:pPr>
        <w:pStyle w:val="DCSbodytext"/>
        <w:ind w:left="868"/>
      </w:pPr>
      <w:r w:rsidRPr="00AC41E0">
        <w:t xml:space="preserve">Privacy regulation in Australia focuses on the handling of </w:t>
      </w:r>
      <w:r w:rsidR="0096647C" w:rsidRPr="00AC41E0">
        <w:t xml:space="preserve">‘personal information’. </w:t>
      </w:r>
      <w:r w:rsidR="00326DD6" w:rsidRPr="00AC41E0">
        <w:t>T</w:t>
      </w:r>
      <w:r w:rsidR="0096647C" w:rsidRPr="00AC41E0">
        <w:t xml:space="preserve">his is </w:t>
      </w:r>
      <w:r w:rsidRPr="00AC41E0">
        <w:t>information about</w:t>
      </w:r>
      <w:r w:rsidR="007C7190" w:rsidRPr="00AC41E0">
        <w:t xml:space="preserve"> an</w:t>
      </w:r>
      <w:r w:rsidRPr="00AC41E0">
        <w:t xml:space="preserve"> individual or information that can reasonably be linked to an identified individual or used to identify an individual</w:t>
      </w:r>
      <w:r w:rsidR="001F284C" w:rsidRPr="00AC41E0">
        <w:t xml:space="preserve">. </w:t>
      </w:r>
      <w:r w:rsidR="00267290" w:rsidRPr="00AC41E0">
        <w:t>T</w:t>
      </w:r>
      <w:r w:rsidRPr="00AC41E0">
        <w:t xml:space="preserve">he handling of personal information is regulated at both the </w:t>
      </w:r>
      <w:r w:rsidR="007C7190" w:rsidRPr="00AC41E0">
        <w:t xml:space="preserve">state and </w:t>
      </w:r>
      <w:r w:rsidRPr="00AC41E0">
        <w:t xml:space="preserve">federal </w:t>
      </w:r>
      <w:r w:rsidR="00FE6260" w:rsidRPr="00AC41E0">
        <w:t>level. In</w:t>
      </w:r>
      <w:r w:rsidR="0063570C" w:rsidRPr="00AC41E0">
        <w:t xml:space="preserve"> NSW the </w:t>
      </w:r>
      <w:hyperlink r:id="rId117" w:anchor="/view/act/1998/133" w:history="1">
        <w:r w:rsidR="0063570C" w:rsidRPr="00AC41E0">
          <w:rPr>
            <w:rStyle w:val="Hyperlink"/>
            <w:i/>
          </w:rPr>
          <w:t>Privacy and Personal Information Protection Act 1998</w:t>
        </w:r>
        <w:r w:rsidR="0063570C" w:rsidRPr="00AC41E0">
          <w:rPr>
            <w:rStyle w:val="Hyperlink"/>
          </w:rPr>
          <w:t xml:space="preserve"> (NSW)</w:t>
        </w:r>
      </w:hyperlink>
      <w:r w:rsidR="0063570C" w:rsidRPr="00E46FB0">
        <w:t xml:space="preserve"> (PPIP Act) and </w:t>
      </w:r>
      <w:hyperlink r:id="rId118" w:anchor="/view/act/2002/71" w:history="1">
        <w:r w:rsidR="0063570C" w:rsidRPr="00AC41E0">
          <w:rPr>
            <w:rStyle w:val="Hyperlink"/>
            <w:i/>
          </w:rPr>
          <w:t>Health Records and Information Privacy Act 2002</w:t>
        </w:r>
        <w:r w:rsidR="0063570C" w:rsidRPr="00AC41E0">
          <w:rPr>
            <w:rStyle w:val="Hyperlink"/>
          </w:rPr>
          <w:t xml:space="preserve"> (NSW)</w:t>
        </w:r>
      </w:hyperlink>
      <w:r w:rsidR="0063570C" w:rsidRPr="00E46FB0">
        <w:t xml:space="preserve"> (HRIP Act) apply to NSW Government agencies, NSW local government, and public universities. The PPIP Act</w:t>
      </w:r>
      <w:r w:rsidR="00CE526E" w:rsidRPr="00AC41E0">
        <w:t xml:space="preserve"> defines </w:t>
      </w:r>
      <w:hyperlink r:id="rId119" w:anchor="/view/act/1998/133/part1/sec4" w:history="1">
        <w:r w:rsidR="00CE526E" w:rsidRPr="00AC41E0">
          <w:rPr>
            <w:rStyle w:val="Hyperlink"/>
          </w:rPr>
          <w:t>personal information</w:t>
        </w:r>
      </w:hyperlink>
      <w:r w:rsidR="0063570C" w:rsidRPr="00E46FB0">
        <w:t xml:space="preserve"> </w:t>
      </w:r>
      <w:r w:rsidR="00FE6D3D" w:rsidRPr="00AC41E0">
        <w:t xml:space="preserve">and </w:t>
      </w:r>
      <w:r w:rsidR="0063570C" w:rsidRPr="00AC41E0">
        <w:t xml:space="preserve">sets out </w:t>
      </w:r>
      <w:r w:rsidR="0007762D" w:rsidRPr="00AC41E0">
        <w:t>12</w:t>
      </w:r>
      <w:r w:rsidR="0063570C" w:rsidRPr="00AC41E0">
        <w:t xml:space="preserve"> </w:t>
      </w:r>
      <w:hyperlink r:id="rId120" w:history="1">
        <w:r w:rsidR="00F42856" w:rsidRPr="00AC41E0">
          <w:rPr>
            <w:rStyle w:val="Hyperlink"/>
          </w:rPr>
          <w:t>I</w:t>
        </w:r>
        <w:r w:rsidR="0063570C" w:rsidRPr="00AC41E0">
          <w:rPr>
            <w:rStyle w:val="Hyperlink"/>
          </w:rPr>
          <w:t xml:space="preserve">nformation </w:t>
        </w:r>
        <w:r w:rsidR="0002005F" w:rsidRPr="00AC41E0">
          <w:rPr>
            <w:rStyle w:val="Hyperlink"/>
          </w:rPr>
          <w:t>P</w:t>
        </w:r>
        <w:r w:rsidR="0063570C" w:rsidRPr="00AC41E0">
          <w:rPr>
            <w:rStyle w:val="Hyperlink"/>
          </w:rPr>
          <w:t xml:space="preserve">rotection </w:t>
        </w:r>
        <w:r w:rsidR="0002005F" w:rsidRPr="00AC41E0">
          <w:rPr>
            <w:rStyle w:val="Hyperlink"/>
          </w:rPr>
          <w:t>P</w:t>
        </w:r>
        <w:r w:rsidR="0063570C" w:rsidRPr="00AC41E0">
          <w:rPr>
            <w:rStyle w:val="Hyperlink"/>
          </w:rPr>
          <w:t>rinciples</w:t>
        </w:r>
      </w:hyperlink>
      <w:r w:rsidR="0063570C" w:rsidRPr="00E46FB0">
        <w:t xml:space="preserve"> (IPPs) that govern the </w:t>
      </w:r>
      <w:r w:rsidR="0063570C" w:rsidRPr="00AC41E0">
        <w:t xml:space="preserve">handling of personal information. The HRIP Act sets out 15 </w:t>
      </w:r>
      <w:hyperlink r:id="rId121" w:history="1">
        <w:r w:rsidR="0007762D" w:rsidRPr="00AC41E0">
          <w:rPr>
            <w:rStyle w:val="Hyperlink"/>
          </w:rPr>
          <w:t>H</w:t>
        </w:r>
        <w:r w:rsidR="0063570C" w:rsidRPr="00AC41E0">
          <w:rPr>
            <w:rStyle w:val="Hyperlink"/>
          </w:rPr>
          <w:t xml:space="preserve">ealth </w:t>
        </w:r>
        <w:r w:rsidR="0007762D" w:rsidRPr="00AC41E0">
          <w:rPr>
            <w:rStyle w:val="Hyperlink"/>
          </w:rPr>
          <w:t>P</w:t>
        </w:r>
        <w:r w:rsidR="0063570C" w:rsidRPr="00AC41E0">
          <w:rPr>
            <w:rStyle w:val="Hyperlink"/>
          </w:rPr>
          <w:t xml:space="preserve">rivacy </w:t>
        </w:r>
        <w:r w:rsidR="0007762D" w:rsidRPr="00AC41E0">
          <w:rPr>
            <w:rStyle w:val="Hyperlink"/>
          </w:rPr>
          <w:t>P</w:t>
        </w:r>
        <w:r w:rsidR="0063570C" w:rsidRPr="00AC41E0">
          <w:rPr>
            <w:rStyle w:val="Hyperlink"/>
          </w:rPr>
          <w:t>rinciples</w:t>
        </w:r>
      </w:hyperlink>
      <w:r w:rsidR="0063570C" w:rsidRPr="00E46FB0">
        <w:t xml:space="preserve"> (HPPs) governing health information. </w:t>
      </w:r>
    </w:p>
    <w:p w14:paraId="673F4F5C" w14:textId="382CE91D" w:rsidR="0063570C" w:rsidRPr="00AC41E0" w:rsidRDefault="00781C8B" w:rsidP="00D4137E">
      <w:pPr>
        <w:pStyle w:val="DCSbodytext"/>
        <w:ind w:left="868"/>
      </w:pPr>
      <w:r w:rsidRPr="00AC41E0">
        <w:t>T</w:t>
      </w:r>
      <w:r w:rsidR="0063570C" w:rsidRPr="00AC41E0">
        <w:t xml:space="preserve">he </w:t>
      </w:r>
      <w:hyperlink r:id="rId122" w:history="1">
        <w:r w:rsidR="0063570C" w:rsidRPr="00AC41E0">
          <w:rPr>
            <w:rStyle w:val="Hyperlink"/>
            <w:i/>
          </w:rPr>
          <w:t>Privacy Act 1988</w:t>
        </w:r>
        <w:r w:rsidR="0063570C" w:rsidRPr="00AC41E0">
          <w:rPr>
            <w:rStyle w:val="Hyperlink"/>
          </w:rPr>
          <w:t xml:space="preserve"> (Cth)</w:t>
        </w:r>
      </w:hyperlink>
      <w:r w:rsidR="0063570C" w:rsidRPr="00E46FB0">
        <w:t xml:space="preserve"> (Privacy Act) applies to most Australian Government agencies and some private sector organisations</w:t>
      </w:r>
      <w:r w:rsidR="001325AF" w:rsidRPr="00AC41E0">
        <w:t>,</w:t>
      </w:r>
      <w:r w:rsidR="0063570C" w:rsidRPr="00AC41E0">
        <w:t xml:space="preserve"> including private universities and health service providers. There is an exemption for small businesses </w:t>
      </w:r>
      <w:r w:rsidR="005A27BA" w:rsidRPr="00AC41E0">
        <w:t>w</w:t>
      </w:r>
      <w:r w:rsidR="0063570C" w:rsidRPr="00AC41E0">
        <w:t xml:space="preserve">ith an annual turnover of less than $3 million. The Privacy Act </w:t>
      </w:r>
      <w:r w:rsidR="00CE526E" w:rsidRPr="00AC41E0">
        <w:t xml:space="preserve">defines personal information for Commonwealth purposes and </w:t>
      </w:r>
      <w:r w:rsidR="0063570C" w:rsidRPr="00AC41E0">
        <w:t xml:space="preserve">sets out 13 </w:t>
      </w:r>
      <w:hyperlink r:id="rId123" w:history="1">
        <w:r w:rsidR="0063570C" w:rsidRPr="00AC41E0">
          <w:rPr>
            <w:rStyle w:val="Hyperlink"/>
          </w:rPr>
          <w:t>Australian Privacy Principles</w:t>
        </w:r>
      </w:hyperlink>
      <w:r w:rsidR="0063570C" w:rsidRPr="00E46FB0">
        <w:t xml:space="preserve"> (APPs).</w:t>
      </w:r>
      <w:r w:rsidR="005A27BA" w:rsidRPr="00AC41E0">
        <w:t xml:space="preserve"> </w:t>
      </w:r>
    </w:p>
    <w:p w14:paraId="6F620DD8" w14:textId="0BA6BB2D" w:rsidR="00906621" w:rsidRPr="00AC41E0" w:rsidRDefault="0047727A" w:rsidP="00D4137E">
      <w:pPr>
        <w:pStyle w:val="DCSbodytext"/>
        <w:spacing w:after="120"/>
        <w:ind w:left="868"/>
      </w:pPr>
      <w:r w:rsidRPr="00AC41E0">
        <w:rPr>
          <w:lang w:val="en-US"/>
        </w:rPr>
        <w:t>The</w:t>
      </w:r>
      <w:r w:rsidR="00906621" w:rsidRPr="00AC41E0">
        <w:rPr>
          <w:lang w:val="en-US"/>
        </w:rPr>
        <w:t xml:space="preserve"> privacy laws give individuals </w:t>
      </w:r>
      <w:r w:rsidR="00906621" w:rsidRPr="00AC41E0">
        <w:t xml:space="preserve">rights </w:t>
      </w:r>
      <w:r w:rsidR="00B9621C" w:rsidRPr="00AC41E0">
        <w:t>over the way their</w:t>
      </w:r>
      <w:r w:rsidR="00906621" w:rsidRPr="00AC41E0">
        <w:t xml:space="preserve"> personal information is handled. They allow the individual to:</w:t>
      </w:r>
    </w:p>
    <w:p w14:paraId="1FB9FC40" w14:textId="304D345A" w:rsidR="00906621" w:rsidRPr="00AC41E0" w:rsidRDefault="00011941" w:rsidP="00AC3C83">
      <w:pPr>
        <w:pStyle w:val="DCSbodytext"/>
        <w:numPr>
          <w:ilvl w:val="0"/>
          <w:numId w:val="104"/>
        </w:numPr>
        <w:spacing w:after="120"/>
      </w:pPr>
      <w:r w:rsidRPr="00AC41E0">
        <w:t>k</w:t>
      </w:r>
      <w:r w:rsidR="00906621" w:rsidRPr="00AC41E0">
        <w:t>now why personal information is being collected and how it will be used or disclosed</w:t>
      </w:r>
    </w:p>
    <w:p w14:paraId="3D0EE291" w14:textId="134D78E5" w:rsidR="00906621" w:rsidRPr="00AC41E0" w:rsidRDefault="00011941" w:rsidP="00AC3C83">
      <w:pPr>
        <w:pStyle w:val="DCSbodytext"/>
        <w:numPr>
          <w:ilvl w:val="0"/>
          <w:numId w:val="104"/>
        </w:numPr>
        <w:spacing w:after="120"/>
      </w:pPr>
      <w:r w:rsidRPr="00AC41E0">
        <w:t>a</w:t>
      </w:r>
      <w:r w:rsidR="00906621" w:rsidRPr="00AC41E0">
        <w:t>ccess and correct personal information about them</w:t>
      </w:r>
      <w:r w:rsidR="0007664C" w:rsidRPr="00AC41E0">
        <w:t>sel</w:t>
      </w:r>
      <w:r w:rsidR="006F6896" w:rsidRPr="00AC41E0">
        <w:t>ves</w:t>
      </w:r>
    </w:p>
    <w:p w14:paraId="38BCACBB" w14:textId="0EBD11B9" w:rsidR="00CA62AA" w:rsidRPr="00AC41E0" w:rsidRDefault="00011941" w:rsidP="00CA62AA">
      <w:pPr>
        <w:pStyle w:val="DCSbodytext"/>
        <w:numPr>
          <w:ilvl w:val="0"/>
          <w:numId w:val="104"/>
        </w:numPr>
        <w:spacing w:after="120"/>
      </w:pPr>
      <w:r w:rsidRPr="00AC41E0">
        <w:t>m</w:t>
      </w:r>
      <w:r w:rsidR="00906621" w:rsidRPr="00AC41E0">
        <w:t xml:space="preserve">ake a complaint.  </w:t>
      </w:r>
    </w:p>
    <w:p w14:paraId="7282DEA0" w14:textId="0E155927" w:rsidR="002D0FA7" w:rsidRPr="00AC41E0" w:rsidRDefault="002D0FA7" w:rsidP="002D0FA7">
      <w:pPr>
        <w:pStyle w:val="DCSbodytext"/>
        <w:ind w:left="1560" w:hanging="766"/>
      </w:pPr>
      <w:r w:rsidRPr="00AC41E0">
        <w:rPr>
          <w:i/>
          <w:noProof/>
        </w:rPr>
        <w:drawing>
          <wp:anchor distT="0" distB="0" distL="114300" distR="114300" simplePos="0" relativeHeight="251658276" behindDoc="1" locked="0" layoutInCell="1" allowOverlap="1" wp14:anchorId="52053A47" wp14:editId="2D9999E6">
            <wp:simplePos x="0" y="0"/>
            <wp:positionH relativeFrom="margin">
              <wp:posOffset>462481</wp:posOffset>
            </wp:positionH>
            <wp:positionV relativeFrom="paragraph">
              <wp:posOffset>20103</wp:posOffset>
            </wp:positionV>
            <wp:extent cx="450850" cy="450850"/>
            <wp:effectExtent l="0" t="0" r="0" b="6350"/>
            <wp:wrapTight wrapText="bothSides">
              <wp:wrapPolygon edited="0">
                <wp:start x="8214" y="0"/>
                <wp:lineTo x="1825" y="3651"/>
                <wp:lineTo x="0" y="9127"/>
                <wp:lineTo x="1825" y="15515"/>
                <wp:lineTo x="7301" y="20992"/>
                <wp:lineTo x="12777" y="20992"/>
                <wp:lineTo x="19166" y="15515"/>
                <wp:lineTo x="20079" y="10039"/>
                <wp:lineTo x="17341" y="3651"/>
                <wp:lineTo x="12777" y="0"/>
                <wp:lineTo x="8214" y="0"/>
              </wp:wrapPolygon>
            </wp:wrapTight>
            <wp:docPr id="17" name="Graphic 17"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r w:rsidRPr="00AC41E0">
        <w:rPr>
          <w:i/>
          <w:iCs/>
          <w:lang w:eastAsia="en-AU"/>
        </w:rPr>
        <w:t>Tip:</w:t>
      </w:r>
      <w:r w:rsidRPr="00AC41E0">
        <w:t xml:space="preserve"> Collecting periodic or ongoing information can build a pattern of usage which, if linked to a person</w:t>
      </w:r>
      <w:r w:rsidR="001A7AF0" w:rsidRPr="00AC41E0">
        <w:t>,</w:t>
      </w:r>
      <w:r w:rsidRPr="00AC41E0">
        <w:t xml:space="preserve"> can be personal information.</w:t>
      </w:r>
      <w:r w:rsidRPr="00E46FB0">
        <w:t xml:space="preserve"> </w:t>
      </w:r>
    </w:p>
    <w:p w14:paraId="4F010F5C" w14:textId="4CEA5290" w:rsidR="00350C1F" w:rsidRPr="00AC41E0" w:rsidRDefault="00350C1F" w:rsidP="00D4137E">
      <w:pPr>
        <w:pStyle w:val="Heading4"/>
        <w:tabs>
          <w:tab w:val="clear" w:pos="1588"/>
          <w:tab w:val="num" w:pos="1662"/>
        </w:tabs>
        <w:ind w:left="1662"/>
        <w:rPr>
          <w:rFonts w:ascii="Arial" w:hAnsi="Arial"/>
        </w:rPr>
      </w:pPr>
      <w:r w:rsidRPr="00AC41E0">
        <w:rPr>
          <w:rFonts w:ascii="Arial" w:hAnsi="Arial"/>
        </w:rPr>
        <w:t xml:space="preserve">Surveillance </w:t>
      </w:r>
      <w:r w:rsidR="0047727A" w:rsidRPr="00AC41E0">
        <w:rPr>
          <w:rFonts w:ascii="Arial" w:hAnsi="Arial"/>
        </w:rPr>
        <w:t xml:space="preserve">and </w:t>
      </w:r>
      <w:r w:rsidR="003524E8" w:rsidRPr="00AC41E0">
        <w:rPr>
          <w:rFonts w:ascii="Arial" w:hAnsi="Arial"/>
        </w:rPr>
        <w:t>telecommunications</w:t>
      </w:r>
    </w:p>
    <w:p w14:paraId="76B724F2" w14:textId="31F7C85B" w:rsidR="00350C1F" w:rsidRPr="00AC41E0" w:rsidRDefault="00350C1F" w:rsidP="00F34F36">
      <w:pPr>
        <w:pStyle w:val="DCSbodytext"/>
        <w:ind w:left="868"/>
      </w:pPr>
      <w:r w:rsidRPr="00AC41E0">
        <w:t>Data surveillance devices, listening devices and tracking devices in NSW are regulated by</w:t>
      </w:r>
      <w:r w:rsidR="00F34F36" w:rsidRPr="00AC41E0">
        <w:t xml:space="preserve"> </w:t>
      </w:r>
      <w:hyperlink r:id="rId124" w:anchor="/view/act/2007/64/full" w:history="1">
        <w:r w:rsidRPr="00AC41E0">
          <w:rPr>
            <w:rStyle w:val="Hyperlink"/>
            <w:i/>
          </w:rPr>
          <w:t>Surveillance Devices Act 2007</w:t>
        </w:r>
        <w:r w:rsidRPr="00AC41E0">
          <w:rPr>
            <w:rStyle w:val="Hyperlink"/>
          </w:rPr>
          <w:t xml:space="preserve"> (NSW)</w:t>
        </w:r>
      </w:hyperlink>
      <w:r w:rsidRPr="00E46FB0">
        <w:t xml:space="preserve"> and, in relation to workplaces and employee use of workplace resources, the </w:t>
      </w:r>
      <w:hyperlink r:id="rId125" w:anchor="/view/act/2005/47/full" w:history="1">
        <w:r w:rsidRPr="00AC41E0">
          <w:rPr>
            <w:rStyle w:val="Hyperlink"/>
            <w:i/>
          </w:rPr>
          <w:t>Workplace Surveillance Act 2005</w:t>
        </w:r>
        <w:r w:rsidRPr="00AC41E0">
          <w:rPr>
            <w:rStyle w:val="Hyperlink"/>
          </w:rPr>
          <w:t xml:space="preserve"> (NSW)</w:t>
        </w:r>
        <w:r w:rsidRPr="00AC41E0">
          <w:rPr>
            <w:rStyle w:val="Hyperlink"/>
            <w:color w:val="000000" w:themeColor="text1"/>
            <w:u w:val="none"/>
          </w:rPr>
          <w:t xml:space="preserve">. </w:t>
        </w:r>
      </w:hyperlink>
      <w:r w:rsidRPr="00E46FB0">
        <w:t xml:space="preserve"> </w:t>
      </w:r>
    </w:p>
    <w:p w14:paraId="7A804FBE" w14:textId="3EB658D9" w:rsidR="001D66B2" w:rsidRPr="00AC41E0" w:rsidRDefault="00350C1F" w:rsidP="00D4137E">
      <w:pPr>
        <w:pStyle w:val="DCSbodytext"/>
        <w:ind w:left="868"/>
      </w:pPr>
      <w:r w:rsidRPr="00AC41E0">
        <w:t xml:space="preserve">Some IoT devices </w:t>
      </w:r>
      <w:r w:rsidR="00156D7F" w:rsidRPr="00AC41E0">
        <w:t>or</w:t>
      </w:r>
      <w:r w:rsidRPr="00AC41E0">
        <w:t xml:space="preserve"> uses of IoT services </w:t>
      </w:r>
      <w:r w:rsidR="00156D7F" w:rsidRPr="00AC41E0">
        <w:t xml:space="preserve">may be in </w:t>
      </w:r>
      <w:r w:rsidR="00966D93" w:rsidRPr="00AC41E0">
        <w:t xml:space="preserve">the </w:t>
      </w:r>
      <w:r w:rsidRPr="00AC41E0">
        <w:t xml:space="preserve">scope of these </w:t>
      </w:r>
      <w:r w:rsidR="00A86BF6" w:rsidRPr="00AC41E0">
        <w:t>surveillance laws</w:t>
      </w:r>
      <w:r w:rsidR="007A287E" w:rsidRPr="00AC41E0">
        <w:t xml:space="preserve"> (</w:t>
      </w:r>
      <w:r w:rsidRPr="00AC41E0">
        <w:t>in addition to the</w:t>
      </w:r>
      <w:r w:rsidR="007A287E" w:rsidRPr="00AC41E0">
        <w:t xml:space="preserve"> abovementioned privacy laws)</w:t>
      </w:r>
      <w:r w:rsidRPr="00AC41E0">
        <w:t xml:space="preserve">. </w:t>
      </w:r>
      <w:r w:rsidR="002F1A94" w:rsidRPr="00AC41E0">
        <w:t>T</w:t>
      </w:r>
      <w:r w:rsidRPr="00AC41E0">
        <w:t>he surveillance laws require notice to</w:t>
      </w:r>
      <w:r w:rsidR="00D556DA" w:rsidRPr="00AC41E0">
        <w:t xml:space="preserve"> be given to</w:t>
      </w:r>
      <w:r w:rsidRPr="00AC41E0">
        <w:t xml:space="preserve"> affected individuals, and in some cases their affirmative express consent.  </w:t>
      </w:r>
    </w:p>
    <w:p w14:paraId="475A5DC0" w14:textId="747B64AE" w:rsidR="0047727A" w:rsidRPr="00AC41E0" w:rsidRDefault="00FC1706" w:rsidP="000F06D7">
      <w:pPr>
        <w:pStyle w:val="DCSbodytext"/>
        <w:ind w:left="868"/>
      </w:pPr>
      <w:r w:rsidRPr="00AC41E0">
        <w:t>A</w:t>
      </w:r>
      <w:r w:rsidR="00D944B7" w:rsidRPr="00AC41E0">
        <w:t>lso</w:t>
      </w:r>
      <w:r w:rsidR="00966D93" w:rsidRPr="00AC41E0">
        <w:t>,</w:t>
      </w:r>
      <w:r w:rsidR="00D944B7" w:rsidRPr="00AC41E0">
        <w:t xml:space="preserve"> </w:t>
      </w:r>
      <w:r w:rsidRPr="00AC41E0">
        <w:t>b</w:t>
      </w:r>
      <w:r w:rsidR="00D944B7" w:rsidRPr="00AC41E0">
        <w:t>e</w:t>
      </w:r>
      <w:r w:rsidR="004A5F3C" w:rsidRPr="00AC41E0">
        <w:t xml:space="preserve"> </w:t>
      </w:r>
      <w:r w:rsidR="00C0469C" w:rsidRPr="00AC41E0">
        <w:t>aware of the</w:t>
      </w:r>
      <w:r w:rsidR="00556539" w:rsidRPr="00AC41E0">
        <w:t xml:space="preserve"> </w:t>
      </w:r>
      <w:hyperlink r:id="rId126" w:history="1">
        <w:r w:rsidR="0047727A" w:rsidRPr="00AC41E0">
          <w:rPr>
            <w:rStyle w:val="Hyperlink"/>
            <w:i/>
          </w:rPr>
          <w:t xml:space="preserve">Telecommunications (Interception and Access) Act 1979 </w:t>
        </w:r>
        <w:r w:rsidR="0047727A" w:rsidRPr="00AC41E0">
          <w:rPr>
            <w:rStyle w:val="Hyperlink"/>
          </w:rPr>
          <w:t>(Cth)</w:t>
        </w:r>
      </w:hyperlink>
      <w:r w:rsidR="00C0469C" w:rsidRPr="00E46FB0">
        <w:rPr>
          <w:rStyle w:val="Hyperlink"/>
          <w:u w:val="none"/>
        </w:rPr>
        <w:t xml:space="preserve"> </w:t>
      </w:r>
      <w:r w:rsidR="002E6580" w:rsidRPr="00AC41E0">
        <w:rPr>
          <w:rStyle w:val="Hyperlink"/>
          <w:color w:val="auto"/>
          <w:u w:val="none"/>
        </w:rPr>
        <w:t>that</w:t>
      </w:r>
      <w:r w:rsidR="00C0469C" w:rsidRPr="00AC41E0">
        <w:rPr>
          <w:rStyle w:val="Hyperlink"/>
          <w:color w:val="auto"/>
          <w:u w:val="none"/>
        </w:rPr>
        <w:t xml:space="preserve"> </w:t>
      </w:r>
      <w:r w:rsidR="00263063" w:rsidRPr="00AC41E0">
        <w:rPr>
          <w:rStyle w:val="Hyperlink"/>
          <w:color w:val="auto"/>
          <w:u w:val="none"/>
        </w:rPr>
        <w:t>protects the pri</w:t>
      </w:r>
      <w:r w:rsidR="004E2065" w:rsidRPr="00AC41E0">
        <w:rPr>
          <w:rStyle w:val="Hyperlink"/>
          <w:color w:val="auto"/>
          <w:u w:val="none"/>
        </w:rPr>
        <w:t>v</w:t>
      </w:r>
      <w:r w:rsidR="00263063" w:rsidRPr="00AC41E0">
        <w:rPr>
          <w:rStyle w:val="Hyperlink"/>
          <w:color w:val="auto"/>
          <w:u w:val="none"/>
        </w:rPr>
        <w:t>acy of indiv</w:t>
      </w:r>
      <w:r w:rsidR="004E2065" w:rsidRPr="00AC41E0">
        <w:rPr>
          <w:rStyle w:val="Hyperlink"/>
          <w:color w:val="auto"/>
          <w:u w:val="none"/>
        </w:rPr>
        <w:t>i</w:t>
      </w:r>
      <w:r w:rsidR="00263C6C" w:rsidRPr="00AC41E0">
        <w:rPr>
          <w:rStyle w:val="Hyperlink"/>
          <w:color w:val="auto"/>
          <w:u w:val="none"/>
        </w:rPr>
        <w:t>d</w:t>
      </w:r>
      <w:r w:rsidR="00263063" w:rsidRPr="00AC41E0">
        <w:rPr>
          <w:rStyle w:val="Hyperlink"/>
          <w:color w:val="auto"/>
          <w:u w:val="none"/>
        </w:rPr>
        <w:t>uals using the Austral</w:t>
      </w:r>
      <w:r w:rsidR="00263C6C" w:rsidRPr="00AC41E0">
        <w:rPr>
          <w:rStyle w:val="Hyperlink"/>
          <w:color w:val="auto"/>
          <w:u w:val="none"/>
        </w:rPr>
        <w:t>i</w:t>
      </w:r>
      <w:r w:rsidR="00263063" w:rsidRPr="00AC41E0">
        <w:rPr>
          <w:rStyle w:val="Hyperlink"/>
          <w:color w:val="auto"/>
          <w:u w:val="none"/>
        </w:rPr>
        <w:t>an telecommunications system</w:t>
      </w:r>
      <w:r w:rsidR="00263C6C" w:rsidRPr="00AC41E0">
        <w:rPr>
          <w:rStyle w:val="Hyperlink"/>
          <w:color w:val="auto"/>
          <w:u w:val="none"/>
        </w:rPr>
        <w:t xml:space="preserve">. It </w:t>
      </w:r>
      <w:r w:rsidR="00793B5A" w:rsidRPr="00AC41E0">
        <w:rPr>
          <w:rStyle w:val="Hyperlink"/>
          <w:color w:val="auto"/>
          <w:u w:val="none"/>
        </w:rPr>
        <w:t xml:space="preserve">prohibits the interception of, or access to, communications except in specified circumstances. </w:t>
      </w:r>
    </w:p>
    <w:p w14:paraId="0FEA9134" w14:textId="11623924" w:rsidR="00350C1F" w:rsidRPr="00AC41E0" w:rsidRDefault="00350C1F" w:rsidP="00D4137E">
      <w:pPr>
        <w:pStyle w:val="Heading4"/>
        <w:tabs>
          <w:tab w:val="clear" w:pos="1588"/>
          <w:tab w:val="num" w:pos="1662"/>
        </w:tabs>
        <w:ind w:left="1662"/>
        <w:rPr>
          <w:rFonts w:ascii="Arial" w:hAnsi="Arial"/>
        </w:rPr>
      </w:pPr>
      <w:bookmarkStart w:id="1152" w:name="_Toc14700248"/>
      <w:r w:rsidRPr="00AC41E0">
        <w:rPr>
          <w:rFonts w:ascii="Arial" w:hAnsi="Arial"/>
        </w:rPr>
        <w:lastRenderedPageBreak/>
        <w:t>European General Data Protection Regulation Requirements</w:t>
      </w:r>
      <w:bookmarkEnd w:id="1152"/>
      <w:r w:rsidRPr="00AC41E0">
        <w:rPr>
          <w:rFonts w:ascii="Arial" w:hAnsi="Arial"/>
        </w:rPr>
        <w:t xml:space="preserve">  </w:t>
      </w:r>
    </w:p>
    <w:p w14:paraId="34D12A78" w14:textId="000D154D" w:rsidR="00350C1F" w:rsidRPr="00AC41E0" w:rsidRDefault="003A40AE" w:rsidP="00D4137E">
      <w:pPr>
        <w:pStyle w:val="DCSbodytext"/>
        <w:ind w:left="868"/>
      </w:pPr>
      <w:r w:rsidRPr="00AC41E0">
        <w:t>The</w:t>
      </w:r>
      <w:r w:rsidR="00350C1F" w:rsidRPr="00AC41E0">
        <w:t xml:space="preserve"> European Union’s General Data Protection Regulation (GDPR) requirements</w:t>
      </w:r>
      <w:r w:rsidRPr="00AC41E0">
        <w:t xml:space="preserve"> may impact your IoT </w:t>
      </w:r>
      <w:r w:rsidR="005B2DB3" w:rsidRPr="00AC41E0">
        <w:t>service provider</w:t>
      </w:r>
      <w:r w:rsidR="00350C1F" w:rsidRPr="00AC41E0">
        <w:t>.</w:t>
      </w:r>
      <w:r w:rsidR="00D67E30" w:rsidRPr="00AC41E0">
        <w:t xml:space="preserve"> I</w:t>
      </w:r>
      <w:r w:rsidR="00350C1F" w:rsidRPr="00AC41E0">
        <w:t xml:space="preserve">t may impose contractual conditions </w:t>
      </w:r>
      <w:r w:rsidR="00F42651" w:rsidRPr="00AC41E0">
        <w:t>relating to</w:t>
      </w:r>
      <w:r w:rsidR="00350C1F" w:rsidRPr="00AC41E0">
        <w:t xml:space="preserve"> compliance with GDPR requirements</w:t>
      </w:r>
      <w:r w:rsidR="00D67E30" w:rsidRPr="00AC41E0">
        <w:t xml:space="preserve"> if your IoT service provider is impacted</w:t>
      </w:r>
      <w:r w:rsidR="00350C1F" w:rsidRPr="00AC41E0">
        <w:t xml:space="preserve">. The </w:t>
      </w:r>
      <w:hyperlink r:id="rId127" w:history="1">
        <w:r w:rsidR="00350C1F" w:rsidRPr="00AC41E0">
          <w:rPr>
            <w:rStyle w:val="Hyperlink"/>
          </w:rPr>
          <w:t>O</w:t>
        </w:r>
        <w:r w:rsidR="00333C2C" w:rsidRPr="00AC41E0">
          <w:rPr>
            <w:rStyle w:val="Hyperlink"/>
          </w:rPr>
          <w:t>ffice of the Australian Information Commiss</w:t>
        </w:r>
        <w:r w:rsidR="00BC5E02" w:rsidRPr="00AC41E0">
          <w:rPr>
            <w:rStyle w:val="Hyperlink"/>
          </w:rPr>
          <w:t>i</w:t>
        </w:r>
        <w:r w:rsidR="00333C2C" w:rsidRPr="00AC41E0">
          <w:rPr>
            <w:rStyle w:val="Hyperlink"/>
          </w:rPr>
          <w:t>oner</w:t>
        </w:r>
      </w:hyperlink>
      <w:r w:rsidR="005D6D00" w:rsidRPr="00E46FB0">
        <w:t xml:space="preserve"> (OAIC)</w:t>
      </w:r>
      <w:r w:rsidR="00350C1F" w:rsidRPr="00AC41E0">
        <w:t xml:space="preserve"> and the </w:t>
      </w:r>
      <w:hyperlink r:id="rId128" w:history="1">
        <w:r w:rsidR="00350C1F" w:rsidRPr="00AC41E0">
          <w:rPr>
            <w:rStyle w:val="Hyperlink"/>
          </w:rPr>
          <w:t>I</w:t>
        </w:r>
        <w:r w:rsidR="00333C2C" w:rsidRPr="00AC41E0">
          <w:rPr>
            <w:rStyle w:val="Hyperlink"/>
          </w:rPr>
          <w:t>nformation and Privacy Commissio</w:t>
        </w:r>
        <w:r w:rsidR="00026C9F" w:rsidRPr="00AC41E0">
          <w:rPr>
            <w:rStyle w:val="Hyperlink"/>
          </w:rPr>
          <w:t>n NSW</w:t>
        </w:r>
      </w:hyperlink>
      <w:r w:rsidR="00350C1F" w:rsidRPr="00E46FB0">
        <w:t xml:space="preserve"> </w:t>
      </w:r>
      <w:r w:rsidR="005D6D00" w:rsidRPr="00AC41E0">
        <w:t xml:space="preserve">(IPC) </w:t>
      </w:r>
      <w:r w:rsidR="00350C1F" w:rsidRPr="00AC41E0">
        <w:t xml:space="preserve">have information on how to understand the impact of the GDPR on your organisation. </w:t>
      </w:r>
    </w:p>
    <w:p w14:paraId="19A2E8FE" w14:textId="77777777" w:rsidR="00BA33E1" w:rsidRPr="00AC41E0" w:rsidRDefault="006333C5" w:rsidP="00D4137E">
      <w:pPr>
        <w:pStyle w:val="Heading3"/>
        <w:ind w:left="868"/>
        <w:rPr>
          <w:rFonts w:ascii="Arial" w:hAnsi="Arial"/>
        </w:rPr>
      </w:pPr>
      <w:bookmarkStart w:id="1153" w:name="_Toc65760513"/>
      <w:bookmarkStart w:id="1154" w:name="_Toc14700245"/>
      <w:r w:rsidRPr="00AC41E0">
        <w:rPr>
          <w:rFonts w:ascii="Arial" w:hAnsi="Arial"/>
        </w:rPr>
        <w:t xml:space="preserve">Privacy </w:t>
      </w:r>
      <w:r w:rsidR="00BA33E1" w:rsidRPr="00AC41E0">
        <w:rPr>
          <w:rFonts w:ascii="Arial" w:hAnsi="Arial"/>
        </w:rPr>
        <w:t>and IoT</w:t>
      </w:r>
      <w:bookmarkEnd w:id="1153"/>
      <w:r w:rsidR="00BA33E1" w:rsidRPr="00AC41E0">
        <w:rPr>
          <w:rFonts w:ascii="Arial" w:hAnsi="Arial"/>
        </w:rPr>
        <w:t xml:space="preserve"> </w:t>
      </w:r>
    </w:p>
    <w:p w14:paraId="4D340784" w14:textId="45E12CCF" w:rsidR="00722864" w:rsidRPr="00AC41E0" w:rsidRDefault="000F5EC5" w:rsidP="00D4137E">
      <w:pPr>
        <w:pStyle w:val="Heading4"/>
        <w:tabs>
          <w:tab w:val="clear" w:pos="1588"/>
          <w:tab w:val="num" w:pos="1662"/>
        </w:tabs>
        <w:ind w:left="1662"/>
        <w:rPr>
          <w:rFonts w:ascii="Arial" w:hAnsi="Arial"/>
        </w:rPr>
      </w:pPr>
      <w:r w:rsidRPr="00AC41E0">
        <w:rPr>
          <w:rFonts w:ascii="Arial" w:hAnsi="Arial"/>
        </w:rPr>
        <w:t>Personal information</w:t>
      </w:r>
      <w:bookmarkEnd w:id="1154"/>
      <w:r w:rsidR="0019785A" w:rsidRPr="00AC41E0">
        <w:rPr>
          <w:rFonts w:ascii="Arial" w:hAnsi="Arial"/>
        </w:rPr>
        <w:t xml:space="preserve"> collected by IoT</w:t>
      </w:r>
    </w:p>
    <w:p w14:paraId="4BED41F9" w14:textId="5046ABE8" w:rsidR="001D7B4D" w:rsidRPr="00AC41E0" w:rsidRDefault="00722864" w:rsidP="0022369F">
      <w:pPr>
        <w:pStyle w:val="DCSbodytext"/>
        <w:spacing w:after="120"/>
        <w:ind w:left="868"/>
      </w:pPr>
      <w:r w:rsidRPr="00AC41E0">
        <w:t>Data collected using IoT sensors may contain personal information</w:t>
      </w:r>
      <w:r w:rsidR="001D7B4D" w:rsidRPr="00AC41E0">
        <w:t xml:space="preserve"> if it:</w:t>
      </w:r>
      <w:r w:rsidRPr="00AC41E0">
        <w:t xml:space="preserve"> </w:t>
      </w:r>
    </w:p>
    <w:p w14:paraId="3F3DED3A" w14:textId="33EE85E5" w:rsidR="001D7B4D" w:rsidRPr="00AC41E0" w:rsidRDefault="00722864" w:rsidP="00003096">
      <w:pPr>
        <w:pStyle w:val="DCSbodytext"/>
        <w:numPr>
          <w:ilvl w:val="0"/>
          <w:numId w:val="104"/>
        </w:numPr>
        <w:spacing w:after="120"/>
      </w:pPr>
      <w:r w:rsidRPr="00AC41E0">
        <w:t>is about an identified person</w:t>
      </w:r>
      <w:r w:rsidR="001D7B4D" w:rsidRPr="00AC41E0">
        <w:t>.</w:t>
      </w:r>
    </w:p>
    <w:p w14:paraId="0B17558B" w14:textId="3CD25DF9" w:rsidR="001D7B4D" w:rsidRPr="00AC41E0" w:rsidRDefault="00722864" w:rsidP="00003096">
      <w:pPr>
        <w:pStyle w:val="DCSbodytext"/>
        <w:numPr>
          <w:ilvl w:val="0"/>
          <w:numId w:val="104"/>
        </w:numPr>
        <w:spacing w:after="120"/>
      </w:pPr>
      <w:r w:rsidRPr="00AC41E0">
        <w:t>can ‘reasonably’ be linked to an identified person</w:t>
      </w:r>
      <w:r w:rsidR="001D7B4D" w:rsidRPr="00AC41E0">
        <w:t>.</w:t>
      </w:r>
      <w:r w:rsidRPr="00AC41E0">
        <w:t xml:space="preserve"> </w:t>
      </w:r>
      <w:r w:rsidR="001D7B4D" w:rsidRPr="00AC41E0">
        <w:t xml:space="preserve">Information is ‘reasonably identifiable’ if there is </w:t>
      </w:r>
      <w:r w:rsidR="00966D93" w:rsidRPr="00AC41E0">
        <w:t xml:space="preserve">a </w:t>
      </w:r>
      <w:r w:rsidR="001D7B4D" w:rsidRPr="00AC41E0">
        <w:t>reasonable likelihood that re-identification can occur.</w:t>
      </w:r>
    </w:p>
    <w:p w14:paraId="0578C5EB" w14:textId="77777777" w:rsidR="001D7B4D" w:rsidRPr="00AC41E0" w:rsidRDefault="00722864" w:rsidP="00003096">
      <w:pPr>
        <w:pStyle w:val="DCSbodytext"/>
        <w:numPr>
          <w:ilvl w:val="0"/>
          <w:numId w:val="104"/>
        </w:numPr>
        <w:spacing w:after="120"/>
      </w:pPr>
      <w:r w:rsidRPr="00AC41E0">
        <w:t>can be used to identify an indiv</w:t>
      </w:r>
      <w:r w:rsidR="001D7B4D" w:rsidRPr="00AC41E0">
        <w:t>idual</w:t>
      </w:r>
    </w:p>
    <w:p w14:paraId="0B805F5B" w14:textId="2E0D9AAB" w:rsidR="00261E2D" w:rsidRPr="00AC41E0" w:rsidRDefault="00261E2D" w:rsidP="00003096">
      <w:pPr>
        <w:pStyle w:val="DCSbodytext"/>
        <w:numPr>
          <w:ilvl w:val="0"/>
          <w:numId w:val="104"/>
        </w:numPr>
      </w:pPr>
      <w:r w:rsidRPr="00AC41E0">
        <w:t>is held by an organisation with the capability to identify the information, even if the organisation has not yet done so.</w:t>
      </w:r>
    </w:p>
    <w:p w14:paraId="4E7AB257" w14:textId="77777777" w:rsidR="002E583D" w:rsidRPr="00AC41E0" w:rsidRDefault="00D7673E" w:rsidP="0022369F">
      <w:pPr>
        <w:pStyle w:val="DCSbodytext"/>
        <w:spacing w:after="120"/>
        <w:ind w:left="868"/>
      </w:pPr>
      <w:r w:rsidRPr="00AC41E0">
        <w:t>For example</w:t>
      </w:r>
      <w:r w:rsidR="00C119E1" w:rsidRPr="00AC41E0">
        <w:t xml:space="preserve">, </w:t>
      </w:r>
      <w:r w:rsidR="002E583D" w:rsidRPr="00AC41E0">
        <w:t>when counting how many cars drive through an intersection:</w:t>
      </w:r>
    </w:p>
    <w:p w14:paraId="335DE11A" w14:textId="315BAC07" w:rsidR="002E583D" w:rsidRPr="00AC41E0" w:rsidRDefault="00722864" w:rsidP="00003096">
      <w:pPr>
        <w:pStyle w:val="DCSbodytext"/>
        <w:numPr>
          <w:ilvl w:val="0"/>
          <w:numId w:val="105"/>
        </w:numPr>
        <w:spacing w:after="120"/>
      </w:pPr>
      <w:r w:rsidRPr="00AC41E0">
        <w:t xml:space="preserve">if a </w:t>
      </w:r>
      <w:r w:rsidR="000D77B7" w:rsidRPr="00AC41E0">
        <w:t xml:space="preserve">road </w:t>
      </w:r>
      <w:r w:rsidRPr="00AC41E0">
        <w:t>sensor registers when a vehicle drives over the sensor but does not collect any other information</w:t>
      </w:r>
      <w:r w:rsidR="004B5F98" w:rsidRPr="00AC41E0">
        <w:t>,</w:t>
      </w:r>
      <w:r w:rsidRPr="00AC41E0">
        <w:t xml:space="preserve"> that information in isolation is unlikely to be personal</w:t>
      </w:r>
      <w:r w:rsidR="00915798" w:rsidRPr="00AC41E0">
        <w:t xml:space="preserve"> as</w:t>
      </w:r>
      <w:r w:rsidRPr="00AC41E0">
        <w:t xml:space="preserve"> it cannot be linked to the car or driver</w:t>
      </w:r>
      <w:r w:rsidR="00FD2676" w:rsidRPr="00AC41E0">
        <w:t xml:space="preserve"> </w:t>
      </w:r>
    </w:p>
    <w:p w14:paraId="472C986C" w14:textId="2FE267B5" w:rsidR="00722864" w:rsidRPr="00AC41E0" w:rsidRDefault="00722864" w:rsidP="00003096">
      <w:pPr>
        <w:pStyle w:val="DCSbodytext"/>
        <w:numPr>
          <w:ilvl w:val="0"/>
          <w:numId w:val="105"/>
        </w:numPr>
        <w:ind w:left="1587" w:hanging="357"/>
      </w:pPr>
      <w:r w:rsidRPr="00AC41E0">
        <w:t>if CCTV footage of the road</w:t>
      </w:r>
      <w:r w:rsidR="00C119E1" w:rsidRPr="00AC41E0">
        <w:t xml:space="preserve"> is</w:t>
      </w:r>
      <w:r w:rsidRPr="00AC41E0">
        <w:t xml:space="preserve"> available and it is possible to match the timestamps from the footage to the sensor data, it may be possible to associate sensor data with images of the car and driver</w:t>
      </w:r>
      <w:r w:rsidR="00563499" w:rsidRPr="00AC41E0">
        <w:t>. If</w:t>
      </w:r>
      <w:r w:rsidRPr="00AC41E0">
        <w:t xml:space="preserve"> so, that data </w:t>
      </w:r>
      <w:r w:rsidR="00206FE0" w:rsidRPr="00AC41E0">
        <w:t>i</w:t>
      </w:r>
      <w:r w:rsidR="006B49DB" w:rsidRPr="00AC41E0">
        <w:t>s</w:t>
      </w:r>
      <w:r w:rsidRPr="00AC41E0">
        <w:t xml:space="preserve"> personal information.   </w:t>
      </w:r>
    </w:p>
    <w:p w14:paraId="7BCB34F3" w14:textId="03636EC2" w:rsidR="00722864" w:rsidRPr="00AC41E0" w:rsidRDefault="00722864" w:rsidP="00D4137E">
      <w:pPr>
        <w:pStyle w:val="DCSbodytext"/>
        <w:spacing w:after="120"/>
        <w:ind w:left="868"/>
      </w:pPr>
      <w:r w:rsidRPr="00AC41E0">
        <w:t xml:space="preserve">Whether a person is reasonably identifiable </w:t>
      </w:r>
      <w:r w:rsidR="00C119E1" w:rsidRPr="00AC41E0">
        <w:t xml:space="preserve">is </w:t>
      </w:r>
      <w:r w:rsidRPr="00AC41E0">
        <w:t>assessed in the circumstances of the case. Relevant considerations include:</w:t>
      </w:r>
    </w:p>
    <w:p w14:paraId="3DBB3C0C" w14:textId="18D545EB" w:rsidR="00722864" w:rsidRPr="00AC41E0" w:rsidRDefault="003575E1" w:rsidP="00D67E30">
      <w:pPr>
        <w:pStyle w:val="DCSbodytext"/>
        <w:numPr>
          <w:ilvl w:val="0"/>
          <w:numId w:val="105"/>
        </w:numPr>
        <w:spacing w:after="120"/>
      </w:pPr>
      <w:r w:rsidRPr="00AC41E0">
        <w:t>t</w:t>
      </w:r>
      <w:r w:rsidR="00722864" w:rsidRPr="00AC41E0">
        <w:t xml:space="preserve">he nature and amount of information collected and held </w:t>
      </w:r>
    </w:p>
    <w:p w14:paraId="52FB763E" w14:textId="467D3F81" w:rsidR="00722864" w:rsidRPr="00AC41E0" w:rsidRDefault="003575E1" w:rsidP="00D67E30">
      <w:pPr>
        <w:pStyle w:val="DCSbodytext"/>
        <w:numPr>
          <w:ilvl w:val="0"/>
          <w:numId w:val="105"/>
        </w:numPr>
        <w:spacing w:after="120"/>
      </w:pPr>
      <w:r w:rsidRPr="00AC41E0">
        <w:t>w</w:t>
      </w:r>
      <w:r w:rsidR="00722864" w:rsidRPr="00AC41E0">
        <w:t xml:space="preserve">ho will hold and have access to the information, including their skills and abilities and the resources available to </w:t>
      </w:r>
      <w:r w:rsidR="008014F4" w:rsidRPr="00AC41E0">
        <w:t>them?</w:t>
      </w:r>
    </w:p>
    <w:p w14:paraId="13F41938" w14:textId="70CA61E1" w:rsidR="00722864" w:rsidRPr="00AC41E0" w:rsidRDefault="003575E1" w:rsidP="00D67E30">
      <w:pPr>
        <w:pStyle w:val="DCSbodytext"/>
        <w:numPr>
          <w:ilvl w:val="0"/>
          <w:numId w:val="105"/>
        </w:numPr>
        <w:spacing w:after="120"/>
      </w:pPr>
      <w:r w:rsidRPr="00AC41E0">
        <w:t>a</w:t>
      </w:r>
      <w:r w:rsidR="00394F4A" w:rsidRPr="00AC41E0">
        <w:t>ny</w:t>
      </w:r>
      <w:r w:rsidR="00722864" w:rsidRPr="00AC41E0">
        <w:t xml:space="preserve"> other information that is available</w:t>
      </w:r>
      <w:r w:rsidR="00394F4A" w:rsidRPr="00AC41E0">
        <w:t xml:space="preserve"> that could be matched or referenced against your information,</w:t>
      </w:r>
      <w:r w:rsidR="00722864" w:rsidRPr="00AC41E0">
        <w:t xml:space="preserve"> and the practicability of using that</w:t>
      </w:r>
      <w:r w:rsidR="00394F4A" w:rsidRPr="00AC41E0">
        <w:t xml:space="preserve"> other</w:t>
      </w:r>
      <w:r w:rsidR="00722864" w:rsidRPr="00AC41E0">
        <w:t xml:space="preserve"> information to identify an individual.</w:t>
      </w:r>
    </w:p>
    <w:p w14:paraId="3C56E731" w14:textId="0AD5E2B0" w:rsidR="00AB1E6F" w:rsidRPr="00AC41E0" w:rsidRDefault="00AB1E6F" w:rsidP="008060F0">
      <w:pPr>
        <w:pStyle w:val="DCSbodytext"/>
        <w:ind w:left="868"/>
      </w:pPr>
      <w:r w:rsidRPr="00AC41E0">
        <w:t xml:space="preserve">See also the </w:t>
      </w:r>
      <w:hyperlink r:id="rId129" w:history="1">
        <w:r w:rsidR="005B2791" w:rsidRPr="00AC41E0">
          <w:rPr>
            <w:rStyle w:val="Hyperlink"/>
          </w:rPr>
          <w:t>IPC’s</w:t>
        </w:r>
        <w:r w:rsidRPr="00AC41E0">
          <w:rPr>
            <w:rStyle w:val="Hyperlink"/>
          </w:rPr>
          <w:t xml:space="preserve"> </w:t>
        </w:r>
        <w:r w:rsidR="00E742F2" w:rsidRPr="00AC41E0">
          <w:rPr>
            <w:rStyle w:val="Hyperlink"/>
          </w:rPr>
          <w:t>fact sheet</w:t>
        </w:r>
        <w:r w:rsidRPr="00AC41E0">
          <w:rPr>
            <w:rStyle w:val="Hyperlink"/>
          </w:rPr>
          <w:t xml:space="preserve"> on reasonably ascertainable identity</w:t>
        </w:r>
      </w:hyperlink>
      <w:r w:rsidRPr="00E46FB0">
        <w:t>.</w:t>
      </w:r>
    </w:p>
    <w:p w14:paraId="5D042384" w14:textId="6743272D" w:rsidR="00E87E97" w:rsidRPr="00AC41E0" w:rsidRDefault="00D90CE3" w:rsidP="00D4137E">
      <w:pPr>
        <w:pStyle w:val="Heading4"/>
        <w:tabs>
          <w:tab w:val="clear" w:pos="1588"/>
          <w:tab w:val="num" w:pos="1662"/>
        </w:tabs>
        <w:ind w:left="1662"/>
        <w:rPr>
          <w:rFonts w:ascii="Arial" w:hAnsi="Arial"/>
        </w:rPr>
      </w:pPr>
      <w:r w:rsidRPr="00AC41E0">
        <w:rPr>
          <w:rFonts w:ascii="Arial" w:hAnsi="Arial"/>
        </w:rPr>
        <w:t>Managing IoT data</w:t>
      </w:r>
    </w:p>
    <w:p w14:paraId="3214A6E8" w14:textId="44F85696" w:rsidR="00E87E97" w:rsidRPr="00AC41E0" w:rsidRDefault="00E87E97" w:rsidP="00D4137E">
      <w:pPr>
        <w:pStyle w:val="DCSbodytext"/>
        <w:ind w:left="868"/>
      </w:pPr>
      <w:r w:rsidRPr="00AC41E0">
        <w:t xml:space="preserve">Data management is more difficult with IoT data </w:t>
      </w:r>
      <w:r w:rsidR="003A7D23" w:rsidRPr="00AC41E0">
        <w:t>due to</w:t>
      </w:r>
      <w:r w:rsidRPr="00AC41E0">
        <w:t xml:space="preserve"> the volume of data and dispersed data sources and entities processing data. It is important that data volume, frequency</w:t>
      </w:r>
      <w:r w:rsidR="00966D93" w:rsidRPr="00AC41E0">
        <w:t>,</w:t>
      </w:r>
      <w:r w:rsidRPr="00AC41E0">
        <w:t xml:space="preserve"> and capture methods </w:t>
      </w:r>
      <w:r w:rsidR="00F70D16" w:rsidRPr="00AC41E0">
        <w:t xml:space="preserve">do </w:t>
      </w:r>
      <w:r w:rsidRPr="00AC41E0">
        <w:t>not create unintended consequences.</w:t>
      </w:r>
    </w:p>
    <w:p w14:paraId="5D53CED2" w14:textId="69730EB3" w:rsidR="00E87E97" w:rsidRPr="00AC41E0" w:rsidRDefault="00E87E97" w:rsidP="00D4137E">
      <w:pPr>
        <w:pStyle w:val="DCSbodytext"/>
        <w:ind w:left="868"/>
      </w:pPr>
      <w:r w:rsidRPr="00AC41E0">
        <w:lastRenderedPageBreak/>
        <w:t xml:space="preserve">To illustrate this concept, consider sensors placed on the exterior wall of houses in a specific area to monitor air quality and temperature. If the devices are configured to capture a continuous or </w:t>
      </w:r>
      <w:r w:rsidR="00966D93" w:rsidRPr="00AC41E0">
        <w:t>high-</w:t>
      </w:r>
      <w:r w:rsidRPr="00AC41E0">
        <w:t>frequency data feed, fluctuations in air temperature</w:t>
      </w:r>
      <w:r w:rsidR="006C2E9D" w:rsidRPr="00AC41E0">
        <w:t xml:space="preserve"> </w:t>
      </w:r>
      <w:r w:rsidR="00F70D16" w:rsidRPr="00AC41E0">
        <w:t xml:space="preserve">may </w:t>
      </w:r>
      <w:r w:rsidRPr="00AC41E0">
        <w:t xml:space="preserve">make it easy to identify when people are in or out of the house. </w:t>
      </w:r>
      <w:r w:rsidR="009703E5" w:rsidRPr="00AC41E0">
        <w:t>The privacy impacts can be minimised by d</w:t>
      </w:r>
      <w:r w:rsidRPr="00AC41E0">
        <w:t xml:space="preserve">ecreasing the frequency of data capture, aggregating the data </w:t>
      </w:r>
      <w:r w:rsidR="00F70D16" w:rsidRPr="00AC41E0">
        <w:t>to a street or suburb level when it is captured</w:t>
      </w:r>
      <w:r w:rsidRPr="00AC41E0">
        <w:t>, or relocating sensors to less sensitive locations nearby.</w:t>
      </w:r>
    </w:p>
    <w:p w14:paraId="77C25D5E" w14:textId="65B88076" w:rsidR="00795A43" w:rsidRPr="00AC41E0" w:rsidRDefault="00795A43" w:rsidP="00D4137E">
      <w:pPr>
        <w:pStyle w:val="Heading4"/>
        <w:tabs>
          <w:tab w:val="clear" w:pos="1588"/>
          <w:tab w:val="num" w:pos="1662"/>
        </w:tabs>
        <w:ind w:left="1662"/>
        <w:rPr>
          <w:rFonts w:ascii="Arial" w:hAnsi="Arial"/>
        </w:rPr>
      </w:pPr>
      <w:r w:rsidRPr="00AC41E0">
        <w:rPr>
          <w:rFonts w:ascii="Arial" w:hAnsi="Arial"/>
        </w:rPr>
        <w:t>Commonwealth privacy legislation and IoT-enabled projects</w:t>
      </w:r>
    </w:p>
    <w:p w14:paraId="7684D502" w14:textId="4B5ABE2F" w:rsidR="00795A43" w:rsidRPr="00AC41E0" w:rsidRDefault="008A1DCF" w:rsidP="00D4137E">
      <w:pPr>
        <w:pStyle w:val="DCSbodytext"/>
        <w:ind w:left="868"/>
      </w:pPr>
      <w:r w:rsidRPr="00AC41E0">
        <w:t>An IoT-enabled</w:t>
      </w:r>
      <w:r w:rsidR="00795A43" w:rsidRPr="00AC41E0">
        <w:t xml:space="preserve"> project may be subject to both NSW and </w:t>
      </w:r>
      <w:r w:rsidR="008B537D" w:rsidRPr="00AC41E0">
        <w:t>Commonwealth</w:t>
      </w:r>
      <w:r w:rsidR="00795A43" w:rsidRPr="00AC41E0">
        <w:t xml:space="preserve"> privacy legi</w:t>
      </w:r>
      <w:r w:rsidR="00EC12D7" w:rsidRPr="00AC41E0">
        <w:t>slation. For example, if a NSW g</w:t>
      </w:r>
      <w:r w:rsidR="00795A43" w:rsidRPr="00AC41E0">
        <w:t xml:space="preserve">overnment agency procures sensors and </w:t>
      </w:r>
      <w:r w:rsidR="00EC12D7" w:rsidRPr="00AC41E0">
        <w:t xml:space="preserve">a </w:t>
      </w:r>
      <w:r w:rsidR="00795A43" w:rsidRPr="00AC41E0">
        <w:t xml:space="preserve">system </w:t>
      </w:r>
      <w:r w:rsidR="00EC12D7" w:rsidRPr="00AC41E0">
        <w:t>that</w:t>
      </w:r>
      <w:r w:rsidR="00795A43" w:rsidRPr="00AC41E0">
        <w:t xml:space="preserve"> record identifiable traffic data, the </w:t>
      </w:r>
      <w:r w:rsidR="00886101" w:rsidRPr="00AC41E0">
        <w:t>IoT service provider</w:t>
      </w:r>
      <w:r w:rsidR="00795A43" w:rsidRPr="00AC41E0">
        <w:t xml:space="preserve"> need</w:t>
      </w:r>
      <w:r w:rsidR="00886101" w:rsidRPr="00AC41E0">
        <w:t>s</w:t>
      </w:r>
      <w:r w:rsidR="00795A43" w:rsidRPr="00AC41E0">
        <w:t xml:space="preserve"> to comply with the </w:t>
      </w:r>
      <w:r w:rsidR="00795A43" w:rsidRPr="00AC41E0">
        <w:rPr>
          <w:i/>
        </w:rPr>
        <w:t>Privacy Act</w:t>
      </w:r>
      <w:r w:rsidR="00795A43" w:rsidRPr="00AC41E0">
        <w:t xml:space="preserve"> while the NSW Government agency </w:t>
      </w:r>
      <w:r w:rsidR="00886101" w:rsidRPr="00AC41E0">
        <w:t>needs</w:t>
      </w:r>
      <w:r w:rsidR="00795A43" w:rsidRPr="00AC41E0">
        <w:t xml:space="preserve"> to comply with the PPIP Act. The NSW Government agency </w:t>
      </w:r>
      <w:r w:rsidR="00886101" w:rsidRPr="00AC41E0">
        <w:t xml:space="preserve">is </w:t>
      </w:r>
      <w:r w:rsidR="00795A43" w:rsidRPr="00AC41E0">
        <w:t xml:space="preserve">also required to ensure the </w:t>
      </w:r>
      <w:r w:rsidR="005B2DB3" w:rsidRPr="00AC41E0">
        <w:t xml:space="preserve">IoT service provider </w:t>
      </w:r>
      <w:r w:rsidR="00886101" w:rsidRPr="00AC41E0">
        <w:t>do</w:t>
      </w:r>
      <w:r w:rsidR="00B36A35" w:rsidRPr="00AC41E0">
        <w:t>es</w:t>
      </w:r>
      <w:r w:rsidR="00795A43" w:rsidRPr="00AC41E0">
        <w:t xml:space="preserve"> not breach NSW privacy laws. </w:t>
      </w:r>
    </w:p>
    <w:p w14:paraId="60ECA34A" w14:textId="2241C50F" w:rsidR="00795A43" w:rsidRPr="00AC41E0" w:rsidRDefault="0074137F" w:rsidP="00D4137E">
      <w:pPr>
        <w:pStyle w:val="DCSbodytext"/>
        <w:ind w:left="868"/>
      </w:pPr>
      <w:r w:rsidRPr="00AC41E0">
        <w:t>You need to consider how to protect personal information i</w:t>
      </w:r>
      <w:r w:rsidR="00795A43" w:rsidRPr="00AC41E0">
        <w:t>f you are working with an entity that is not covered by any privacy legislation. This can be done through contract provisions that address the handling of personal information and appropriate data governance.</w:t>
      </w:r>
    </w:p>
    <w:p w14:paraId="39E3EA19" w14:textId="23F8DDC3" w:rsidR="00F76184" w:rsidRPr="00AC41E0" w:rsidRDefault="00C87D45" w:rsidP="00D4137E">
      <w:pPr>
        <w:pStyle w:val="Heading3"/>
        <w:ind w:left="868"/>
        <w:rPr>
          <w:rFonts w:ascii="Arial" w:hAnsi="Arial"/>
        </w:rPr>
      </w:pPr>
      <w:bookmarkStart w:id="1155" w:name="_Privacy_obligations_around"/>
      <w:bookmarkStart w:id="1156" w:name="_Toc14700267"/>
      <w:bookmarkStart w:id="1157" w:name="_Toc65760514"/>
      <w:bookmarkEnd w:id="1155"/>
      <w:r w:rsidRPr="00AC41E0">
        <w:rPr>
          <w:rFonts w:ascii="Arial" w:hAnsi="Arial"/>
        </w:rPr>
        <w:t>P</w:t>
      </w:r>
      <w:r w:rsidR="005A459C" w:rsidRPr="00AC41E0">
        <w:rPr>
          <w:rFonts w:ascii="Arial" w:hAnsi="Arial"/>
        </w:rPr>
        <w:t>rivacy obligations around c</w:t>
      </w:r>
      <w:r w:rsidR="00F76184" w:rsidRPr="00AC41E0">
        <w:rPr>
          <w:rFonts w:ascii="Arial" w:hAnsi="Arial"/>
        </w:rPr>
        <w:t>ollecting and holding data</w:t>
      </w:r>
      <w:bookmarkEnd w:id="1156"/>
      <w:bookmarkEnd w:id="1157"/>
    </w:p>
    <w:p w14:paraId="0B82AB19" w14:textId="52406A02" w:rsidR="00144E64" w:rsidRPr="00AC41E0" w:rsidRDefault="00BB2DDC" w:rsidP="00D4137E">
      <w:pPr>
        <w:pStyle w:val="Heading4"/>
        <w:tabs>
          <w:tab w:val="clear" w:pos="1588"/>
          <w:tab w:val="num" w:pos="1662"/>
        </w:tabs>
        <w:ind w:left="1662"/>
        <w:rPr>
          <w:rFonts w:ascii="Arial" w:hAnsi="Arial"/>
        </w:rPr>
      </w:pPr>
      <w:r w:rsidRPr="00AC41E0">
        <w:rPr>
          <w:rFonts w:ascii="Arial" w:hAnsi="Arial"/>
        </w:rPr>
        <w:t>Obligations around personal information</w:t>
      </w:r>
    </w:p>
    <w:p w14:paraId="7798A568" w14:textId="054F5E76" w:rsidR="00F76184" w:rsidRPr="00AC41E0" w:rsidRDefault="00F76184" w:rsidP="00D4137E">
      <w:pPr>
        <w:pStyle w:val="DCSbodytext"/>
        <w:ind w:left="868"/>
      </w:pPr>
      <w:r w:rsidRPr="00AC41E0">
        <w:t xml:space="preserve">Once </w:t>
      </w:r>
      <w:r w:rsidR="0025451C" w:rsidRPr="00AC41E0">
        <w:t>information</w:t>
      </w:r>
      <w:r w:rsidRPr="00AC41E0">
        <w:t xml:space="preserve"> is collected (personal or de-identified) you have obligations on the way you hold and allow access to </w:t>
      </w:r>
      <w:r w:rsidR="00801A16" w:rsidRPr="00AC41E0">
        <w:t>it</w:t>
      </w:r>
      <w:r w:rsidRPr="00AC41E0">
        <w:t xml:space="preserve">. It is recommended </w:t>
      </w:r>
      <w:r w:rsidR="00886A47" w:rsidRPr="00AC41E0">
        <w:t xml:space="preserve">that </w:t>
      </w:r>
      <w:r w:rsidRPr="00AC41E0">
        <w:t xml:space="preserve">you do not collect personal information </w:t>
      </w:r>
      <w:r w:rsidR="002E0F02" w:rsidRPr="00AC41E0">
        <w:t>(</w:t>
      </w:r>
      <w:r w:rsidRPr="00AC41E0">
        <w:t>unless necessary</w:t>
      </w:r>
      <w:r w:rsidR="002E0F02" w:rsidRPr="00AC41E0">
        <w:t>)</w:t>
      </w:r>
      <w:r w:rsidRPr="00AC41E0">
        <w:t xml:space="preserve"> as it is subject to stricter storage and access requirements under the </w:t>
      </w:r>
      <w:r w:rsidR="00437B29" w:rsidRPr="00AC41E0">
        <w:t>IPPs</w:t>
      </w:r>
      <w:r w:rsidRPr="00AC41E0">
        <w:t>.</w:t>
      </w:r>
    </w:p>
    <w:p w14:paraId="34FE9A61" w14:textId="542297EF" w:rsidR="006E57A4" w:rsidRPr="00AC41E0" w:rsidRDefault="006E57A4" w:rsidP="00D4137E">
      <w:pPr>
        <w:pStyle w:val="Heading4"/>
        <w:tabs>
          <w:tab w:val="clear" w:pos="1588"/>
          <w:tab w:val="num" w:pos="1662"/>
        </w:tabs>
        <w:ind w:left="1662"/>
        <w:rPr>
          <w:rFonts w:ascii="Arial" w:hAnsi="Arial"/>
        </w:rPr>
      </w:pPr>
      <w:r w:rsidRPr="00AC41E0">
        <w:rPr>
          <w:rFonts w:ascii="Arial" w:hAnsi="Arial"/>
        </w:rPr>
        <w:t>ISO</w:t>
      </w:r>
      <w:r w:rsidR="004418A5" w:rsidRPr="00AC41E0">
        <w:rPr>
          <w:rFonts w:ascii="Arial" w:hAnsi="Arial"/>
        </w:rPr>
        <w:t>/IEC</w:t>
      </w:r>
      <w:r w:rsidRPr="00AC41E0">
        <w:rPr>
          <w:rFonts w:ascii="Arial" w:hAnsi="Arial"/>
        </w:rPr>
        <w:t xml:space="preserve"> 29100:2011 IT – Security techniques – Privacy framework</w:t>
      </w:r>
    </w:p>
    <w:p w14:paraId="26754485" w14:textId="0DD0B4B4" w:rsidR="006E57A4" w:rsidRPr="00AC41E0" w:rsidRDefault="006E57A4" w:rsidP="00D4137E">
      <w:pPr>
        <w:pStyle w:val="DCSbodytext"/>
        <w:ind w:left="868"/>
        <w:rPr>
          <w:lang w:eastAsia="en-AU"/>
        </w:rPr>
      </w:pPr>
      <w:r w:rsidRPr="00AC41E0">
        <w:t>ISO</w:t>
      </w:r>
      <w:r w:rsidR="004418A5" w:rsidRPr="00AC41E0">
        <w:t>/IEC</w:t>
      </w:r>
      <w:r w:rsidRPr="00AC41E0">
        <w:t xml:space="preserve"> 29100:2011 relates to privacy. </w:t>
      </w:r>
      <w:r w:rsidR="00827B17" w:rsidRPr="00AC41E0">
        <w:t>T</w:t>
      </w:r>
      <w:r w:rsidRPr="00AC41E0">
        <w:t>his international standard has not been adop</w:t>
      </w:r>
      <w:r w:rsidR="00827B17" w:rsidRPr="00AC41E0">
        <w:t xml:space="preserve">ted in </w:t>
      </w:r>
      <w:r w:rsidR="00633525" w:rsidRPr="00AC41E0">
        <w:t>Australia,</w:t>
      </w:r>
      <w:r w:rsidR="00827B17" w:rsidRPr="00AC41E0">
        <w:t xml:space="preserve"> but</w:t>
      </w:r>
      <w:r w:rsidRPr="00AC41E0">
        <w:t xml:space="preserve"> its provisions are a useful guide on how to keep personal information secure. </w:t>
      </w:r>
    </w:p>
    <w:p w14:paraId="3FBD03A3" w14:textId="4027D8B2" w:rsidR="001E1737" w:rsidRPr="00AC41E0" w:rsidRDefault="006476C6" w:rsidP="00D4137E">
      <w:pPr>
        <w:pStyle w:val="Heading4"/>
        <w:tabs>
          <w:tab w:val="clear" w:pos="1588"/>
          <w:tab w:val="num" w:pos="1662"/>
        </w:tabs>
        <w:ind w:left="1662"/>
        <w:rPr>
          <w:rFonts w:ascii="Arial" w:hAnsi="Arial"/>
        </w:rPr>
      </w:pPr>
      <w:bookmarkStart w:id="1158" w:name="_Identified_versus_de-identified"/>
      <w:bookmarkStart w:id="1159" w:name="_Toc14700260"/>
      <w:bookmarkEnd w:id="1158"/>
      <w:r w:rsidRPr="00AC41E0">
        <w:rPr>
          <w:rFonts w:ascii="Arial" w:hAnsi="Arial"/>
        </w:rPr>
        <w:t>I</w:t>
      </w:r>
      <w:r w:rsidR="001E1737" w:rsidRPr="00AC41E0">
        <w:rPr>
          <w:rFonts w:ascii="Arial" w:hAnsi="Arial"/>
        </w:rPr>
        <w:t>dentified v</w:t>
      </w:r>
      <w:r w:rsidRPr="00AC41E0">
        <w:rPr>
          <w:rFonts w:ascii="Arial" w:hAnsi="Arial"/>
        </w:rPr>
        <w:t>ersus</w:t>
      </w:r>
      <w:r w:rsidR="001E1737" w:rsidRPr="00AC41E0">
        <w:rPr>
          <w:rFonts w:ascii="Arial" w:hAnsi="Arial"/>
        </w:rPr>
        <w:t xml:space="preserve"> </w:t>
      </w:r>
      <w:r w:rsidR="00AF4059" w:rsidRPr="00AC41E0">
        <w:rPr>
          <w:rFonts w:ascii="Arial" w:hAnsi="Arial"/>
        </w:rPr>
        <w:t>de-identif</w:t>
      </w:r>
      <w:r w:rsidR="001E1737" w:rsidRPr="00AC41E0">
        <w:rPr>
          <w:rFonts w:ascii="Arial" w:hAnsi="Arial"/>
        </w:rPr>
        <w:t xml:space="preserve">ied </w:t>
      </w:r>
      <w:bookmarkEnd w:id="1159"/>
      <w:r w:rsidR="001314E0" w:rsidRPr="00AC41E0">
        <w:rPr>
          <w:rFonts w:ascii="Arial" w:hAnsi="Arial"/>
        </w:rPr>
        <w:t>data</w:t>
      </w:r>
    </w:p>
    <w:p w14:paraId="55B91A20" w14:textId="7A4624FD" w:rsidR="001E1737" w:rsidRPr="00AC41E0" w:rsidRDefault="00AF4059" w:rsidP="00D4137E">
      <w:pPr>
        <w:pStyle w:val="DCSbodytext"/>
        <w:ind w:left="868"/>
      </w:pPr>
      <w:r w:rsidRPr="00AC41E0">
        <w:t>De-identif</w:t>
      </w:r>
      <w:r w:rsidR="00A77334" w:rsidRPr="00AC41E0">
        <w:t>ying</w:t>
      </w:r>
      <w:r w:rsidR="001E1737" w:rsidRPr="00AC41E0">
        <w:t xml:space="preserve"> identified data </w:t>
      </w:r>
      <w:r w:rsidR="00827B17" w:rsidRPr="00AC41E0">
        <w:t>can</w:t>
      </w:r>
      <w:r w:rsidR="001E1737" w:rsidRPr="00AC41E0">
        <w:t xml:space="preserve"> reduce privacy risks, though it is not a panacea for sound privacy practices. Effectively </w:t>
      </w:r>
      <w:r w:rsidRPr="00AC41E0">
        <w:t>de-identif</w:t>
      </w:r>
      <w:r w:rsidR="001E1737" w:rsidRPr="00AC41E0">
        <w:t>ied data is not personal information within the meaning of the PPIP</w:t>
      </w:r>
      <w:r w:rsidR="000D5F3E" w:rsidRPr="00AC41E0">
        <w:t xml:space="preserve"> Act</w:t>
      </w:r>
      <w:r w:rsidR="001E1737" w:rsidRPr="00AC41E0">
        <w:t xml:space="preserve">, HRIP </w:t>
      </w:r>
      <w:r w:rsidR="000D5F3E" w:rsidRPr="00AC41E0">
        <w:t xml:space="preserve">Act </w:t>
      </w:r>
      <w:r w:rsidR="001E1737" w:rsidRPr="00AC41E0">
        <w:t xml:space="preserve">or Privacy Act. </w:t>
      </w:r>
    </w:p>
    <w:p w14:paraId="092E8606" w14:textId="4D7F9A93" w:rsidR="00434453" w:rsidRPr="00AC41E0" w:rsidRDefault="00FD250C" w:rsidP="00D4137E">
      <w:pPr>
        <w:pStyle w:val="DCSbodytext"/>
        <w:ind w:left="868"/>
      </w:pPr>
      <w:r w:rsidRPr="00AC41E0">
        <w:t>You must</w:t>
      </w:r>
      <w:r w:rsidR="001E1737" w:rsidRPr="00AC41E0">
        <w:t xml:space="preserve"> consider the risk of reidentification</w:t>
      </w:r>
      <w:r w:rsidR="006D1FA2" w:rsidRPr="00AC41E0">
        <w:t xml:space="preserve"> before you release or share </w:t>
      </w:r>
      <w:r w:rsidR="00AF4059" w:rsidRPr="00AC41E0">
        <w:t>de-identif</w:t>
      </w:r>
      <w:r w:rsidR="006D1FA2" w:rsidRPr="00AC41E0">
        <w:t>ied data</w:t>
      </w:r>
      <w:r w:rsidR="00466D0B" w:rsidRPr="00AC41E0">
        <w:t xml:space="preserve"> </w:t>
      </w:r>
      <w:r w:rsidR="001E1737" w:rsidRPr="00AC41E0">
        <w:t xml:space="preserve">– can the data be linked to identified individuals using other information or data that is available? </w:t>
      </w:r>
    </w:p>
    <w:p w14:paraId="7741F733" w14:textId="1AB1185D" w:rsidR="006E57A4" w:rsidRPr="00E46FB0" w:rsidRDefault="00A121D8" w:rsidP="00D4137E">
      <w:pPr>
        <w:pStyle w:val="DCSbodytext"/>
        <w:ind w:left="868"/>
      </w:pPr>
      <w:r w:rsidRPr="00AC41E0">
        <w:t xml:space="preserve">Remember that </w:t>
      </w:r>
      <w:r w:rsidR="001E1737" w:rsidRPr="00AC41E0">
        <w:t>if you reuse or recycle data sets over multiple projects there is a risk of being able to identify someone by linking the datasets</w:t>
      </w:r>
      <w:r w:rsidR="005B4D2F" w:rsidRPr="00AC41E0">
        <w:t xml:space="preserve"> together</w:t>
      </w:r>
      <w:r w:rsidR="001E1737" w:rsidRPr="00AC41E0">
        <w:t xml:space="preserve">. </w:t>
      </w:r>
      <w:r w:rsidR="006E57A4" w:rsidRPr="00AC41E0">
        <w:t xml:space="preserve">The OAIC and Data 61 have </w:t>
      </w:r>
      <w:r w:rsidR="00966D93" w:rsidRPr="00AC41E0">
        <w:t xml:space="preserve">published </w:t>
      </w:r>
      <w:r w:rsidR="006E57A4" w:rsidRPr="00AC41E0">
        <w:t xml:space="preserve">a practical </w:t>
      </w:r>
      <w:hyperlink r:id="rId130" w:history="1">
        <w:r w:rsidR="006E57A4" w:rsidRPr="00E46FB0">
          <w:rPr>
            <w:rStyle w:val="Hyperlink"/>
          </w:rPr>
          <w:t xml:space="preserve">De-identification Decision </w:t>
        </w:r>
        <w:r w:rsidR="006E57A4" w:rsidRPr="00AC41E0">
          <w:rPr>
            <w:rStyle w:val="Hyperlink"/>
          </w:rPr>
          <w:t>Making Framework</w:t>
        </w:r>
      </w:hyperlink>
      <w:r w:rsidR="006E57A4" w:rsidRPr="00E46FB0">
        <w:rPr>
          <w:rStyle w:val="Hyperlink"/>
        </w:rPr>
        <w:t>.</w:t>
      </w:r>
    </w:p>
    <w:bookmarkStart w:id="1160" w:name="_Toc14700262"/>
    <w:p w14:paraId="7E2E436A" w14:textId="518C5EB4" w:rsidR="00F67F68" w:rsidRPr="00E46FB0" w:rsidRDefault="00EA4965" w:rsidP="00110CB8">
      <w:pPr>
        <w:pStyle w:val="Heading4"/>
        <w:numPr>
          <w:ilvl w:val="0"/>
          <w:numId w:val="0"/>
        </w:numPr>
        <w:spacing w:after="0" w:line="240" w:lineRule="auto"/>
        <w:ind w:left="720"/>
        <w:rPr>
          <w:rFonts w:ascii="Arial" w:hAnsi="Arial"/>
        </w:rPr>
      </w:pPr>
      <w:r w:rsidRPr="00E46FB0">
        <w:rPr>
          <w:noProof/>
        </w:rPr>
        <w:lastRenderedPageBreak/>
        <mc:AlternateContent>
          <mc:Choice Requires="wps">
            <w:drawing>
              <wp:inline distT="0" distB="0" distL="0" distR="0" wp14:anchorId="30D29FDD" wp14:editId="1B4BB429">
                <wp:extent cx="5634355" cy="4292600"/>
                <wp:effectExtent l="0" t="0" r="23495" b="13970"/>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4292600"/>
                        </a:xfrm>
                        <a:prstGeom prst="rect">
                          <a:avLst/>
                        </a:prstGeom>
                        <a:solidFill>
                          <a:schemeClr val="accent1">
                            <a:lumMod val="20000"/>
                            <a:lumOff val="80000"/>
                          </a:schemeClr>
                        </a:solidFill>
                        <a:ln w="9525">
                          <a:solidFill>
                            <a:srgbClr val="000000"/>
                          </a:solidFill>
                          <a:miter lim="800000"/>
                          <a:headEnd/>
                          <a:tailEnd/>
                        </a:ln>
                      </wps:spPr>
                      <wps:txbx>
                        <w:txbxContent>
                          <w:p w14:paraId="0465A713" w14:textId="77777777" w:rsidR="004A5EF4" w:rsidRPr="00770A43" w:rsidRDefault="004A5EF4" w:rsidP="00EA4965">
                            <w:pPr>
                              <w:pStyle w:val="DCSbodytext"/>
                              <w:ind w:left="0"/>
                              <w:jc w:val="center"/>
                              <w:rPr>
                                <w:b/>
                              </w:rPr>
                            </w:pPr>
                            <w:r w:rsidRPr="00770A43">
                              <w:rPr>
                                <w:b/>
                              </w:rPr>
                              <w:t xml:space="preserve">Case Study </w:t>
                            </w:r>
                            <w:r w:rsidRPr="00B138FD">
                              <w:rPr>
                                <w:b/>
                              </w:rPr>
                              <w:t>–</w:t>
                            </w:r>
                            <w:r>
                              <w:rPr>
                                <w:b/>
                              </w:rPr>
                              <w:t xml:space="preserve"> </w:t>
                            </w:r>
                            <w:r w:rsidRPr="00B138FD">
                              <w:rPr>
                                <w:b/>
                              </w:rPr>
                              <w:t>Department of Health</w:t>
                            </w:r>
                            <w:r w:rsidRPr="00D74F34">
                              <w:rPr>
                                <w:b/>
                              </w:rPr>
                              <w:t xml:space="preserve"> </w:t>
                            </w:r>
                            <w:r>
                              <w:rPr>
                                <w:b/>
                              </w:rPr>
                              <w:t>data re-</w:t>
                            </w:r>
                            <w:r w:rsidRPr="00B138FD">
                              <w:rPr>
                                <w:b/>
                              </w:rPr>
                              <w:t>identification</w:t>
                            </w:r>
                          </w:p>
                          <w:p w14:paraId="4AC72C4A" w14:textId="77777777" w:rsidR="004A5EF4" w:rsidRDefault="004A5EF4" w:rsidP="00EA4965">
                            <w:pPr>
                              <w:pStyle w:val="DCSbodytext"/>
                              <w:ind w:left="0"/>
                            </w:pPr>
                            <w:r>
                              <w:t xml:space="preserve">In 2016 the Commonwealth Department of Health published data online related to the Medicare Benefits Schedule and Pharmaceutical Benefits Scheme. The de-identified information was released for public interest and medical research and policy development purposes.  </w:t>
                            </w:r>
                          </w:p>
                          <w:p w14:paraId="55FAE90D" w14:textId="77777777" w:rsidR="004A5EF4" w:rsidRDefault="004A5EF4" w:rsidP="00EA4965">
                            <w:pPr>
                              <w:pStyle w:val="DCSbodytext"/>
                              <w:ind w:left="0"/>
                            </w:pPr>
                            <w:r>
                              <w:t xml:space="preserve">Within a month of the dataset release, the Department of Health was advised that by linking datasets this de-identified information set could be used to identify people. The dataset was removed from public access. </w:t>
                            </w:r>
                          </w:p>
                          <w:p w14:paraId="15CB6D38" w14:textId="77777777" w:rsidR="004A5EF4" w:rsidRDefault="004A5EF4" w:rsidP="00EA4965">
                            <w:pPr>
                              <w:pStyle w:val="DCSbodytext"/>
                              <w:ind w:left="0"/>
                            </w:pPr>
                            <w:r>
                              <w:t>The Australian Privacy Commissioner considered that the Department had breached the APPs by publishing the dataset. The situation could have been avoided by:</w:t>
                            </w:r>
                          </w:p>
                          <w:p w14:paraId="3829BA7C" w14:textId="77777777" w:rsidR="004A5EF4" w:rsidRDefault="004A5EF4" w:rsidP="00EA4965">
                            <w:pPr>
                              <w:pStyle w:val="DCSbodytext"/>
                              <w:numPr>
                                <w:ilvl w:val="0"/>
                                <w:numId w:val="49"/>
                              </w:numPr>
                              <w:spacing w:after="120"/>
                              <w:ind w:left="357" w:hanging="357"/>
                            </w:pPr>
                            <w:r>
                              <w:t>not releasing the data as it was once identifiable</w:t>
                            </w:r>
                          </w:p>
                          <w:p w14:paraId="33E40947" w14:textId="77777777" w:rsidR="004A5EF4" w:rsidRDefault="004A5EF4" w:rsidP="00EA4965">
                            <w:pPr>
                              <w:pStyle w:val="DCSbodytext"/>
                              <w:numPr>
                                <w:ilvl w:val="0"/>
                                <w:numId w:val="49"/>
                              </w:numPr>
                              <w:spacing w:after="120"/>
                              <w:ind w:left="357" w:hanging="357"/>
                            </w:pPr>
                            <w:r>
                              <w:t>better de-identification processes</w:t>
                            </w:r>
                          </w:p>
                          <w:p w14:paraId="4E44C7A7" w14:textId="77777777" w:rsidR="004A5EF4" w:rsidRDefault="004A5EF4" w:rsidP="00EA4965">
                            <w:pPr>
                              <w:pStyle w:val="DCSbodytext"/>
                              <w:numPr>
                                <w:ilvl w:val="0"/>
                                <w:numId w:val="49"/>
                              </w:numPr>
                              <w:spacing w:after="120"/>
                              <w:ind w:left="357" w:hanging="357"/>
                            </w:pPr>
                            <w:r>
                              <w:t>better data encryption</w:t>
                            </w:r>
                          </w:p>
                          <w:p w14:paraId="3FAC29DC" w14:textId="77777777" w:rsidR="004A5EF4" w:rsidRDefault="004A5EF4" w:rsidP="00EA4965">
                            <w:pPr>
                              <w:pStyle w:val="DCSbodytext"/>
                              <w:numPr>
                                <w:ilvl w:val="0"/>
                                <w:numId w:val="49"/>
                              </w:numPr>
                              <w:ind w:left="357" w:hanging="357"/>
                            </w:pPr>
                            <w:r>
                              <w:t>making the data less area specific.</w:t>
                            </w:r>
                          </w:p>
                          <w:p w14:paraId="4ACEAEBE" w14:textId="77777777" w:rsidR="004A5EF4" w:rsidRDefault="004A5EF4" w:rsidP="00EA4965">
                            <w:pPr>
                              <w:pStyle w:val="DCSbodytext"/>
                              <w:ind w:left="0"/>
                            </w:pPr>
                            <w:r>
                              <w:t xml:space="preserve">This case demonstrates that data from one data set can be matched with another which can reasonably identify an individual. See the </w:t>
                            </w:r>
                            <w:hyperlink r:id="rId131" w:history="1">
                              <w:r w:rsidRPr="003D1067">
                                <w:rPr>
                                  <w:rStyle w:val="Hyperlink"/>
                                </w:rPr>
                                <w:t>OAIC</w:t>
                              </w:r>
                            </w:hyperlink>
                            <w:r w:rsidRPr="00F147A7">
                              <w:t xml:space="preserve"> website</w:t>
                            </w:r>
                            <w:r>
                              <w:t xml:space="preserve"> for more information.</w:t>
                            </w:r>
                          </w:p>
                        </w:txbxContent>
                      </wps:txbx>
                      <wps:bodyPr rot="0" vert="horz" wrap="square" lIns="91440" tIns="45720" rIns="91440" bIns="45720" anchor="t" anchorCtr="0">
                        <a:spAutoFit/>
                      </wps:bodyPr>
                    </wps:wsp>
                  </a:graphicData>
                </a:graphic>
              </wp:inline>
            </w:drawing>
          </mc:Choice>
          <mc:Fallback>
            <w:pict>
              <v:shape w14:anchorId="30D29FDD" id="_x0000_s1033" type="#_x0000_t202" style="width:443.65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" fillcolor="#dbe5f1 [660]">
                <v:textbox style="mso-fit-shape-to-text:t">
                  <w:txbxContent>
                    <w:p w14:paraId="0465A713" w14:textId="77777777" w:rsidR="004A5EF4" w:rsidRPr="00770A43" w:rsidRDefault="004A5EF4" w:rsidP="00EA4965">
                      <w:pPr>
                        <w:pStyle w:val="DCSbodytext"/>
                        <w:ind w:left="0"/>
                        <w:jc w:val="center"/>
                        <w:rPr>
                          <w:b/>
                        </w:rPr>
                      </w:pPr>
                      <w:r w:rsidRPr="00770A43">
                        <w:rPr>
                          <w:b/>
                        </w:rPr>
                        <w:t xml:space="preserve">Case Study </w:t>
                      </w:r>
                      <w:r w:rsidRPr="00B138FD">
                        <w:rPr>
                          <w:b/>
                        </w:rPr>
                        <w:t>–</w:t>
                      </w:r>
                      <w:r>
                        <w:rPr>
                          <w:b/>
                        </w:rPr>
                        <w:t xml:space="preserve"> </w:t>
                      </w:r>
                      <w:r w:rsidRPr="00B138FD">
                        <w:rPr>
                          <w:b/>
                        </w:rPr>
                        <w:t>Department of Health</w:t>
                      </w:r>
                      <w:r w:rsidRPr="00D74F34">
                        <w:rPr>
                          <w:b/>
                        </w:rPr>
                        <w:t xml:space="preserve"> </w:t>
                      </w:r>
                      <w:r>
                        <w:rPr>
                          <w:b/>
                        </w:rPr>
                        <w:t>data re-</w:t>
                      </w:r>
                      <w:r w:rsidRPr="00B138FD">
                        <w:rPr>
                          <w:b/>
                        </w:rPr>
                        <w:t>identification</w:t>
                      </w:r>
                    </w:p>
                    <w:p w14:paraId="4AC72C4A" w14:textId="77777777" w:rsidR="004A5EF4" w:rsidRDefault="004A5EF4" w:rsidP="00EA4965">
                      <w:pPr>
                        <w:pStyle w:val="DCSbodytext"/>
                        <w:ind w:left="0"/>
                      </w:pPr>
                      <w:r>
                        <w:t xml:space="preserve">In 2016 the Commonwealth Department of Health published data online related to the Medicare Benefits Schedule and Pharmaceutical Benefits Scheme. The de-identified information was released for public interest and medical research and policy development purposes.  </w:t>
                      </w:r>
                    </w:p>
                    <w:p w14:paraId="55FAE90D" w14:textId="77777777" w:rsidR="004A5EF4" w:rsidRDefault="004A5EF4" w:rsidP="00EA4965">
                      <w:pPr>
                        <w:pStyle w:val="DCSbodytext"/>
                        <w:ind w:left="0"/>
                      </w:pPr>
                      <w:r>
                        <w:t xml:space="preserve">Within a month of the dataset release, the Department of Health was advised that by linking datasets this de-identified information set could be used to identify people. The dataset was removed from public access. </w:t>
                      </w:r>
                    </w:p>
                    <w:p w14:paraId="15CB6D38" w14:textId="77777777" w:rsidR="004A5EF4" w:rsidRDefault="004A5EF4" w:rsidP="00EA4965">
                      <w:pPr>
                        <w:pStyle w:val="DCSbodytext"/>
                        <w:ind w:left="0"/>
                      </w:pPr>
                      <w:r>
                        <w:t>The Australian Privacy Commissioner considered that the Department had breached the APPs by publishing the dataset. The situation could have been avoided by:</w:t>
                      </w:r>
                    </w:p>
                    <w:p w14:paraId="3829BA7C" w14:textId="77777777" w:rsidR="004A5EF4" w:rsidRDefault="004A5EF4" w:rsidP="00EA4965">
                      <w:pPr>
                        <w:pStyle w:val="DCSbodytext"/>
                        <w:numPr>
                          <w:ilvl w:val="0"/>
                          <w:numId w:val="49"/>
                        </w:numPr>
                        <w:spacing w:after="120"/>
                        <w:ind w:left="357" w:hanging="357"/>
                      </w:pPr>
                      <w:r>
                        <w:t>not releasing the data as it was once identifiable</w:t>
                      </w:r>
                    </w:p>
                    <w:p w14:paraId="33E40947" w14:textId="77777777" w:rsidR="004A5EF4" w:rsidRDefault="004A5EF4" w:rsidP="00EA4965">
                      <w:pPr>
                        <w:pStyle w:val="DCSbodytext"/>
                        <w:numPr>
                          <w:ilvl w:val="0"/>
                          <w:numId w:val="49"/>
                        </w:numPr>
                        <w:spacing w:after="120"/>
                        <w:ind w:left="357" w:hanging="357"/>
                      </w:pPr>
                      <w:r>
                        <w:t>better de-identification processes</w:t>
                      </w:r>
                    </w:p>
                    <w:p w14:paraId="4E44C7A7" w14:textId="77777777" w:rsidR="004A5EF4" w:rsidRDefault="004A5EF4" w:rsidP="00EA4965">
                      <w:pPr>
                        <w:pStyle w:val="DCSbodytext"/>
                        <w:numPr>
                          <w:ilvl w:val="0"/>
                          <w:numId w:val="49"/>
                        </w:numPr>
                        <w:spacing w:after="120"/>
                        <w:ind w:left="357" w:hanging="357"/>
                      </w:pPr>
                      <w:r>
                        <w:t>better data encryption</w:t>
                      </w:r>
                    </w:p>
                    <w:p w14:paraId="3FAC29DC" w14:textId="77777777" w:rsidR="004A5EF4" w:rsidRDefault="004A5EF4" w:rsidP="00EA4965">
                      <w:pPr>
                        <w:pStyle w:val="DCSbodytext"/>
                        <w:numPr>
                          <w:ilvl w:val="0"/>
                          <w:numId w:val="49"/>
                        </w:numPr>
                        <w:ind w:left="357" w:hanging="357"/>
                      </w:pPr>
                      <w:r>
                        <w:t>making the data less area specific.</w:t>
                      </w:r>
                    </w:p>
                    <w:p w14:paraId="4ACEAEBE" w14:textId="77777777" w:rsidR="004A5EF4" w:rsidRDefault="004A5EF4" w:rsidP="00EA4965">
                      <w:pPr>
                        <w:pStyle w:val="DCSbodytext"/>
                        <w:ind w:left="0"/>
                      </w:pPr>
                      <w:r>
                        <w:t xml:space="preserve">This case demonstrates that data from one data set can be matched with another which can reasonably identify an individual. See the </w:t>
                      </w:r>
                      <w:hyperlink r:id="rId132" w:history="1">
                        <w:r w:rsidRPr="003D1067">
                          <w:rPr>
                            <w:rStyle w:val="Hyperlink"/>
                          </w:rPr>
                          <w:t>OAIC</w:t>
                        </w:r>
                      </w:hyperlink>
                      <w:r w:rsidRPr="00F147A7">
                        <w:t xml:space="preserve"> website</w:t>
                      </w:r>
                      <w:r>
                        <w:t xml:space="preserve"> for more information.</w:t>
                      </w:r>
                    </w:p>
                  </w:txbxContent>
                </v:textbox>
                <w10:anchorlock/>
              </v:shape>
            </w:pict>
          </mc:Fallback>
        </mc:AlternateContent>
      </w:r>
    </w:p>
    <w:p w14:paraId="47B815AD" w14:textId="6EA8AE1A" w:rsidR="004C41C6" w:rsidRPr="00AC41E0" w:rsidRDefault="004C41C6" w:rsidP="00D4137E">
      <w:pPr>
        <w:pStyle w:val="Heading4"/>
        <w:tabs>
          <w:tab w:val="clear" w:pos="1588"/>
          <w:tab w:val="num" w:pos="1662"/>
        </w:tabs>
        <w:ind w:left="1662"/>
        <w:rPr>
          <w:rFonts w:ascii="Arial" w:hAnsi="Arial"/>
        </w:rPr>
      </w:pPr>
      <w:r w:rsidRPr="00AC41E0">
        <w:rPr>
          <w:rFonts w:ascii="Arial" w:hAnsi="Arial"/>
        </w:rPr>
        <w:t>Privacy Management Plan</w:t>
      </w:r>
      <w:bookmarkEnd w:id="1160"/>
    </w:p>
    <w:p w14:paraId="7C247851" w14:textId="2A852467" w:rsidR="004C41C6" w:rsidRPr="00AC41E0" w:rsidRDefault="003722F7" w:rsidP="00D4137E">
      <w:pPr>
        <w:pStyle w:val="DCSbodytext"/>
        <w:ind w:left="868"/>
      </w:pPr>
      <w:r w:rsidRPr="00AC41E0">
        <w:t>F</w:t>
      </w:r>
      <w:r w:rsidR="004C41C6" w:rsidRPr="00AC41E0">
        <w:t>amiliar</w:t>
      </w:r>
      <w:r w:rsidRPr="00AC41E0">
        <w:t>ise</w:t>
      </w:r>
      <w:r w:rsidR="004C41C6" w:rsidRPr="00AC41E0">
        <w:t xml:space="preserve"> your</w:t>
      </w:r>
      <w:r w:rsidRPr="00AC41E0">
        <w:t>self</w:t>
      </w:r>
      <w:r w:rsidR="004C41C6" w:rsidRPr="00AC41E0">
        <w:t xml:space="preserve"> organisation’s Privacy Management Plan </w:t>
      </w:r>
      <w:r w:rsidRPr="00AC41E0">
        <w:t>(</w:t>
      </w:r>
      <w:r w:rsidR="004C41C6" w:rsidRPr="00AC41E0">
        <w:t>a strategic planning document describing how the organisation will comply with the PPIP Act and HRIP Act</w:t>
      </w:r>
      <w:r w:rsidRPr="00AC41E0">
        <w:t>)</w:t>
      </w:r>
      <w:r w:rsidR="004C41C6" w:rsidRPr="00AC41E0">
        <w:t xml:space="preserve">. Every NSW Government agency and local council is required to have one.  </w:t>
      </w:r>
    </w:p>
    <w:p w14:paraId="18B55D85" w14:textId="77777777" w:rsidR="00AF444E" w:rsidRPr="00AC41E0" w:rsidRDefault="00AF444E" w:rsidP="00D4137E">
      <w:pPr>
        <w:pStyle w:val="Heading4"/>
        <w:tabs>
          <w:tab w:val="clear" w:pos="1588"/>
          <w:tab w:val="num" w:pos="1662"/>
        </w:tabs>
        <w:ind w:left="1662"/>
        <w:rPr>
          <w:rFonts w:ascii="Arial" w:hAnsi="Arial"/>
        </w:rPr>
      </w:pPr>
      <w:bookmarkStart w:id="1161" w:name="_Toc14700259"/>
      <w:r w:rsidRPr="00AC41E0">
        <w:rPr>
          <w:rFonts w:ascii="Arial" w:hAnsi="Arial"/>
        </w:rPr>
        <w:t>Privacy Collection Statement</w:t>
      </w:r>
      <w:bookmarkEnd w:id="1161"/>
    </w:p>
    <w:p w14:paraId="00D16F4B" w14:textId="2732A107" w:rsidR="00AF444E" w:rsidRPr="00AC41E0" w:rsidRDefault="00AF444E" w:rsidP="00D4137E">
      <w:pPr>
        <w:pStyle w:val="DCSbodytext"/>
        <w:ind w:left="868"/>
      </w:pPr>
      <w:r w:rsidRPr="00AC41E0">
        <w:t xml:space="preserve">Section </w:t>
      </w:r>
      <w:r w:rsidR="00E343ED" w:rsidRPr="00AC41E0">
        <w:t>10 of the PPIP Act requires</w:t>
      </w:r>
      <w:r w:rsidRPr="00AC41E0">
        <w:t xml:space="preserve"> you</w:t>
      </w:r>
      <w:r w:rsidR="00E343ED" w:rsidRPr="00AC41E0">
        <w:t xml:space="preserve"> to</w:t>
      </w:r>
      <w:r w:rsidRPr="00AC41E0">
        <w:t xml:space="preserve"> inform individuals </w:t>
      </w:r>
      <w:r w:rsidR="001A160D" w:rsidRPr="00AC41E0">
        <w:t>if</w:t>
      </w:r>
      <w:r w:rsidRPr="00AC41E0">
        <w:t xml:space="preserve"> you are collecting personal information, why you are collecting personal information, what the information will be used for and how they can view or amend their personal information.</w:t>
      </w:r>
      <w:r w:rsidR="005F0FB9" w:rsidRPr="00AC41E0">
        <w:t xml:space="preserve"> </w:t>
      </w:r>
      <w:r w:rsidRPr="00AC41E0">
        <w:t>You must make individuals aware before, or as soon as is practical after, the personal information is collected.</w:t>
      </w:r>
      <w:r w:rsidR="005C05A4" w:rsidRPr="00AC41E0">
        <w:t xml:space="preserve"> </w:t>
      </w:r>
    </w:p>
    <w:p w14:paraId="130F16B4" w14:textId="36CA7365" w:rsidR="00AF444E" w:rsidRPr="00AC41E0" w:rsidRDefault="00AF444E" w:rsidP="00D4137E">
      <w:pPr>
        <w:pStyle w:val="DCSbodytext"/>
        <w:ind w:left="868"/>
      </w:pPr>
      <w:r w:rsidRPr="00AC41E0">
        <w:t xml:space="preserve">The </w:t>
      </w:r>
      <w:r w:rsidR="006772A6" w:rsidRPr="00AC41E0">
        <w:t xml:space="preserve">PPIP </w:t>
      </w:r>
      <w:r w:rsidRPr="00AC41E0">
        <w:t xml:space="preserve">Act does not require this </w:t>
      </w:r>
      <w:r w:rsidR="008402FD" w:rsidRPr="00AC41E0">
        <w:t>notice to be given in</w:t>
      </w:r>
      <w:r w:rsidRPr="00AC41E0">
        <w:t xml:space="preserve"> a specific way</w:t>
      </w:r>
      <w:r w:rsidR="00916307" w:rsidRPr="00AC41E0">
        <w:t xml:space="preserve"> so you </w:t>
      </w:r>
      <w:r w:rsidR="00AD0C14" w:rsidRPr="00AC41E0">
        <w:t>need</w:t>
      </w:r>
      <w:r w:rsidR="00966D93" w:rsidRPr="00AC41E0">
        <w:t xml:space="preserve"> to</w:t>
      </w:r>
      <w:r w:rsidR="00916307" w:rsidRPr="00AC41E0">
        <w:t xml:space="preserve"> c</w:t>
      </w:r>
      <w:r w:rsidRPr="00AC41E0">
        <w:t xml:space="preserve">onsider the best way to communicate with your audience. </w:t>
      </w:r>
      <w:r w:rsidR="00773E4C" w:rsidRPr="00AC41E0">
        <w:t>For example, y</w:t>
      </w:r>
      <w:r w:rsidRPr="00AC41E0">
        <w:t xml:space="preserve">ou </w:t>
      </w:r>
      <w:r w:rsidR="00AD0C14" w:rsidRPr="00AC41E0">
        <w:t>can post a prominent sign, send</w:t>
      </w:r>
      <w:r w:rsidRPr="00AC41E0">
        <w:t xml:space="preserve"> an email to the affected individuals, or </w:t>
      </w:r>
      <w:r w:rsidR="00773E4C" w:rsidRPr="00AC41E0">
        <w:t>p</w:t>
      </w:r>
      <w:r w:rsidR="00AD0C14" w:rsidRPr="00AC41E0">
        <w:t>ublish</w:t>
      </w:r>
      <w:r w:rsidRPr="00AC41E0">
        <w:t xml:space="preserve"> a Privacy Collection Statement on your website</w:t>
      </w:r>
      <w:r w:rsidR="00773E4C" w:rsidRPr="00AC41E0">
        <w:t xml:space="preserve">. </w:t>
      </w:r>
      <w:r w:rsidRPr="00AC41E0">
        <w:t xml:space="preserve">A template Privacy Collection Statement is at </w:t>
      </w:r>
      <w:hyperlink w:anchor="_Appendix_B_-" w:history="1">
        <w:r w:rsidRPr="00AC41E0">
          <w:rPr>
            <w:rStyle w:val="Hyperlink"/>
          </w:rPr>
          <w:t>Appendix B</w:t>
        </w:r>
      </w:hyperlink>
      <w:r w:rsidRPr="00E46FB0">
        <w:t>.</w:t>
      </w:r>
    </w:p>
    <w:p w14:paraId="761835F8" w14:textId="5C2518A3" w:rsidR="00C320F3" w:rsidRPr="00AC41E0" w:rsidRDefault="004C41C6" w:rsidP="00D4137E">
      <w:pPr>
        <w:pStyle w:val="Heading3"/>
        <w:ind w:left="868"/>
        <w:rPr>
          <w:rFonts w:ascii="Arial" w:hAnsi="Arial"/>
        </w:rPr>
      </w:pPr>
      <w:bookmarkStart w:id="1162" w:name="_Toc65760515"/>
      <w:r w:rsidRPr="00AC41E0">
        <w:rPr>
          <w:rFonts w:ascii="Arial" w:hAnsi="Arial"/>
        </w:rPr>
        <w:t>Best practice – Privacy by design</w:t>
      </w:r>
      <w:bookmarkEnd w:id="1162"/>
      <w:r w:rsidRPr="00AC41E0">
        <w:rPr>
          <w:rFonts w:ascii="Arial" w:hAnsi="Arial"/>
        </w:rPr>
        <w:t xml:space="preserve"> </w:t>
      </w:r>
      <w:r w:rsidR="00C320F3" w:rsidRPr="00AC41E0">
        <w:rPr>
          <w:rFonts w:ascii="Arial" w:hAnsi="Arial"/>
        </w:rPr>
        <w:t xml:space="preserve"> </w:t>
      </w:r>
    </w:p>
    <w:p w14:paraId="05518B74" w14:textId="090B05EC" w:rsidR="00722864" w:rsidRPr="00AC41E0" w:rsidRDefault="004C41C6" w:rsidP="00D4137E">
      <w:pPr>
        <w:pStyle w:val="Heading4"/>
        <w:tabs>
          <w:tab w:val="clear" w:pos="1588"/>
          <w:tab w:val="num" w:pos="1662"/>
        </w:tabs>
        <w:ind w:left="1662"/>
        <w:rPr>
          <w:rFonts w:ascii="Arial" w:eastAsia="Times New Roman" w:hAnsi="Arial"/>
        </w:rPr>
      </w:pPr>
      <w:bookmarkStart w:id="1163" w:name="_Toc14771128"/>
      <w:bookmarkStart w:id="1164" w:name="_Toc14771311"/>
      <w:bookmarkStart w:id="1165" w:name="_Toc14771696"/>
      <w:bookmarkStart w:id="1166" w:name="_Toc14771907"/>
      <w:bookmarkStart w:id="1167" w:name="_Principles_of_privacy"/>
      <w:bookmarkStart w:id="1168" w:name="_Toc14700250"/>
      <w:bookmarkStart w:id="1169" w:name="_Toc7596443"/>
      <w:bookmarkEnd w:id="1163"/>
      <w:bookmarkEnd w:id="1164"/>
      <w:bookmarkEnd w:id="1165"/>
      <w:bookmarkEnd w:id="1166"/>
      <w:bookmarkEnd w:id="1167"/>
      <w:r w:rsidRPr="00AC41E0">
        <w:rPr>
          <w:rFonts w:ascii="Arial" w:eastAsia="Times New Roman" w:hAnsi="Arial"/>
        </w:rPr>
        <w:t xml:space="preserve">Principles of </w:t>
      </w:r>
      <w:bookmarkStart w:id="1170" w:name="_Toc7596452"/>
      <w:bookmarkStart w:id="1171" w:name="_Toc14700251"/>
      <w:bookmarkStart w:id="1172" w:name="_Toc7596446"/>
      <w:bookmarkEnd w:id="1168"/>
      <w:bookmarkEnd w:id="1169"/>
      <w:r w:rsidRPr="00AC41E0">
        <w:rPr>
          <w:rFonts w:ascii="Arial" w:eastAsia="Times New Roman" w:hAnsi="Arial"/>
        </w:rPr>
        <w:t>p</w:t>
      </w:r>
      <w:r w:rsidR="00722864" w:rsidRPr="00AC41E0">
        <w:rPr>
          <w:rFonts w:ascii="Arial" w:eastAsia="Times New Roman" w:hAnsi="Arial"/>
        </w:rPr>
        <w:t xml:space="preserve">rivacy by </w:t>
      </w:r>
      <w:r w:rsidR="00076C18" w:rsidRPr="00AC41E0">
        <w:rPr>
          <w:rFonts w:ascii="Arial" w:eastAsia="Times New Roman" w:hAnsi="Arial"/>
        </w:rPr>
        <w:t>d</w:t>
      </w:r>
      <w:r w:rsidR="00722864" w:rsidRPr="00AC41E0">
        <w:rPr>
          <w:rFonts w:ascii="Arial" w:eastAsia="Times New Roman" w:hAnsi="Arial"/>
        </w:rPr>
        <w:t>esign</w:t>
      </w:r>
      <w:bookmarkEnd w:id="1170"/>
      <w:bookmarkEnd w:id="1171"/>
    </w:p>
    <w:p w14:paraId="44D7EC07" w14:textId="37F6F9F6" w:rsidR="00DB3F62" w:rsidRPr="00AC41E0" w:rsidRDefault="00722864" w:rsidP="00D4137E">
      <w:pPr>
        <w:pStyle w:val="DCSbodytext"/>
        <w:ind w:left="868"/>
      </w:pPr>
      <w:r w:rsidRPr="00AC41E0">
        <w:t xml:space="preserve">Privacy by </w:t>
      </w:r>
      <w:r w:rsidR="00C36B32" w:rsidRPr="00AC41E0">
        <w:t>d</w:t>
      </w:r>
      <w:r w:rsidRPr="00AC41E0">
        <w:t xml:space="preserve">esign is the process </w:t>
      </w:r>
      <w:r w:rsidR="003D0EDB" w:rsidRPr="00AC41E0">
        <w:t>of proactively identifying</w:t>
      </w:r>
      <w:r w:rsidRPr="00AC41E0">
        <w:t xml:space="preserve"> privacy risks during the development of a project or initiative so </w:t>
      </w:r>
      <w:r w:rsidR="00DB2834" w:rsidRPr="00AC41E0">
        <w:t>that risks</w:t>
      </w:r>
      <w:r w:rsidRPr="00AC41E0">
        <w:t xml:space="preserve"> can be mitigated as part of the design of </w:t>
      </w:r>
      <w:r w:rsidRPr="00AC41E0">
        <w:lastRenderedPageBreak/>
        <w:t xml:space="preserve">the project. Privacy by </w:t>
      </w:r>
      <w:r w:rsidR="00C91E4E" w:rsidRPr="00AC41E0">
        <w:t>d</w:t>
      </w:r>
      <w:r w:rsidRPr="00AC41E0">
        <w:t xml:space="preserve">esign allows privacy to be ‘baked-in’ from the beginning so </w:t>
      </w:r>
      <w:r w:rsidR="00ED6849" w:rsidRPr="00AC41E0">
        <w:t xml:space="preserve">that </w:t>
      </w:r>
      <w:r w:rsidR="00C1182B" w:rsidRPr="00AC41E0">
        <w:t>your IoT</w:t>
      </w:r>
      <w:r w:rsidRPr="00AC41E0">
        <w:t xml:space="preserve"> solution is privacy-protective by default. </w:t>
      </w:r>
    </w:p>
    <w:p w14:paraId="62A68D31" w14:textId="45436073" w:rsidR="00722864" w:rsidRPr="00AC41E0" w:rsidRDefault="00FA4224" w:rsidP="00D4137E">
      <w:pPr>
        <w:pStyle w:val="DCSbodytext"/>
        <w:ind w:left="868"/>
      </w:pPr>
      <w:r w:rsidRPr="00AC41E0">
        <w:t>Consider the</w:t>
      </w:r>
      <w:r w:rsidR="008D64E8" w:rsidRPr="00AC41E0">
        <w:t>se</w:t>
      </w:r>
      <w:r w:rsidR="00722864" w:rsidRPr="00AC41E0">
        <w:t xml:space="preserve"> </w:t>
      </w:r>
      <w:hyperlink r:id="rId133" w:history="1">
        <w:r w:rsidR="00722864" w:rsidRPr="00AC41E0">
          <w:rPr>
            <w:rStyle w:val="Hyperlink"/>
          </w:rPr>
          <w:t xml:space="preserve">seven </w:t>
        </w:r>
        <w:r w:rsidR="00BD577F" w:rsidRPr="00AC41E0">
          <w:rPr>
            <w:rStyle w:val="Hyperlink"/>
          </w:rPr>
          <w:t>p</w:t>
        </w:r>
        <w:r w:rsidR="00722864" w:rsidRPr="00AC41E0">
          <w:rPr>
            <w:rStyle w:val="Hyperlink"/>
          </w:rPr>
          <w:t>rinciples of</w:t>
        </w:r>
        <w:r w:rsidR="00BD577F" w:rsidRPr="00AC41E0">
          <w:rPr>
            <w:rStyle w:val="Hyperlink"/>
          </w:rPr>
          <w:t xml:space="preserve"> p</w:t>
        </w:r>
        <w:r w:rsidR="00722864" w:rsidRPr="00AC41E0">
          <w:rPr>
            <w:rStyle w:val="Hyperlink"/>
          </w:rPr>
          <w:t xml:space="preserve">rivacy by </w:t>
        </w:r>
        <w:r w:rsidR="00BD577F" w:rsidRPr="00AC41E0">
          <w:rPr>
            <w:rStyle w:val="Hyperlink"/>
          </w:rPr>
          <w:t>d</w:t>
        </w:r>
        <w:r w:rsidR="00722864" w:rsidRPr="00AC41E0">
          <w:rPr>
            <w:rStyle w:val="Hyperlink"/>
          </w:rPr>
          <w:t>esign</w:t>
        </w:r>
      </w:hyperlink>
      <w:r w:rsidR="00722864" w:rsidRPr="00E46FB0">
        <w:t xml:space="preserve"> when rolling out an IoT </w:t>
      </w:r>
      <w:r w:rsidR="00954DD6" w:rsidRPr="00AC41E0">
        <w:t>solution</w:t>
      </w:r>
      <w:r w:rsidR="00722864" w:rsidRPr="00AC41E0">
        <w:t>:</w:t>
      </w:r>
    </w:p>
    <w:p w14:paraId="12F4B81B" w14:textId="63DB6232" w:rsidR="008D64E8" w:rsidRPr="00AC41E0" w:rsidRDefault="004B2F56" w:rsidP="00D978A4">
      <w:pPr>
        <w:pStyle w:val="DCSbullet"/>
        <w:numPr>
          <w:ilvl w:val="0"/>
          <w:numId w:val="44"/>
        </w:numPr>
        <w:ind w:left="1228"/>
        <w:contextualSpacing w:val="0"/>
      </w:pPr>
      <w:r w:rsidRPr="00AC41E0">
        <w:t>Be p</w:t>
      </w:r>
      <w:r w:rsidR="00722864" w:rsidRPr="00AC41E0">
        <w:t>roactive</w:t>
      </w:r>
      <w:r w:rsidR="00966D93" w:rsidRPr="00AC41E0">
        <w:t>,</w:t>
      </w:r>
      <w:r w:rsidR="00722864" w:rsidRPr="00AC41E0">
        <w:t xml:space="preserve"> not reactive</w:t>
      </w:r>
      <w:r w:rsidR="00ED6849" w:rsidRPr="00AC41E0">
        <w:t>.</w:t>
      </w:r>
      <w:r w:rsidR="00FE0EFD" w:rsidRPr="00AC41E0">
        <w:t xml:space="preserve"> Be preventative not remedial.</w:t>
      </w:r>
      <w:r w:rsidR="00ED6849" w:rsidRPr="00AC41E0">
        <w:t xml:space="preserve"> </w:t>
      </w:r>
      <w:r w:rsidRPr="00AC41E0">
        <w:t>D</w:t>
      </w:r>
      <w:r w:rsidR="00722864" w:rsidRPr="00AC41E0">
        <w:t xml:space="preserve">o not wait until there is a privacy breach to consider privacy.  </w:t>
      </w:r>
    </w:p>
    <w:p w14:paraId="5C4FCE21" w14:textId="2581D4DC" w:rsidR="004B2F56" w:rsidRPr="00AC41E0" w:rsidRDefault="00722864" w:rsidP="00D978A4">
      <w:pPr>
        <w:pStyle w:val="DCSbullet"/>
        <w:numPr>
          <w:ilvl w:val="0"/>
          <w:numId w:val="44"/>
        </w:numPr>
        <w:ind w:left="1228"/>
        <w:contextualSpacing w:val="0"/>
      </w:pPr>
      <w:r w:rsidRPr="00AC41E0">
        <w:t>Privacy as the default setting</w:t>
      </w:r>
      <w:r w:rsidR="00ED6849" w:rsidRPr="00AC41E0">
        <w:t xml:space="preserve">. </w:t>
      </w:r>
      <w:r w:rsidRPr="00AC41E0">
        <w:t>Think privacy first and foremost</w:t>
      </w:r>
      <w:r w:rsidR="004B2F56" w:rsidRPr="00AC41E0">
        <w:t>.</w:t>
      </w:r>
    </w:p>
    <w:p w14:paraId="168F82B0" w14:textId="2AD196A9" w:rsidR="00722864" w:rsidRPr="00AC41E0" w:rsidRDefault="00A13B7D" w:rsidP="00D978A4">
      <w:pPr>
        <w:pStyle w:val="DCSbullet"/>
        <w:numPr>
          <w:ilvl w:val="0"/>
          <w:numId w:val="44"/>
        </w:numPr>
        <w:ind w:left="1228"/>
        <w:contextualSpacing w:val="0"/>
      </w:pPr>
      <w:r w:rsidRPr="00AC41E0">
        <w:t>E</w:t>
      </w:r>
      <w:r w:rsidR="00722864" w:rsidRPr="00AC41E0">
        <w:t>mbed privacy into the design of your project</w:t>
      </w:r>
    </w:p>
    <w:p w14:paraId="1A954F84" w14:textId="698B9041" w:rsidR="00722864" w:rsidRPr="00AC41E0" w:rsidRDefault="00722864" w:rsidP="00D978A4">
      <w:pPr>
        <w:pStyle w:val="DCSbullet"/>
        <w:numPr>
          <w:ilvl w:val="0"/>
          <w:numId w:val="44"/>
        </w:numPr>
        <w:spacing w:line="276" w:lineRule="auto"/>
        <w:ind w:left="1228"/>
        <w:contextualSpacing w:val="0"/>
      </w:pPr>
      <w:r w:rsidRPr="00AC41E0">
        <w:t xml:space="preserve">Positive </w:t>
      </w:r>
      <w:r w:rsidR="009D1856" w:rsidRPr="00AC41E0">
        <w:t>s</w:t>
      </w:r>
      <w:r w:rsidRPr="00AC41E0">
        <w:t xml:space="preserve">um, </w:t>
      </w:r>
      <w:r w:rsidR="009D1856" w:rsidRPr="00AC41E0">
        <w:t>n</w:t>
      </w:r>
      <w:r w:rsidRPr="00AC41E0">
        <w:t xml:space="preserve">ot </w:t>
      </w:r>
      <w:r w:rsidR="00966D93" w:rsidRPr="00AC41E0">
        <w:t>zero-</w:t>
      </w:r>
      <w:r w:rsidR="009D1856" w:rsidRPr="00AC41E0">
        <w:t>s</w:t>
      </w:r>
      <w:r w:rsidRPr="00AC41E0">
        <w:t>um</w:t>
      </w:r>
      <w:r w:rsidR="00EF3FA2" w:rsidRPr="00AC41E0">
        <w:t xml:space="preserve"> </w:t>
      </w:r>
      <w:r w:rsidRPr="00AC41E0">
        <w:t>–</w:t>
      </w:r>
      <w:r w:rsidR="007279D5" w:rsidRPr="00AC41E0">
        <w:t xml:space="preserve"> </w:t>
      </w:r>
      <w:r w:rsidR="00545791" w:rsidRPr="00AC41E0">
        <w:t>t</w:t>
      </w:r>
      <w:r w:rsidRPr="00AC41E0">
        <w:t xml:space="preserve">hink </w:t>
      </w:r>
      <w:r w:rsidR="00545791" w:rsidRPr="00AC41E0">
        <w:t>w</w:t>
      </w:r>
      <w:r w:rsidRPr="00AC41E0">
        <w:t>in/</w:t>
      </w:r>
      <w:r w:rsidR="00545791" w:rsidRPr="00AC41E0">
        <w:t>w</w:t>
      </w:r>
      <w:r w:rsidRPr="00AC41E0">
        <w:t>in. Can you find a solution which has the greatest benefit e.g. data generation and analytics with strengthened privacy feature?</w:t>
      </w:r>
    </w:p>
    <w:p w14:paraId="6D18298E" w14:textId="1DC5266F" w:rsidR="00722864" w:rsidRPr="00AC41E0" w:rsidRDefault="00722864" w:rsidP="00D978A4">
      <w:pPr>
        <w:pStyle w:val="DCSbullet"/>
        <w:numPr>
          <w:ilvl w:val="0"/>
          <w:numId w:val="44"/>
        </w:numPr>
        <w:ind w:left="1228"/>
        <w:contextualSpacing w:val="0"/>
      </w:pPr>
      <w:r w:rsidRPr="00AC41E0">
        <w:t xml:space="preserve">End to </w:t>
      </w:r>
      <w:r w:rsidR="008D64E8" w:rsidRPr="00AC41E0">
        <w:t>e</w:t>
      </w:r>
      <w:r w:rsidRPr="00AC41E0">
        <w:t xml:space="preserve">nd </w:t>
      </w:r>
      <w:r w:rsidR="008D64E8" w:rsidRPr="00AC41E0">
        <w:t>s</w:t>
      </w:r>
      <w:r w:rsidRPr="00AC41E0">
        <w:t xml:space="preserve">ecurity </w:t>
      </w:r>
      <w:r w:rsidR="008D64E8" w:rsidRPr="00AC41E0">
        <w:t>for full l</w:t>
      </w:r>
      <w:r w:rsidRPr="00AC41E0">
        <w:t xml:space="preserve">ifecycle </w:t>
      </w:r>
      <w:r w:rsidR="008D64E8" w:rsidRPr="00AC41E0">
        <w:t>p</w:t>
      </w:r>
      <w:r w:rsidRPr="00AC41E0">
        <w:t>rotection</w:t>
      </w:r>
      <w:r w:rsidR="00ED6849" w:rsidRPr="00AC41E0">
        <w:t>.</w:t>
      </w:r>
      <w:r w:rsidRPr="00AC41E0">
        <w:t xml:space="preserve"> </w:t>
      </w:r>
    </w:p>
    <w:p w14:paraId="52FF2C0A" w14:textId="61CE26B2" w:rsidR="00722864" w:rsidRPr="00AC41E0" w:rsidRDefault="00722864" w:rsidP="00D978A4">
      <w:pPr>
        <w:pStyle w:val="DCSbullet"/>
        <w:numPr>
          <w:ilvl w:val="0"/>
          <w:numId w:val="44"/>
        </w:numPr>
        <w:ind w:left="1228"/>
        <w:contextualSpacing w:val="0"/>
      </w:pPr>
      <w:r w:rsidRPr="00AC41E0">
        <w:t>Visibility and Transparency</w:t>
      </w:r>
      <w:r w:rsidR="00ED6849" w:rsidRPr="00AC41E0">
        <w:t xml:space="preserve">. </w:t>
      </w:r>
      <w:r w:rsidR="00BC74D3" w:rsidRPr="00AC41E0">
        <w:t>Be o</w:t>
      </w:r>
      <w:r w:rsidRPr="00AC41E0">
        <w:t>pen with stakeholders</w:t>
      </w:r>
      <w:r w:rsidR="00513C27" w:rsidRPr="00AC41E0">
        <w:t>.</w:t>
      </w:r>
    </w:p>
    <w:p w14:paraId="3CF10C33" w14:textId="4A970B68" w:rsidR="00722864" w:rsidRPr="00AC41E0" w:rsidRDefault="00722864" w:rsidP="00D978A4">
      <w:pPr>
        <w:pStyle w:val="DCSbullet"/>
        <w:numPr>
          <w:ilvl w:val="0"/>
          <w:numId w:val="44"/>
        </w:numPr>
        <w:spacing w:after="0"/>
        <w:ind w:left="1228"/>
      </w:pPr>
      <w:r w:rsidRPr="00AC41E0">
        <w:t>Respect for user privacy</w:t>
      </w:r>
      <w:r w:rsidR="00BE0F13" w:rsidRPr="00AC41E0">
        <w:t>. K</w:t>
      </w:r>
      <w:r w:rsidR="00BC74D3" w:rsidRPr="00AC41E0">
        <w:t xml:space="preserve">eep it user-centric. </w:t>
      </w:r>
    </w:p>
    <w:p w14:paraId="1F9D6AA7" w14:textId="77777777" w:rsidR="009454EE" w:rsidRPr="00AC41E0" w:rsidRDefault="009454EE" w:rsidP="00110CB8">
      <w:pPr>
        <w:pStyle w:val="DCSbullet"/>
        <w:spacing w:after="0"/>
        <w:ind w:left="1228"/>
      </w:pPr>
    </w:p>
    <w:p w14:paraId="7E848E7A" w14:textId="4AF8DA13" w:rsidR="009D00FD" w:rsidRPr="00E46FB0" w:rsidRDefault="00B30810" w:rsidP="00110CB8">
      <w:pPr>
        <w:pStyle w:val="DCSbullet"/>
        <w:ind w:left="1080" w:hanging="360"/>
      </w:pPr>
      <w:r w:rsidRPr="00E46FB0">
        <w:rPr>
          <w:noProof/>
        </w:rPr>
        <mc:AlternateContent>
          <mc:Choice Requires="wps">
            <w:drawing>
              <wp:inline distT="0" distB="0" distL="0" distR="0" wp14:anchorId="2689DAA4" wp14:editId="23E9217E">
                <wp:extent cx="5607685" cy="4319270"/>
                <wp:effectExtent l="0" t="0" r="12065" b="24130"/>
                <wp:docPr id="531754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685" cy="4319270"/>
                        </a:xfrm>
                        <a:prstGeom prst="rect">
                          <a:avLst/>
                        </a:prstGeom>
                        <a:solidFill>
                          <a:schemeClr val="accent1">
                            <a:lumMod val="20000"/>
                            <a:lumOff val="80000"/>
                          </a:schemeClr>
                        </a:solidFill>
                        <a:ln w="9525">
                          <a:solidFill>
                            <a:srgbClr val="000000"/>
                          </a:solidFill>
                          <a:miter lim="800000"/>
                          <a:headEnd/>
                          <a:tailEnd/>
                        </a:ln>
                      </wps:spPr>
                      <wps:txbx>
                        <w:txbxContent>
                          <w:p w14:paraId="105FCA07" w14:textId="11CE93BA" w:rsidR="004A5EF4" w:rsidRPr="00885658" w:rsidRDefault="004A5EF4" w:rsidP="00885658">
                            <w:pPr>
                              <w:pStyle w:val="DCSbodytext"/>
                              <w:ind w:left="0"/>
                              <w:jc w:val="center"/>
                              <w:rPr>
                                <w:b/>
                              </w:rPr>
                            </w:pPr>
                            <w:r w:rsidRPr="00885658">
                              <w:rPr>
                                <w:b/>
                              </w:rPr>
                              <w:t xml:space="preserve">Case Study – Privacy by design by Byron Bay </w:t>
                            </w:r>
                            <w:r>
                              <w:rPr>
                                <w:b/>
                              </w:rPr>
                              <w:t xml:space="preserve">Shire </w:t>
                            </w:r>
                            <w:r w:rsidRPr="00885658">
                              <w:rPr>
                                <w:b/>
                              </w:rPr>
                              <w:t>Council</w:t>
                            </w:r>
                          </w:p>
                          <w:p w14:paraId="45D617D5" w14:textId="18E25F5D" w:rsidR="004A5EF4" w:rsidRDefault="004A5EF4" w:rsidP="00885658">
                            <w:pPr>
                              <w:pStyle w:val="DCSbodytext"/>
                              <w:ind w:left="0"/>
                            </w:pPr>
                            <w:r>
                              <w:t xml:space="preserve">In </w:t>
                            </w:r>
                            <w:hyperlink r:id="rId134" w:history="1">
                              <w:r w:rsidRPr="00E31813">
                                <w:rPr>
                                  <w:rStyle w:val="Hyperlink"/>
                                  <w:i/>
                                </w:rPr>
                                <w:t xml:space="preserve">DAB v Byron Shire Council </w:t>
                              </w:r>
                              <w:r w:rsidRPr="00A6512F">
                                <w:rPr>
                                  <w:rStyle w:val="Hyperlink"/>
                                </w:rPr>
                                <w:t>[2017] NSWCATAD 104</w:t>
                              </w:r>
                            </w:hyperlink>
                            <w:r>
                              <w:t xml:space="preserve"> a resident of Byron Bay Shire Council complained to the NSW Civil and Administrative Tribunal that the Council’s new ‘pay by plate’ parking scheme breached the IPPs under the PPIP Act. Under the scheme, people were required to enter their name, address, licence plate and other details into a web portal. The data in the portal was transmitted to two servers. One server contained all the information, the other service only contained the exempt licence plates.  </w:t>
                            </w:r>
                          </w:p>
                          <w:p w14:paraId="415D1414" w14:textId="1B2C5655" w:rsidR="004A5EF4" w:rsidRPr="00C54F65" w:rsidRDefault="004A5EF4" w:rsidP="00885658">
                            <w:pPr>
                              <w:pStyle w:val="DCSbodytext"/>
                              <w:ind w:left="0"/>
                            </w:pPr>
                            <w:r>
                              <w:t>The resident argued that by requiring individuals to enter their licence details, their personal information was being collected and could identify them.</w:t>
                            </w:r>
                          </w:p>
                          <w:p w14:paraId="2AD82AF8" w14:textId="4701DBB9" w:rsidR="004A5EF4" w:rsidRDefault="004A5EF4" w:rsidP="00885658">
                            <w:pPr>
                              <w:pStyle w:val="DCSbodytext"/>
                              <w:ind w:left="0"/>
                            </w:pPr>
                            <w:r>
                              <w:t>The Tribunal found that it was very unlikely that the identity of an exemption holder could practically and reasonably be ascertained from the information, whether by comparison with other data held by the Council or otherwise. The Tribunal also found that a licence plate number entered into a parking meter without any other data, was not information about an individual. This meant the Council’s handling of the information was not a handling of personal information regulated by IPPs.</w:t>
                            </w:r>
                          </w:p>
                          <w:p w14:paraId="41F52E8E" w14:textId="017650AF" w:rsidR="004A5EF4" w:rsidRDefault="004A5EF4" w:rsidP="00885658">
                            <w:pPr>
                              <w:pStyle w:val="DCSbodytext"/>
                              <w:ind w:left="0"/>
                            </w:pPr>
                            <w:r>
                              <w:t xml:space="preserve">Byron Bay Shire Council had applied privacy by design by creating two data silos, ensuring that the database which contained residents’ personal information was siloed from the licence plate information for the parking meters. </w:t>
                            </w:r>
                          </w:p>
                        </w:txbxContent>
                      </wps:txbx>
                      <wps:bodyPr rot="0" vert="horz" wrap="square" lIns="91440" tIns="45720" rIns="91440" bIns="45720" anchor="t" anchorCtr="0">
                        <a:noAutofit/>
                      </wps:bodyPr>
                    </wps:wsp>
                  </a:graphicData>
                </a:graphic>
              </wp:inline>
            </w:drawing>
          </mc:Choice>
          <mc:Fallback>
            <w:pict>
              <v:shape w14:anchorId="2689DAA4" id="_x0000_s1034" type="#_x0000_t202" style="width:441.55pt;height:34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" fillcolor="#dbe5f1 [660]">
                <v:textbox>
                  <w:txbxContent>
                    <w:p w14:paraId="105FCA07" w14:textId="11CE93BA" w:rsidR="004A5EF4" w:rsidRPr="00885658" w:rsidRDefault="004A5EF4" w:rsidP="00885658">
                      <w:pPr>
                        <w:pStyle w:val="DCSbodytext"/>
                        <w:ind w:left="0"/>
                        <w:jc w:val="center"/>
                        <w:rPr>
                          <w:b/>
                        </w:rPr>
                      </w:pPr>
                      <w:r w:rsidRPr="00885658">
                        <w:rPr>
                          <w:b/>
                        </w:rPr>
                        <w:t xml:space="preserve">Case Study – Privacy by design by Byron Bay </w:t>
                      </w:r>
                      <w:r>
                        <w:rPr>
                          <w:b/>
                        </w:rPr>
                        <w:t xml:space="preserve">Shire </w:t>
                      </w:r>
                      <w:r w:rsidRPr="00885658">
                        <w:rPr>
                          <w:b/>
                        </w:rPr>
                        <w:t>Council</w:t>
                      </w:r>
                    </w:p>
                    <w:p w14:paraId="45D617D5" w14:textId="18E25F5D" w:rsidR="004A5EF4" w:rsidRDefault="004A5EF4" w:rsidP="00885658">
                      <w:pPr>
                        <w:pStyle w:val="DCSbodytext"/>
                        <w:ind w:left="0"/>
                      </w:pPr>
                      <w:r>
                        <w:t xml:space="preserve">In </w:t>
                      </w:r>
                      <w:hyperlink r:id="rId135" w:history="1">
                        <w:r w:rsidRPr="00E31813">
                          <w:rPr>
                            <w:rStyle w:val="Hyperlink"/>
                            <w:i/>
                          </w:rPr>
                          <w:t xml:space="preserve">DAB v Byron Shire Council </w:t>
                        </w:r>
                        <w:r w:rsidRPr="00A6512F">
                          <w:rPr>
                            <w:rStyle w:val="Hyperlink"/>
                          </w:rPr>
                          <w:t>[2017] NSWCATAD 104</w:t>
                        </w:r>
                      </w:hyperlink>
                      <w:r>
                        <w:t xml:space="preserve"> a resident of Byron Bay Shire Council complained to the NSW Civil and Administrative Tribunal that the Council’s new ‘pay by plate’ parking scheme breached the IPPs under the PPIP Act. Under the scheme, people were required to enter their name, address, licence plate and other details into a web portal. The data in the portal was transmitted to two servers. One server contained all the information, the other service only contained the exempt licence plates.  </w:t>
                      </w:r>
                    </w:p>
                    <w:p w14:paraId="415D1414" w14:textId="1B2C5655" w:rsidR="004A5EF4" w:rsidRPr="00C54F65" w:rsidRDefault="004A5EF4" w:rsidP="00885658">
                      <w:pPr>
                        <w:pStyle w:val="DCSbodytext"/>
                        <w:ind w:left="0"/>
                      </w:pPr>
                      <w:r>
                        <w:t>The resident argued that by requiring individuals to enter their licence details, their personal information was being collected and could identify them.</w:t>
                      </w:r>
                    </w:p>
                    <w:p w14:paraId="2AD82AF8" w14:textId="4701DBB9" w:rsidR="004A5EF4" w:rsidRDefault="004A5EF4" w:rsidP="00885658">
                      <w:pPr>
                        <w:pStyle w:val="DCSbodytext"/>
                        <w:ind w:left="0"/>
                      </w:pPr>
                      <w:r>
                        <w:t>The Tribunal found that it was very unlikely that the identity of an exemption holder could practically and reasonably be ascertained from the information, whether by comparison with other data held by the Council or otherwise. The Tribunal also found that a licence plate number entered into a parking meter without any other data, was not information about an individual. This meant the Council’s handling of the information was not a handling of personal information regulated by IPPs.</w:t>
                      </w:r>
                    </w:p>
                    <w:p w14:paraId="41F52E8E" w14:textId="017650AF" w:rsidR="004A5EF4" w:rsidRDefault="004A5EF4" w:rsidP="00885658">
                      <w:pPr>
                        <w:pStyle w:val="DCSbodytext"/>
                        <w:ind w:left="0"/>
                      </w:pPr>
                      <w:r>
                        <w:t xml:space="preserve">Byron Bay Shire Council had applied privacy by design by creating two data silos, ensuring that the database which contained residents’ personal information was siloed from the licence plate information for the parking meters. </w:t>
                      </w:r>
                    </w:p>
                  </w:txbxContent>
                </v:textbox>
                <w10:anchorlock/>
              </v:shape>
            </w:pict>
          </mc:Fallback>
        </mc:AlternateContent>
      </w:r>
    </w:p>
    <w:p w14:paraId="3D48C153" w14:textId="097AE6E7" w:rsidR="009D00FD" w:rsidRPr="00AC41E0" w:rsidRDefault="009D00FD" w:rsidP="00D4137E">
      <w:pPr>
        <w:pStyle w:val="DCSbullet"/>
        <w:ind w:left="434" w:hanging="360"/>
      </w:pPr>
    </w:p>
    <w:p w14:paraId="549D8A44" w14:textId="77777777" w:rsidR="003C00CD" w:rsidRPr="00AC41E0" w:rsidRDefault="003C00CD">
      <w:pPr>
        <w:rPr>
          <w:rFonts w:ascii="Arial" w:eastAsia="Arial Bold" w:hAnsi="Arial" w:cs="Arial"/>
          <w:b/>
          <w:color w:val="000000"/>
          <w:sz w:val="22"/>
          <w:szCs w:val="40"/>
        </w:rPr>
      </w:pPr>
      <w:bookmarkStart w:id="1173" w:name="_The_Information_lifecycle"/>
      <w:bookmarkStart w:id="1174" w:name="_Implementing_privacy_by"/>
      <w:bookmarkEnd w:id="1173"/>
      <w:bookmarkEnd w:id="1174"/>
      <w:r w:rsidRPr="00AC41E0">
        <w:rPr>
          <w:rFonts w:ascii="Arial" w:hAnsi="Arial"/>
        </w:rPr>
        <w:br w:type="page"/>
      </w:r>
    </w:p>
    <w:p w14:paraId="37C02CA8" w14:textId="5833C1C5" w:rsidR="000C73F3" w:rsidRPr="00AC41E0" w:rsidRDefault="0094412D" w:rsidP="00D4137E">
      <w:pPr>
        <w:pStyle w:val="Heading4"/>
        <w:tabs>
          <w:tab w:val="clear" w:pos="1588"/>
          <w:tab w:val="num" w:pos="1662"/>
        </w:tabs>
        <w:spacing w:before="0"/>
        <w:ind w:left="1662"/>
        <w:rPr>
          <w:rFonts w:ascii="Arial" w:hAnsi="Arial"/>
        </w:rPr>
      </w:pPr>
      <w:r w:rsidRPr="00AC41E0">
        <w:rPr>
          <w:rFonts w:ascii="Arial" w:hAnsi="Arial"/>
        </w:rPr>
        <w:lastRenderedPageBreak/>
        <w:t>Implementing privacy by design</w:t>
      </w:r>
      <w:r w:rsidR="004D333D" w:rsidRPr="00AC41E0">
        <w:rPr>
          <w:rFonts w:ascii="Arial" w:hAnsi="Arial"/>
        </w:rPr>
        <w:t xml:space="preserve"> </w:t>
      </w:r>
    </w:p>
    <w:p w14:paraId="13EF3C5E" w14:textId="48BCBFB4" w:rsidR="00A24B69" w:rsidRPr="00AC41E0" w:rsidRDefault="00A24B69" w:rsidP="00D4137E">
      <w:pPr>
        <w:pStyle w:val="DCSbodytext"/>
        <w:ind w:left="868"/>
      </w:pPr>
      <w:r w:rsidRPr="00AC41E0">
        <w:t>Mapping the way that data flows through your project</w:t>
      </w:r>
      <w:r w:rsidR="00CE001A" w:rsidRPr="00AC41E0">
        <w:t xml:space="preserve"> </w:t>
      </w:r>
      <w:r w:rsidR="005E3832" w:rsidRPr="00AC41E0">
        <w:t>–</w:t>
      </w:r>
      <w:r w:rsidR="00CE001A" w:rsidRPr="00AC41E0">
        <w:t xml:space="preserve"> </w:t>
      </w:r>
      <w:r w:rsidRPr="00AC41E0">
        <w:t>who holds it and how they handle it</w:t>
      </w:r>
      <w:r w:rsidR="00CE001A" w:rsidRPr="00AC41E0">
        <w:t xml:space="preserve"> </w:t>
      </w:r>
      <w:r w:rsidR="005E3832" w:rsidRPr="00AC41E0">
        <w:t>–</w:t>
      </w:r>
      <w:r w:rsidR="00CE001A" w:rsidRPr="00AC41E0">
        <w:t xml:space="preserve"> </w:t>
      </w:r>
      <w:r w:rsidRPr="00AC41E0">
        <w:t>can help you identify the privacy risks inherent in your project and implement privacy by design. I</w:t>
      </w:r>
      <w:r w:rsidRPr="00AC41E0">
        <w:rPr>
          <w:rFonts w:cs="Arial"/>
          <w:shd w:val="clear" w:color="auto" w:fill="FFFFFF"/>
        </w:rPr>
        <w:t>t is important to monitor the creation, use</w:t>
      </w:r>
      <w:r w:rsidR="00966D93" w:rsidRPr="00AC41E0">
        <w:rPr>
          <w:rFonts w:cs="Arial"/>
          <w:shd w:val="clear" w:color="auto" w:fill="FFFFFF"/>
        </w:rPr>
        <w:t>,</w:t>
      </w:r>
      <w:r w:rsidRPr="00AC41E0">
        <w:rPr>
          <w:rFonts w:cs="Arial"/>
          <w:shd w:val="clear" w:color="auto" w:fill="FFFFFF"/>
        </w:rPr>
        <w:t xml:space="preserve"> and access to data to ensure appropriate and secure usage</w:t>
      </w:r>
      <w:r w:rsidR="00172A91" w:rsidRPr="00AC41E0">
        <w:rPr>
          <w:rFonts w:cs="Arial"/>
          <w:shd w:val="clear" w:color="auto" w:fill="FFFFFF"/>
        </w:rPr>
        <w:t>, and to identify unexpected or nefarious patterns of use.</w:t>
      </w:r>
    </w:p>
    <w:p w14:paraId="17A87208" w14:textId="2A29F624" w:rsidR="000C73F3" w:rsidRPr="00AC41E0" w:rsidRDefault="006B660D" w:rsidP="00014C59">
      <w:pPr>
        <w:pStyle w:val="DCSbodytext"/>
        <w:spacing w:after="0"/>
        <w:ind w:left="868"/>
        <w:jc w:val="center"/>
        <w:rPr>
          <w:b/>
        </w:rPr>
      </w:pPr>
      <w:r w:rsidRPr="00AC41E0">
        <w:rPr>
          <w:b/>
        </w:rPr>
        <w:t>Data</w:t>
      </w:r>
      <w:r w:rsidR="000C73F3" w:rsidRPr="00AC41E0">
        <w:rPr>
          <w:b/>
        </w:rPr>
        <w:t xml:space="preserve"> </w:t>
      </w:r>
      <w:r w:rsidR="00546546" w:rsidRPr="00AC41E0">
        <w:rPr>
          <w:b/>
        </w:rPr>
        <w:t xml:space="preserve">project </w:t>
      </w:r>
      <w:r w:rsidR="000C73F3" w:rsidRPr="00AC41E0">
        <w:rPr>
          <w:b/>
        </w:rPr>
        <w:t>lifecycl</w:t>
      </w:r>
      <w:r w:rsidR="00CD6B1B" w:rsidRPr="00AC41E0">
        <w:rPr>
          <w:b/>
        </w:rPr>
        <w:t>e</w:t>
      </w:r>
    </w:p>
    <w:p w14:paraId="55236224" w14:textId="70F0AFBD" w:rsidR="00014C59" w:rsidRPr="00E46FB0" w:rsidRDefault="003C00CD" w:rsidP="00110CB8">
      <w:pPr>
        <w:ind w:left="74"/>
        <w:jc w:val="center"/>
        <w:rPr>
          <w:rFonts w:ascii="Arial" w:hAnsi="Arial" w:cs="Arial"/>
          <w:noProof/>
          <w:shd w:val="clear" w:color="auto" w:fill="FFFFFF"/>
        </w:rPr>
      </w:pPr>
      <w:r w:rsidRPr="00E46FB0">
        <w:rPr>
          <w:rFonts w:cs="Arial"/>
          <w:noProof/>
          <w:shd w:val="clear" w:color="auto" w:fill="FFFFFF"/>
        </w:rPr>
        <w:drawing>
          <wp:inline distT="0" distB="0" distL="0" distR="0" wp14:anchorId="5C92E830" wp14:editId="0944465B">
            <wp:extent cx="6120130" cy="1679938"/>
            <wp:effectExtent l="0" t="0" r="0" b="0"/>
            <wp:docPr id="63" name="Picture 63" descr="Monitoring should occur from the project planning stage until the use and maintai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6987"/>
                    <a:stretch/>
                  </pic:blipFill>
                  <pic:spPr bwMode="auto">
                    <a:xfrm>
                      <a:off x="0" y="0"/>
                      <a:ext cx="6120130" cy="1679938"/>
                    </a:xfrm>
                    <a:prstGeom prst="rect">
                      <a:avLst/>
                    </a:prstGeom>
                    <a:noFill/>
                    <a:ln>
                      <a:noFill/>
                    </a:ln>
                    <a:extLst>
                      <a:ext uri="{53640926-AAD7-44D8-BBD7-CCE9431645EC}">
                        <a14:shadowObscured xmlns:a14="http://schemas.microsoft.com/office/drawing/2010/main"/>
                      </a:ext>
                    </a:extLst>
                  </pic:spPr>
                </pic:pic>
              </a:graphicData>
            </a:graphic>
          </wp:inline>
        </w:drawing>
      </w:r>
    </w:p>
    <w:p w14:paraId="342B5507" w14:textId="61663CDD" w:rsidR="000C73F3" w:rsidRPr="00AC41E0" w:rsidRDefault="000C73F3" w:rsidP="00D4137E">
      <w:pPr>
        <w:ind w:left="74"/>
        <w:rPr>
          <w:rFonts w:ascii="Arial" w:hAnsi="Arial" w:cs="Arial"/>
        </w:rPr>
      </w:pPr>
    </w:p>
    <w:p w14:paraId="078EB2C8" w14:textId="55C59EA2" w:rsidR="00A61851" w:rsidRPr="00AC41E0" w:rsidRDefault="00E312E0" w:rsidP="00D4137E">
      <w:pPr>
        <w:pStyle w:val="DCSbodytext"/>
        <w:ind w:left="868"/>
      </w:pPr>
      <w:r w:rsidRPr="00AC41E0">
        <w:t xml:space="preserve">The table below sets out considerations </w:t>
      </w:r>
      <w:r w:rsidR="00C773B5" w:rsidRPr="00AC41E0">
        <w:t>for each stage</w:t>
      </w:r>
      <w:r w:rsidR="005005EC" w:rsidRPr="00AC41E0">
        <w:t xml:space="preserve"> of the </w:t>
      </w:r>
      <w:r w:rsidR="00ED0B76" w:rsidRPr="00AC41E0">
        <w:t>data</w:t>
      </w:r>
      <w:r w:rsidR="005005EC" w:rsidRPr="00AC41E0">
        <w:t xml:space="preserve"> </w:t>
      </w:r>
      <w:r w:rsidR="00AE609F" w:rsidRPr="00AC41E0">
        <w:t xml:space="preserve">project </w:t>
      </w:r>
      <w:r w:rsidR="005005EC" w:rsidRPr="00AC41E0">
        <w:t>lifecycle</w:t>
      </w:r>
      <w:r w:rsidR="006B276A" w:rsidRPr="00AC41E0">
        <w:t xml:space="preserve"> to help you implement privacy by design</w:t>
      </w:r>
      <w:r w:rsidR="00A61851" w:rsidRPr="00AC41E0">
        <w:t xml:space="preserve">. </w:t>
      </w:r>
    </w:p>
    <w:tbl>
      <w:tblPr>
        <w:tblStyle w:val="GridTable4-Accent1"/>
        <w:tblW w:w="0" w:type="auto"/>
        <w:tblInd w:w="794" w:type="dxa"/>
        <w:tblLook w:val="04A0" w:firstRow="1" w:lastRow="0" w:firstColumn="1" w:lastColumn="0" w:noHBand="0" w:noVBand="1"/>
      </w:tblPr>
      <w:tblGrid>
        <w:gridCol w:w="1753"/>
        <w:gridCol w:w="7081"/>
      </w:tblGrid>
      <w:tr w:rsidR="00885658" w:rsidRPr="00AC41E0" w14:paraId="01271DEE" w14:textId="77777777" w:rsidTr="00110C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1F497D" w:themeFill="text2"/>
          </w:tcPr>
          <w:p w14:paraId="6901EEA5" w14:textId="6CC05DBD" w:rsidR="00701258" w:rsidRPr="00AC41E0" w:rsidRDefault="006356E9" w:rsidP="00960F93">
            <w:pPr>
              <w:pStyle w:val="DCStableheading"/>
              <w:spacing w:after="120"/>
              <w:jc w:val="center"/>
              <w:rPr>
                <w:b/>
              </w:rPr>
            </w:pPr>
            <w:r w:rsidRPr="00AC41E0">
              <w:rPr>
                <w:b/>
              </w:rPr>
              <w:t>Data</w:t>
            </w:r>
            <w:r w:rsidR="003826D5" w:rsidRPr="00AC41E0">
              <w:rPr>
                <w:b/>
              </w:rPr>
              <w:t xml:space="preserve"> project</w:t>
            </w:r>
            <w:r w:rsidR="00701258" w:rsidRPr="00AC41E0">
              <w:rPr>
                <w:b/>
              </w:rPr>
              <w:t xml:space="preserve"> lifecycle</w:t>
            </w:r>
            <w:r w:rsidR="00A61851" w:rsidRPr="00AC41E0">
              <w:rPr>
                <w:b/>
              </w:rPr>
              <w:t xml:space="preserve"> stage</w:t>
            </w:r>
          </w:p>
        </w:tc>
        <w:tc>
          <w:tcPr>
            <w:tcW w:w="0" w:type="dxa"/>
            <w:tcBorders>
              <w:top w:val="single" w:sz="4" w:space="0" w:color="auto"/>
              <w:left w:val="single" w:sz="4" w:space="0" w:color="auto"/>
              <w:bottom w:val="single" w:sz="4" w:space="0" w:color="auto"/>
              <w:right w:val="single" w:sz="4" w:space="0" w:color="auto"/>
            </w:tcBorders>
            <w:shd w:val="clear" w:color="auto" w:fill="1F497D" w:themeFill="text2"/>
          </w:tcPr>
          <w:p w14:paraId="0A2D2668" w14:textId="46FCE603" w:rsidR="00701258" w:rsidRPr="00AC41E0" w:rsidRDefault="006356E9" w:rsidP="00960F93">
            <w:pPr>
              <w:pStyle w:val="DCStableheading"/>
              <w:spacing w:after="120"/>
              <w:jc w:val="center"/>
              <w:cnfStyle w:val="100000000000" w:firstRow="1" w:lastRow="0" w:firstColumn="0" w:lastColumn="0" w:oddVBand="0" w:evenVBand="0" w:oddHBand="0" w:evenHBand="0" w:firstRowFirstColumn="0" w:firstRowLastColumn="0" w:lastRowFirstColumn="0" w:lastRowLastColumn="0"/>
              <w:rPr>
                <w:b/>
              </w:rPr>
            </w:pPr>
            <w:r w:rsidRPr="00AC41E0">
              <w:rPr>
                <w:b/>
              </w:rPr>
              <w:t>Things</w:t>
            </w:r>
            <w:r w:rsidR="00701258" w:rsidRPr="00AC41E0">
              <w:rPr>
                <w:b/>
              </w:rPr>
              <w:t xml:space="preserve"> to consider</w:t>
            </w:r>
          </w:p>
        </w:tc>
      </w:tr>
      <w:tr w:rsidR="00381A5A" w:rsidRPr="00AC41E0" w14:paraId="3D04D3DA" w14:textId="77777777" w:rsidTr="00223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dxa"/>
            <w:tcBorders>
              <w:top w:val="single" w:sz="4" w:space="0" w:color="auto"/>
            </w:tcBorders>
          </w:tcPr>
          <w:p w14:paraId="57DD3B5C" w14:textId="7F4E2070" w:rsidR="00381A5A" w:rsidRPr="00AC41E0" w:rsidRDefault="00381A5A" w:rsidP="00960F93">
            <w:pPr>
              <w:pStyle w:val="DCSbodytext"/>
              <w:spacing w:after="120"/>
              <w:ind w:left="0"/>
            </w:pPr>
            <w:r w:rsidRPr="00AC41E0">
              <w:t>Understand</w:t>
            </w:r>
          </w:p>
        </w:tc>
        <w:tc>
          <w:tcPr>
            <w:tcW w:w="7081" w:type="dxa"/>
            <w:tcBorders>
              <w:top w:val="single" w:sz="4" w:space="0" w:color="auto"/>
            </w:tcBorders>
          </w:tcPr>
          <w:p w14:paraId="5D3B0A3E" w14:textId="72798775" w:rsidR="00381A5A" w:rsidRPr="00AC41E0" w:rsidRDefault="00BC55C6" w:rsidP="00D978A4">
            <w:pPr>
              <w:pStyle w:val="DCSbodytext"/>
              <w:numPr>
                <w:ilvl w:val="0"/>
                <w:numId w:val="92"/>
              </w:numPr>
              <w:spacing w:after="120"/>
              <w:cnfStyle w:val="000000100000" w:firstRow="0" w:lastRow="0" w:firstColumn="0" w:lastColumn="0" w:oddVBand="0" w:evenVBand="0" w:oddHBand="1" w:evenHBand="0" w:firstRowFirstColumn="0" w:firstRowLastColumn="0" w:lastRowFirstColumn="0" w:lastRowLastColumn="0"/>
            </w:pPr>
            <w:r w:rsidRPr="00AC41E0">
              <w:t xml:space="preserve">Know the </w:t>
            </w:r>
            <w:r w:rsidR="00DF072D" w:rsidRPr="00AC41E0">
              <w:t>business outcome you want to achieve</w:t>
            </w:r>
            <w:r w:rsidR="002B6464" w:rsidRPr="00AC41E0">
              <w:t>. T</w:t>
            </w:r>
            <w:r w:rsidR="00644B9A" w:rsidRPr="00AC41E0">
              <w:t xml:space="preserve">his </w:t>
            </w:r>
            <w:r w:rsidR="000846A0" w:rsidRPr="00AC41E0">
              <w:t xml:space="preserve">will </w:t>
            </w:r>
            <w:r w:rsidR="00DF072D" w:rsidRPr="00AC41E0">
              <w:t>determine the data you need</w:t>
            </w:r>
            <w:r w:rsidR="00534D26" w:rsidRPr="00AC41E0">
              <w:t>.</w:t>
            </w:r>
          </w:p>
        </w:tc>
      </w:tr>
      <w:tr w:rsidR="00885658" w:rsidRPr="00AC41E0" w14:paraId="4F0A2D66" w14:textId="77777777" w:rsidTr="0022369F">
        <w:tc>
          <w:tcPr>
            <w:cnfStyle w:val="001000000000" w:firstRow="0" w:lastRow="0" w:firstColumn="1" w:lastColumn="0" w:oddVBand="0" w:evenVBand="0" w:oddHBand="0" w:evenHBand="0" w:firstRowFirstColumn="0" w:firstRowLastColumn="0" w:lastRowFirstColumn="0" w:lastRowLastColumn="0"/>
            <w:tcW w:w="1753" w:type="dxa"/>
          </w:tcPr>
          <w:p w14:paraId="54B3E523" w14:textId="4340506A" w:rsidR="00701258" w:rsidRPr="00AC41E0" w:rsidRDefault="006356E9" w:rsidP="00960F93">
            <w:pPr>
              <w:pStyle w:val="DCSbodytext"/>
              <w:spacing w:after="120"/>
              <w:ind w:left="0"/>
            </w:pPr>
            <w:r w:rsidRPr="00AC41E0">
              <w:t>Design</w:t>
            </w:r>
          </w:p>
        </w:tc>
        <w:tc>
          <w:tcPr>
            <w:tcW w:w="7081" w:type="dxa"/>
          </w:tcPr>
          <w:p w14:paraId="1CD0A561" w14:textId="5C7928BA" w:rsidR="006D7A29" w:rsidRPr="00AC41E0" w:rsidRDefault="00D343F9" w:rsidP="00D978A4">
            <w:pPr>
              <w:pStyle w:val="DCSbodytext"/>
              <w:numPr>
                <w:ilvl w:val="0"/>
                <w:numId w:val="92"/>
              </w:numPr>
              <w:spacing w:after="120"/>
              <w:cnfStyle w:val="000000000000" w:firstRow="0" w:lastRow="0" w:firstColumn="0" w:lastColumn="0" w:oddVBand="0" w:evenVBand="0" w:oddHBand="0" w:evenHBand="0" w:firstRowFirstColumn="0" w:firstRowLastColumn="0" w:lastRowFirstColumn="0" w:lastRowLastColumn="0"/>
            </w:pPr>
            <w:r w:rsidRPr="00AC41E0">
              <w:t>Consider</w:t>
            </w:r>
            <w:r w:rsidR="006D7A29" w:rsidRPr="00AC41E0">
              <w:t xml:space="preserve"> IoT within the context of the NSW and Commonwealth Privacy, surveillance and information access laws</w:t>
            </w:r>
            <w:r w:rsidR="003A0877" w:rsidRPr="00AC41E0">
              <w:t>.</w:t>
            </w:r>
          </w:p>
          <w:p w14:paraId="27D2F018" w14:textId="77777777" w:rsidR="00CE6A0C" w:rsidRPr="00AC41E0" w:rsidRDefault="000C695A" w:rsidP="00D978A4">
            <w:pPr>
              <w:pStyle w:val="DCSbodytext"/>
              <w:numPr>
                <w:ilvl w:val="0"/>
                <w:numId w:val="92"/>
              </w:numPr>
              <w:spacing w:after="120"/>
              <w:cnfStyle w:val="000000000000" w:firstRow="0" w:lastRow="0" w:firstColumn="0" w:lastColumn="0" w:oddVBand="0" w:evenVBand="0" w:oddHBand="0" w:evenHBand="0" w:firstRowFirstColumn="0" w:firstRowLastColumn="0" w:lastRowFirstColumn="0" w:lastRowLastColumn="0"/>
            </w:pPr>
            <w:r w:rsidRPr="00AC41E0">
              <w:t>Check your</w:t>
            </w:r>
            <w:r w:rsidR="009422E1" w:rsidRPr="00AC41E0">
              <w:t xml:space="preserve"> organisation</w:t>
            </w:r>
            <w:r w:rsidRPr="00AC41E0">
              <w:t xml:space="preserve">’s </w:t>
            </w:r>
            <w:r w:rsidR="009422E1" w:rsidRPr="00AC41E0">
              <w:t>privacy management plan</w:t>
            </w:r>
            <w:r w:rsidR="00C11038" w:rsidRPr="00AC41E0">
              <w:t>.</w:t>
            </w:r>
          </w:p>
          <w:p w14:paraId="70C1791A" w14:textId="77777777" w:rsidR="000A0F29" w:rsidRPr="00AC41E0" w:rsidRDefault="000A0F29" w:rsidP="00D978A4">
            <w:pPr>
              <w:pStyle w:val="DCSbodytext"/>
              <w:numPr>
                <w:ilvl w:val="0"/>
                <w:numId w:val="92"/>
              </w:numPr>
              <w:spacing w:after="120"/>
              <w:cnfStyle w:val="000000000000" w:firstRow="0" w:lastRow="0" w:firstColumn="0" w:lastColumn="0" w:oddVBand="0" w:evenVBand="0" w:oddHBand="0" w:evenHBand="0" w:firstRowFirstColumn="0" w:firstRowLastColumn="0" w:lastRowFirstColumn="0" w:lastRowLastColumn="0"/>
            </w:pPr>
            <w:r w:rsidRPr="00AC41E0">
              <w:t xml:space="preserve">Conduct a </w:t>
            </w:r>
            <w:hyperlink w:anchor="_Privacy_Impact_Assessment_1" w:history="1">
              <w:r w:rsidRPr="00AC41E0">
                <w:rPr>
                  <w:rStyle w:val="Hyperlink"/>
                </w:rPr>
                <w:t>Privacy Impact Assessment</w:t>
              </w:r>
            </w:hyperlink>
            <w:r w:rsidRPr="00E46FB0">
              <w:t xml:space="preserve"> if personal information is involved.</w:t>
            </w:r>
          </w:p>
          <w:p w14:paraId="2B24FD08" w14:textId="77777777" w:rsidR="00290BDA" w:rsidRPr="00AC41E0" w:rsidRDefault="002802C9" w:rsidP="00D978A4">
            <w:pPr>
              <w:pStyle w:val="DCSbodytext"/>
              <w:numPr>
                <w:ilvl w:val="0"/>
                <w:numId w:val="92"/>
              </w:numPr>
              <w:spacing w:after="120"/>
              <w:cnfStyle w:val="000000000000" w:firstRow="0" w:lastRow="0" w:firstColumn="0" w:lastColumn="0" w:oddVBand="0" w:evenVBand="0" w:oddHBand="0" w:evenHBand="0" w:firstRowFirstColumn="0" w:firstRowLastColumn="0" w:lastRowFirstColumn="0" w:lastRowLastColumn="0"/>
            </w:pPr>
            <w:r w:rsidRPr="00AC41E0">
              <w:t>M</w:t>
            </w:r>
            <w:r w:rsidR="00C91338" w:rsidRPr="00AC41E0">
              <w:t xml:space="preserve">inimise acquisition of personal </w:t>
            </w:r>
            <w:r w:rsidR="00575BEE" w:rsidRPr="00AC41E0">
              <w:t>information</w:t>
            </w:r>
            <w:r w:rsidR="00C91338" w:rsidRPr="00AC41E0">
              <w:t>.</w:t>
            </w:r>
            <w:r w:rsidR="00741BBF" w:rsidRPr="00AC41E0">
              <w:t xml:space="preserve"> </w:t>
            </w:r>
          </w:p>
          <w:p w14:paraId="1D3B3B3D" w14:textId="37961DBA" w:rsidR="00741BBF" w:rsidRPr="00AC41E0" w:rsidRDefault="002A0258" w:rsidP="00D978A4">
            <w:pPr>
              <w:pStyle w:val="DCSbodytext"/>
              <w:numPr>
                <w:ilvl w:val="0"/>
                <w:numId w:val="92"/>
              </w:numPr>
              <w:spacing w:after="120"/>
              <w:cnfStyle w:val="000000000000" w:firstRow="0" w:lastRow="0" w:firstColumn="0" w:lastColumn="0" w:oddVBand="0" w:evenVBand="0" w:oddHBand="0" w:evenHBand="0" w:firstRowFirstColumn="0" w:firstRowLastColumn="0" w:lastRowFirstColumn="0" w:lastRowLastColumn="0"/>
            </w:pPr>
            <w:r w:rsidRPr="00AC41E0">
              <w:t>If you need to collect personal information, i</w:t>
            </w:r>
            <w:r w:rsidR="00741BBF" w:rsidRPr="00AC41E0">
              <w:t>dentify the minimum number of data types</w:t>
            </w:r>
            <w:r w:rsidRPr="00AC41E0">
              <w:t xml:space="preserve">, </w:t>
            </w:r>
            <w:r w:rsidR="00741BBF" w:rsidRPr="00AC41E0">
              <w:t xml:space="preserve">minimum data collection frequency </w:t>
            </w:r>
            <w:r w:rsidRPr="00AC41E0">
              <w:t>and</w:t>
            </w:r>
            <w:r w:rsidR="00741BBF" w:rsidRPr="00AC41E0">
              <w:t xml:space="preserve"> the minimum duration of data collection needed to achieve business objectives.</w:t>
            </w:r>
          </w:p>
          <w:p w14:paraId="49E5D3F0" w14:textId="454D9EE4" w:rsidR="00701258" w:rsidRPr="00AC41E0" w:rsidRDefault="00FB2037" w:rsidP="00D978A4">
            <w:pPr>
              <w:pStyle w:val="DCSbodytext"/>
              <w:numPr>
                <w:ilvl w:val="0"/>
                <w:numId w:val="92"/>
              </w:numPr>
              <w:spacing w:after="120"/>
              <w:cnfStyle w:val="000000000000" w:firstRow="0" w:lastRow="0" w:firstColumn="0" w:lastColumn="0" w:oddVBand="0" w:evenVBand="0" w:oddHBand="0" w:evenHBand="0" w:firstRowFirstColumn="0" w:firstRowLastColumn="0" w:lastRowFirstColumn="0" w:lastRowLastColumn="0"/>
            </w:pPr>
            <w:r w:rsidRPr="00AC41E0">
              <w:t>Determine</w:t>
            </w:r>
            <w:r w:rsidR="00815BBF" w:rsidRPr="00AC41E0">
              <w:t xml:space="preserve"> how you will notify </w:t>
            </w:r>
            <w:r w:rsidR="00701258" w:rsidRPr="00AC41E0">
              <w:t>participants you are collecting their personal information</w:t>
            </w:r>
            <w:r w:rsidR="00F415AB" w:rsidRPr="00AC41E0">
              <w:t>. If you need their consent,</w:t>
            </w:r>
            <w:r w:rsidRPr="00AC41E0">
              <w:t xml:space="preserve"> </w:t>
            </w:r>
            <w:r w:rsidR="0074453F" w:rsidRPr="00AC41E0">
              <w:t>determine</w:t>
            </w:r>
            <w:r w:rsidRPr="00AC41E0">
              <w:t xml:space="preserve"> how consent will be obtained.</w:t>
            </w:r>
          </w:p>
          <w:p w14:paraId="6BAFD67C" w14:textId="2FFFEF38" w:rsidR="001F7745" w:rsidRPr="00AC41E0" w:rsidRDefault="001F7745" w:rsidP="00D978A4">
            <w:pPr>
              <w:pStyle w:val="DCSbodytext"/>
              <w:numPr>
                <w:ilvl w:val="0"/>
                <w:numId w:val="92"/>
              </w:numPr>
              <w:spacing w:after="120"/>
              <w:cnfStyle w:val="000000000000" w:firstRow="0" w:lastRow="0" w:firstColumn="0" w:lastColumn="0" w:oddVBand="0" w:evenVBand="0" w:oddHBand="0" w:evenHBand="0" w:firstRowFirstColumn="0" w:firstRowLastColumn="0" w:lastRowFirstColumn="0" w:lastRowLastColumn="0"/>
            </w:pPr>
            <w:r w:rsidRPr="00AC41E0">
              <w:t>Successful IoT initiatives usually involve a combination of hardware, software, and connectivity, which is then</w:t>
            </w:r>
            <w:r w:rsidR="00D87A98" w:rsidRPr="00AC41E0">
              <w:t xml:space="preserve"> tied</w:t>
            </w:r>
            <w:r w:rsidRPr="00AC41E0">
              <w:t xml:space="preserve"> into business processes and operations. Data needs to flow, be added to, interpreted and then potentially flow back through this loop to trigger action. Understand this data flow</w:t>
            </w:r>
            <w:r w:rsidR="00ED024F" w:rsidRPr="00AC41E0">
              <w:t xml:space="preserve"> and</w:t>
            </w:r>
            <w:r w:rsidRPr="00AC41E0">
              <w:t xml:space="preserve"> be clear </w:t>
            </w:r>
            <w:r w:rsidR="00ED024F" w:rsidRPr="00AC41E0">
              <w:t>about</w:t>
            </w:r>
            <w:r w:rsidRPr="00AC41E0">
              <w:t xml:space="preserve"> your data ownership and use rights in all elements of this flow. </w:t>
            </w:r>
          </w:p>
          <w:p w14:paraId="146A59F8" w14:textId="7680FF29" w:rsidR="00E53FF6" w:rsidRPr="00AC41E0" w:rsidRDefault="00E53FF6" w:rsidP="001871F3">
            <w:pPr>
              <w:pStyle w:val="DCSbodytext"/>
              <w:spacing w:after="120"/>
              <w:ind w:left="0"/>
              <w:cnfStyle w:val="000000000000" w:firstRow="0" w:lastRow="0" w:firstColumn="0" w:lastColumn="0" w:oddVBand="0" w:evenVBand="0" w:oddHBand="0" w:evenHBand="0" w:firstRowFirstColumn="0" w:firstRowLastColumn="0" w:lastRowFirstColumn="0" w:lastRowLastColumn="0"/>
            </w:pPr>
            <w:r w:rsidRPr="00AC41E0">
              <w:lastRenderedPageBreak/>
              <w:t xml:space="preserve">See also </w:t>
            </w:r>
            <w:hyperlink w:anchor="_Data_needs_assessment_1" w:history="1">
              <w:r w:rsidR="007C78A4" w:rsidRPr="00AC41E0">
                <w:rPr>
                  <w:rStyle w:val="Hyperlink"/>
                </w:rPr>
                <w:t>Chapter 3.3 D</w:t>
              </w:r>
              <w:r w:rsidR="00732DAE" w:rsidRPr="00AC41E0">
                <w:rPr>
                  <w:rStyle w:val="Hyperlink"/>
                </w:rPr>
                <w:t>ata needs assessment</w:t>
              </w:r>
            </w:hyperlink>
            <w:r w:rsidRPr="00E46FB0">
              <w:t>.</w:t>
            </w:r>
          </w:p>
        </w:tc>
      </w:tr>
      <w:tr w:rsidR="008814EA" w:rsidRPr="00AC41E0" w14:paraId="1D28EF0D" w14:textId="77777777" w:rsidTr="00223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dxa"/>
          </w:tcPr>
          <w:p w14:paraId="32041246" w14:textId="1DE40761" w:rsidR="008814EA" w:rsidRPr="00AC41E0" w:rsidRDefault="008814EA" w:rsidP="00960F93">
            <w:pPr>
              <w:pStyle w:val="DCSbodytext"/>
              <w:spacing w:after="120"/>
              <w:ind w:left="0"/>
            </w:pPr>
            <w:r w:rsidRPr="00AC41E0">
              <w:lastRenderedPageBreak/>
              <w:t>Procure</w:t>
            </w:r>
          </w:p>
        </w:tc>
        <w:tc>
          <w:tcPr>
            <w:tcW w:w="7081" w:type="dxa"/>
          </w:tcPr>
          <w:p w14:paraId="613DDBDF" w14:textId="4D9BC075" w:rsidR="008814EA" w:rsidRPr="00AC41E0" w:rsidRDefault="00BA1A23" w:rsidP="001871F3">
            <w:pPr>
              <w:pStyle w:val="DCSbodytext"/>
              <w:spacing w:after="120"/>
              <w:ind w:left="0"/>
              <w:cnfStyle w:val="000000100000" w:firstRow="0" w:lastRow="0" w:firstColumn="0" w:lastColumn="0" w:oddVBand="0" w:evenVBand="0" w:oddHBand="1" w:evenHBand="0" w:firstRowFirstColumn="0" w:firstRowLastColumn="0" w:lastRowFirstColumn="0" w:lastRowLastColumn="0"/>
            </w:pPr>
            <w:r w:rsidRPr="00AC41E0">
              <w:t xml:space="preserve">See </w:t>
            </w:r>
            <w:hyperlink w:anchor="_Data_considerations_for_3" w:history="1">
              <w:r w:rsidR="007C78A4" w:rsidRPr="00AC41E0">
                <w:rPr>
                  <w:rStyle w:val="Hyperlink"/>
                  <w:rFonts w:cs="Arial"/>
                </w:rPr>
                <w:t>C</w:t>
              </w:r>
              <w:r w:rsidR="000F3CA4" w:rsidRPr="00AC41E0">
                <w:rPr>
                  <w:rStyle w:val="Hyperlink"/>
                  <w:rFonts w:cs="Arial"/>
                </w:rPr>
                <w:t>hapter 5.2 Data considerations for contracting</w:t>
              </w:r>
            </w:hyperlink>
            <w:r w:rsidRPr="00E46FB0">
              <w:t>.</w:t>
            </w:r>
          </w:p>
        </w:tc>
      </w:tr>
      <w:tr w:rsidR="00885658" w:rsidRPr="00AC41E0" w14:paraId="7BA6AA75" w14:textId="77777777" w:rsidTr="0022369F">
        <w:tc>
          <w:tcPr>
            <w:cnfStyle w:val="001000000000" w:firstRow="0" w:lastRow="0" w:firstColumn="1" w:lastColumn="0" w:oddVBand="0" w:evenVBand="0" w:oddHBand="0" w:evenHBand="0" w:firstRowFirstColumn="0" w:firstRowLastColumn="0" w:lastRowFirstColumn="0" w:lastRowLastColumn="0"/>
            <w:tcW w:w="1753" w:type="dxa"/>
          </w:tcPr>
          <w:p w14:paraId="547C85A2" w14:textId="68F87E52" w:rsidR="00701258" w:rsidRPr="00AC41E0" w:rsidRDefault="008814EA" w:rsidP="00960F93">
            <w:pPr>
              <w:pStyle w:val="DCSbodytext"/>
              <w:spacing w:after="120"/>
              <w:ind w:left="0"/>
            </w:pPr>
            <w:r w:rsidRPr="00AC41E0">
              <w:t xml:space="preserve">Collect &amp; </w:t>
            </w:r>
            <w:r w:rsidR="00A61851" w:rsidRPr="00AC41E0">
              <w:t>Store</w:t>
            </w:r>
          </w:p>
        </w:tc>
        <w:tc>
          <w:tcPr>
            <w:tcW w:w="7081" w:type="dxa"/>
          </w:tcPr>
          <w:p w14:paraId="61FFA67C" w14:textId="26D48577" w:rsidR="00717D93" w:rsidRPr="00AC41E0" w:rsidRDefault="00396892" w:rsidP="00D978A4">
            <w:pPr>
              <w:pStyle w:val="DCSbodytext"/>
              <w:numPr>
                <w:ilvl w:val="0"/>
                <w:numId w:val="93"/>
              </w:numPr>
              <w:spacing w:after="120"/>
              <w:cnfStyle w:val="000000000000" w:firstRow="0" w:lastRow="0" w:firstColumn="0" w:lastColumn="0" w:oddVBand="0" w:evenVBand="0" w:oddHBand="0" w:evenHBand="0" w:firstRowFirstColumn="0" w:firstRowLastColumn="0" w:lastRowFirstColumn="0" w:lastRowLastColumn="0"/>
            </w:pPr>
            <w:r w:rsidRPr="00AC41E0">
              <w:t xml:space="preserve">Minimise the data you collect. Only collect what you need, and do not collect personal information if you do not require it. </w:t>
            </w:r>
            <w:r w:rsidR="00717D93" w:rsidRPr="00AC41E0">
              <w:t xml:space="preserve">Avoid collecting </w:t>
            </w:r>
            <w:r w:rsidR="00966D93" w:rsidRPr="00AC41E0">
              <w:t>fine-</w:t>
            </w:r>
            <w:r w:rsidR="00717D93" w:rsidRPr="00AC41E0">
              <w:t xml:space="preserve">grain data that identifies specific detail like a residential address. Instead collect low grain data, like a street, suburb or postcode. </w:t>
            </w:r>
          </w:p>
          <w:p w14:paraId="61D64748" w14:textId="77777777" w:rsidR="00555462" w:rsidRPr="00AC41E0" w:rsidRDefault="00555462" w:rsidP="00D978A4">
            <w:pPr>
              <w:pStyle w:val="DCSbodytext"/>
              <w:numPr>
                <w:ilvl w:val="0"/>
                <w:numId w:val="93"/>
              </w:numPr>
              <w:spacing w:after="120"/>
              <w:cnfStyle w:val="000000000000" w:firstRow="0" w:lastRow="0" w:firstColumn="0" w:lastColumn="0" w:oddVBand="0" w:evenVBand="0" w:oddHBand="0" w:evenHBand="0" w:firstRowFirstColumn="0" w:firstRowLastColumn="0" w:lastRowFirstColumn="0" w:lastRowLastColumn="0"/>
            </w:pPr>
            <w:r w:rsidRPr="00AC41E0">
              <w:t>De-identify data where possible.</w:t>
            </w:r>
          </w:p>
          <w:p w14:paraId="19E24EC7" w14:textId="77777777" w:rsidR="00AE26EA" w:rsidRPr="00AC41E0" w:rsidRDefault="00AE26EA" w:rsidP="00D978A4">
            <w:pPr>
              <w:pStyle w:val="DCSbodytext"/>
              <w:numPr>
                <w:ilvl w:val="0"/>
                <w:numId w:val="93"/>
              </w:numPr>
              <w:spacing w:after="120"/>
              <w:cnfStyle w:val="000000000000" w:firstRow="0" w:lastRow="0" w:firstColumn="0" w:lastColumn="0" w:oddVBand="0" w:evenVBand="0" w:oddHBand="0" w:evenHBand="0" w:firstRowFirstColumn="0" w:firstRowLastColumn="0" w:lastRowFirstColumn="0" w:lastRowLastColumn="0"/>
            </w:pPr>
            <w:r w:rsidRPr="00AC41E0">
              <w:t>Inform stakeholders and the public if you are collecting their data, why you are collecting it, and provide assurance that it will be used only for that purpose.</w:t>
            </w:r>
          </w:p>
          <w:p w14:paraId="3F90BFDC" w14:textId="209F4FD0" w:rsidR="00AE26EA" w:rsidRPr="00AC41E0" w:rsidRDefault="00AE26EA" w:rsidP="00D978A4">
            <w:pPr>
              <w:pStyle w:val="DCSbodytext"/>
              <w:numPr>
                <w:ilvl w:val="0"/>
                <w:numId w:val="93"/>
              </w:numPr>
              <w:spacing w:after="120"/>
              <w:cnfStyle w:val="000000000000" w:firstRow="0" w:lastRow="0" w:firstColumn="0" w:lastColumn="0" w:oddVBand="0" w:evenVBand="0" w:oddHBand="0" w:evenHBand="0" w:firstRowFirstColumn="0" w:firstRowLastColumn="0" w:lastRowFirstColumn="0" w:lastRowLastColumn="0"/>
            </w:pPr>
            <w:r w:rsidRPr="00AC41E0">
              <w:t>Separate your data sources so they are not all connected. Connecting data sources may identify additional data or create new information.</w:t>
            </w:r>
          </w:p>
          <w:p w14:paraId="503D92C8" w14:textId="465073E7" w:rsidR="00701258" w:rsidRPr="00AC41E0" w:rsidRDefault="00701258" w:rsidP="00D978A4">
            <w:pPr>
              <w:pStyle w:val="DCSbodytext"/>
              <w:numPr>
                <w:ilvl w:val="0"/>
                <w:numId w:val="93"/>
              </w:numPr>
              <w:spacing w:after="120"/>
              <w:cnfStyle w:val="000000000000" w:firstRow="0" w:lastRow="0" w:firstColumn="0" w:lastColumn="0" w:oddVBand="0" w:evenVBand="0" w:oddHBand="0" w:evenHBand="0" w:firstRowFirstColumn="0" w:firstRowLastColumn="0" w:lastRowFirstColumn="0" w:lastRowLastColumn="0"/>
            </w:pPr>
            <w:r w:rsidRPr="00AC41E0">
              <w:t xml:space="preserve">If there is a requirement for physical storage, </w:t>
            </w:r>
            <w:r w:rsidR="00E56B9C" w:rsidRPr="00AC41E0">
              <w:t>consider the</w:t>
            </w:r>
            <w:r w:rsidRPr="00AC41E0">
              <w:t xml:space="preserve"> kind of physical storage medium you </w:t>
            </w:r>
            <w:r w:rsidR="00E379BD" w:rsidRPr="00AC41E0">
              <w:t xml:space="preserve">will </w:t>
            </w:r>
            <w:r w:rsidRPr="00AC41E0">
              <w:t xml:space="preserve">use and how </w:t>
            </w:r>
            <w:r w:rsidR="00E051DC" w:rsidRPr="00AC41E0">
              <w:t xml:space="preserve">you will protect it </w:t>
            </w:r>
            <w:r w:rsidRPr="00AC41E0">
              <w:t>from loss or misuse</w:t>
            </w:r>
            <w:r w:rsidR="00E56B9C" w:rsidRPr="00AC41E0">
              <w:t>.</w:t>
            </w:r>
          </w:p>
          <w:p w14:paraId="35DA8257" w14:textId="4210FD86" w:rsidR="00B32E0D" w:rsidRPr="00AC41E0" w:rsidRDefault="00B32E0D" w:rsidP="00D978A4">
            <w:pPr>
              <w:pStyle w:val="DCSbodytext"/>
              <w:numPr>
                <w:ilvl w:val="0"/>
                <w:numId w:val="93"/>
              </w:numPr>
              <w:spacing w:after="120"/>
              <w:cnfStyle w:val="000000000000" w:firstRow="0" w:lastRow="0" w:firstColumn="0" w:lastColumn="0" w:oddVBand="0" w:evenVBand="0" w:oddHBand="0" w:evenHBand="0" w:firstRowFirstColumn="0" w:firstRowLastColumn="0" w:lastRowFirstColumn="0" w:lastRowLastColumn="0"/>
            </w:pPr>
            <w:r w:rsidRPr="00AC41E0">
              <w:t>Control who has access to the data, provide personal logins and log who has access to the data. Consider having various levels of access, review all outputs for potential derived or inferred reidentification. Appoint a data custodian specific responsibility for applying these strategies. This could be at an organisational, program or project level.</w:t>
            </w:r>
          </w:p>
          <w:p w14:paraId="481F810D" w14:textId="6C7CDD28" w:rsidR="00781626" w:rsidRPr="00AC41E0" w:rsidRDefault="005E4015" w:rsidP="00D978A4">
            <w:pPr>
              <w:pStyle w:val="DCSbodytext"/>
              <w:numPr>
                <w:ilvl w:val="0"/>
                <w:numId w:val="93"/>
              </w:numPr>
              <w:spacing w:after="120"/>
              <w:cnfStyle w:val="000000000000" w:firstRow="0" w:lastRow="0" w:firstColumn="0" w:lastColumn="0" w:oddVBand="0" w:evenVBand="0" w:oddHBand="0" w:evenHBand="0" w:firstRowFirstColumn="0" w:firstRowLastColumn="0" w:lastRowFirstColumn="0" w:lastRowLastColumn="0"/>
            </w:pPr>
            <w:r w:rsidRPr="00AC41E0">
              <w:t xml:space="preserve">Enforce the rules of access and </w:t>
            </w:r>
            <w:r w:rsidR="000772F4" w:rsidRPr="00AC41E0">
              <w:t xml:space="preserve">apply </w:t>
            </w:r>
            <w:r w:rsidRPr="00AC41E0">
              <w:t>your Privacy Impact Assessment and management framework. Implement audit mechanisms to verify that only authorised users are accessing data and for authorised purposes.</w:t>
            </w:r>
          </w:p>
        </w:tc>
      </w:tr>
      <w:tr w:rsidR="00885658" w:rsidRPr="00AC41E0" w14:paraId="1E308D97" w14:textId="77777777" w:rsidTr="00223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dxa"/>
          </w:tcPr>
          <w:p w14:paraId="43E6496F" w14:textId="427BE00F" w:rsidR="00701258" w:rsidRPr="00AC41E0" w:rsidRDefault="00A61851" w:rsidP="00960F93">
            <w:pPr>
              <w:pStyle w:val="DCSbodytext"/>
              <w:spacing w:after="120"/>
              <w:ind w:left="0"/>
            </w:pPr>
            <w:r w:rsidRPr="00AC41E0">
              <w:t>Use</w:t>
            </w:r>
            <w:r w:rsidR="008814EA" w:rsidRPr="00AC41E0">
              <w:t xml:space="preserve"> &amp; Share</w:t>
            </w:r>
          </w:p>
        </w:tc>
        <w:tc>
          <w:tcPr>
            <w:tcW w:w="7081" w:type="dxa"/>
          </w:tcPr>
          <w:p w14:paraId="751BB21A" w14:textId="601E1E02" w:rsidR="0092646A" w:rsidRPr="00AC41E0" w:rsidRDefault="00B50059" w:rsidP="00D978A4">
            <w:pPr>
              <w:pStyle w:val="DCSbodytext"/>
              <w:numPr>
                <w:ilvl w:val="0"/>
                <w:numId w:val="91"/>
              </w:numPr>
              <w:spacing w:after="120"/>
              <w:ind w:left="360"/>
              <w:cnfStyle w:val="000000100000" w:firstRow="0" w:lastRow="0" w:firstColumn="0" w:lastColumn="0" w:oddVBand="0" w:evenVBand="0" w:oddHBand="1" w:evenHBand="0" w:firstRowFirstColumn="0" w:firstRowLastColumn="0" w:lastRowFirstColumn="0" w:lastRowLastColumn="0"/>
            </w:pPr>
            <w:r w:rsidRPr="00AC41E0">
              <w:t xml:space="preserve">Display </w:t>
            </w:r>
            <w:r w:rsidR="0092646A" w:rsidRPr="00AC41E0">
              <w:t xml:space="preserve">an up to date </w:t>
            </w:r>
            <w:r w:rsidR="00934117" w:rsidRPr="00AC41E0">
              <w:t>P</w:t>
            </w:r>
            <w:r w:rsidR="0092646A" w:rsidRPr="00AC41E0">
              <w:t xml:space="preserve">rivacy </w:t>
            </w:r>
            <w:r w:rsidR="00934117" w:rsidRPr="00AC41E0">
              <w:t>C</w:t>
            </w:r>
            <w:r w:rsidR="0092646A" w:rsidRPr="00AC41E0">
              <w:t xml:space="preserve">ollection </w:t>
            </w:r>
            <w:r w:rsidR="00934117" w:rsidRPr="00AC41E0">
              <w:t>S</w:t>
            </w:r>
            <w:r w:rsidR="0092646A" w:rsidRPr="00AC41E0">
              <w:t>tatement on your website and/or within the physical area that you are using sensors to collect data</w:t>
            </w:r>
            <w:r w:rsidR="007E2CDB" w:rsidRPr="00AC41E0">
              <w:t>.</w:t>
            </w:r>
          </w:p>
          <w:p w14:paraId="3CB7607A" w14:textId="51A27B75" w:rsidR="00701258" w:rsidRPr="00AC41E0" w:rsidRDefault="003538BB" w:rsidP="00D978A4">
            <w:pPr>
              <w:pStyle w:val="DCSbodytext"/>
              <w:numPr>
                <w:ilvl w:val="0"/>
                <w:numId w:val="91"/>
              </w:numPr>
              <w:spacing w:after="120"/>
              <w:ind w:left="360"/>
              <w:cnfStyle w:val="000000100000" w:firstRow="0" w:lastRow="0" w:firstColumn="0" w:lastColumn="0" w:oddVBand="0" w:evenVBand="0" w:oddHBand="1" w:evenHBand="0" w:firstRowFirstColumn="0" w:firstRowLastColumn="0" w:lastRowFirstColumn="0" w:lastRowLastColumn="0"/>
            </w:pPr>
            <w:r w:rsidRPr="00AC41E0">
              <w:t xml:space="preserve">Use </w:t>
            </w:r>
            <w:r w:rsidR="00701258" w:rsidRPr="00AC41E0">
              <w:t>personal information</w:t>
            </w:r>
            <w:r w:rsidR="000B5995" w:rsidRPr="00AC41E0">
              <w:t xml:space="preserve"> </w:t>
            </w:r>
            <w:r w:rsidR="00701258" w:rsidRPr="00AC41E0">
              <w:t>for the primary purpose for which</w:t>
            </w:r>
            <w:r w:rsidR="00E75BCE" w:rsidRPr="00AC41E0">
              <w:t xml:space="preserve"> it</w:t>
            </w:r>
            <w:r w:rsidR="00701258" w:rsidRPr="00AC41E0">
              <w:t xml:space="preserve"> was collected</w:t>
            </w:r>
            <w:r w:rsidR="00E75BCE" w:rsidRPr="00AC41E0">
              <w:t>.</w:t>
            </w:r>
          </w:p>
          <w:p w14:paraId="61FCFC8A" w14:textId="20DAC89C" w:rsidR="00701258" w:rsidRPr="00AC41E0" w:rsidRDefault="00DB0378" w:rsidP="00D978A4">
            <w:pPr>
              <w:pStyle w:val="DCSbodytext"/>
              <w:numPr>
                <w:ilvl w:val="0"/>
                <w:numId w:val="91"/>
              </w:numPr>
              <w:spacing w:after="120"/>
              <w:ind w:left="360"/>
              <w:cnfStyle w:val="000000100000" w:firstRow="0" w:lastRow="0" w:firstColumn="0" w:lastColumn="0" w:oddVBand="0" w:evenVBand="0" w:oddHBand="1" w:evenHBand="0" w:firstRowFirstColumn="0" w:firstRowLastColumn="0" w:lastRowFirstColumn="0" w:lastRowLastColumn="0"/>
            </w:pPr>
            <w:r w:rsidRPr="00AC41E0">
              <w:t>Consider if</w:t>
            </w:r>
            <w:r w:rsidR="0019261C" w:rsidRPr="00AC41E0">
              <w:t xml:space="preserve"> the</w:t>
            </w:r>
            <w:r w:rsidRPr="00AC41E0">
              <w:t xml:space="preserve"> </w:t>
            </w:r>
            <w:r w:rsidR="00701258" w:rsidRPr="00AC41E0">
              <w:t>uses of the data</w:t>
            </w:r>
            <w:r w:rsidR="0019261C" w:rsidRPr="00AC41E0">
              <w:t xml:space="preserve"> are </w:t>
            </w:r>
            <w:r w:rsidR="00701258" w:rsidRPr="00AC41E0">
              <w:t>changing or evolving</w:t>
            </w:r>
            <w:r w:rsidRPr="00AC41E0">
              <w:t xml:space="preserve"> and whether </w:t>
            </w:r>
            <w:r w:rsidR="00701258" w:rsidRPr="00AC41E0">
              <w:t>secondary use</w:t>
            </w:r>
            <w:r w:rsidRPr="00AC41E0">
              <w:t xml:space="preserve"> is</w:t>
            </w:r>
            <w:r w:rsidR="00701258" w:rsidRPr="00AC41E0">
              <w:t xml:space="preserve"> permitted</w:t>
            </w:r>
            <w:r w:rsidRPr="00AC41E0">
              <w:t>.</w:t>
            </w:r>
          </w:p>
          <w:p w14:paraId="1DE2558E" w14:textId="2FA33169" w:rsidR="00B32E0D" w:rsidRPr="00AC41E0" w:rsidRDefault="00E64ADF" w:rsidP="00D978A4">
            <w:pPr>
              <w:pStyle w:val="DCSbodytext"/>
              <w:numPr>
                <w:ilvl w:val="0"/>
                <w:numId w:val="91"/>
              </w:numPr>
              <w:spacing w:after="120"/>
              <w:ind w:left="360"/>
              <w:cnfStyle w:val="000000100000" w:firstRow="0" w:lastRow="0" w:firstColumn="0" w:lastColumn="0" w:oddVBand="0" w:evenVBand="0" w:oddHBand="1" w:evenHBand="0" w:firstRowFirstColumn="0" w:firstRowLastColumn="0" w:lastRowFirstColumn="0" w:lastRowLastColumn="0"/>
            </w:pPr>
            <w:r w:rsidRPr="00AC41E0">
              <w:t xml:space="preserve">Determine if you </w:t>
            </w:r>
            <w:r w:rsidR="00701258" w:rsidRPr="00AC41E0">
              <w:t>require additional consent</w:t>
            </w:r>
            <w:r w:rsidRPr="00AC41E0">
              <w:t xml:space="preserve"> to share information</w:t>
            </w:r>
            <w:r w:rsidR="007E74DD" w:rsidRPr="00AC41E0">
              <w:t xml:space="preserve"> or if sharing is permitted.</w:t>
            </w:r>
            <w:r w:rsidR="00701258" w:rsidRPr="00AC41E0">
              <w:t xml:space="preserve"> </w:t>
            </w:r>
            <w:r w:rsidR="0019768C" w:rsidRPr="00AC41E0">
              <w:t>Share de-identified data rather than personal information where possible</w:t>
            </w:r>
            <w:r w:rsidR="00B32E0D" w:rsidRPr="00AC41E0">
              <w:t>.</w:t>
            </w:r>
            <w:r w:rsidR="001871F3" w:rsidRPr="00AC41E0">
              <w:t xml:space="preserve"> </w:t>
            </w:r>
            <w:r w:rsidR="007D2028" w:rsidRPr="00AC41E0">
              <w:t>Consider w</w:t>
            </w:r>
            <w:r w:rsidR="00852657" w:rsidRPr="00AC41E0">
              <w:t>hat process will be applied to de-identify the information</w:t>
            </w:r>
            <w:r w:rsidR="007D2028" w:rsidRPr="00AC41E0">
              <w:t xml:space="preserve">, and the </w:t>
            </w:r>
            <w:r w:rsidR="00852657" w:rsidRPr="00AC41E0">
              <w:t>risk of re-identification</w:t>
            </w:r>
            <w:r w:rsidR="00A07089" w:rsidRPr="00AC41E0">
              <w:t>.</w:t>
            </w:r>
          </w:p>
          <w:p w14:paraId="749BF5C5" w14:textId="041FB73A" w:rsidR="001126CD" w:rsidRPr="00AC41E0" w:rsidRDefault="00F64412" w:rsidP="00D978A4">
            <w:pPr>
              <w:pStyle w:val="DCSbodytext"/>
              <w:numPr>
                <w:ilvl w:val="0"/>
                <w:numId w:val="91"/>
              </w:numPr>
              <w:spacing w:after="120"/>
              <w:ind w:left="360"/>
              <w:cnfStyle w:val="000000100000" w:firstRow="0" w:lastRow="0" w:firstColumn="0" w:lastColumn="0" w:oddVBand="0" w:evenVBand="0" w:oddHBand="1" w:evenHBand="0" w:firstRowFirstColumn="0" w:firstRowLastColumn="0" w:lastRowFirstColumn="0" w:lastRowLastColumn="0"/>
            </w:pPr>
            <w:r w:rsidRPr="00AC41E0">
              <w:lastRenderedPageBreak/>
              <w:t xml:space="preserve">Present and share aggregated rather than specific results and identify whether applications can share aggregated rather than raw data. </w:t>
            </w:r>
            <w:r w:rsidR="00E027C1" w:rsidRPr="00AC41E0">
              <w:t>Consider whether aggregating a variety of data sources has the potential to re</w:t>
            </w:r>
            <w:r w:rsidR="00FD17CF" w:rsidRPr="00AC41E0">
              <w:t>-</w:t>
            </w:r>
            <w:r w:rsidR="00E027C1" w:rsidRPr="00AC41E0">
              <w:t xml:space="preserve">identify individuals. </w:t>
            </w:r>
          </w:p>
        </w:tc>
      </w:tr>
      <w:tr w:rsidR="00885658" w:rsidRPr="00AC41E0" w14:paraId="4BDC7F3E" w14:textId="77777777" w:rsidTr="0022369F">
        <w:tc>
          <w:tcPr>
            <w:cnfStyle w:val="001000000000" w:firstRow="0" w:lastRow="0" w:firstColumn="1" w:lastColumn="0" w:oddVBand="0" w:evenVBand="0" w:oddHBand="0" w:evenHBand="0" w:firstRowFirstColumn="0" w:firstRowLastColumn="0" w:lastRowFirstColumn="0" w:lastRowLastColumn="0"/>
            <w:tcW w:w="1753" w:type="dxa"/>
          </w:tcPr>
          <w:p w14:paraId="167D14C8" w14:textId="6E507802" w:rsidR="008814EA" w:rsidRPr="00AC41E0" w:rsidRDefault="008814EA" w:rsidP="00960F93">
            <w:pPr>
              <w:pStyle w:val="DCSbodytext"/>
              <w:spacing w:after="120"/>
              <w:ind w:left="0"/>
            </w:pPr>
            <w:r w:rsidRPr="00AC41E0">
              <w:lastRenderedPageBreak/>
              <w:t>Maintain or d</w:t>
            </w:r>
            <w:r w:rsidR="00A61851" w:rsidRPr="00AC41E0">
              <w:t>estroy</w:t>
            </w:r>
          </w:p>
          <w:p w14:paraId="6110C796" w14:textId="45735D00" w:rsidR="00701258" w:rsidRPr="00AC41E0" w:rsidRDefault="00701258" w:rsidP="00960F93">
            <w:pPr>
              <w:pStyle w:val="DCSbodytext"/>
              <w:spacing w:after="120"/>
              <w:ind w:left="0"/>
            </w:pPr>
          </w:p>
        </w:tc>
        <w:tc>
          <w:tcPr>
            <w:tcW w:w="7081" w:type="dxa"/>
          </w:tcPr>
          <w:p w14:paraId="65211F58" w14:textId="5B4E4571" w:rsidR="00F63AC5" w:rsidRPr="00AC41E0" w:rsidRDefault="002562DD" w:rsidP="00D978A4">
            <w:pPr>
              <w:pStyle w:val="DCSbodytext"/>
              <w:numPr>
                <w:ilvl w:val="0"/>
                <w:numId w:val="90"/>
              </w:numPr>
              <w:spacing w:after="120"/>
              <w:cnfStyle w:val="000000000000" w:firstRow="0" w:lastRow="0" w:firstColumn="0" w:lastColumn="0" w:oddVBand="0" w:evenVBand="0" w:oddHBand="0" w:evenHBand="0" w:firstRowFirstColumn="0" w:firstRowLastColumn="0" w:lastRowFirstColumn="0" w:lastRowLastColumn="0"/>
            </w:pPr>
            <w:r w:rsidRPr="00AC41E0">
              <w:t xml:space="preserve">Securely </w:t>
            </w:r>
            <w:r w:rsidR="00E15E1E" w:rsidRPr="00AC41E0">
              <w:t>d</w:t>
            </w:r>
            <w:r w:rsidR="00F63AC5" w:rsidRPr="00AC41E0">
              <w:t>estroy or de-identify data that you no longer require for a lawful purpose.</w:t>
            </w:r>
          </w:p>
          <w:p w14:paraId="1920DB7B" w14:textId="2F68DE33" w:rsidR="007B1E30" w:rsidRPr="00AC41E0" w:rsidRDefault="007B1E30" w:rsidP="00D978A4">
            <w:pPr>
              <w:pStyle w:val="DCSbodytext"/>
              <w:numPr>
                <w:ilvl w:val="0"/>
                <w:numId w:val="90"/>
              </w:numPr>
              <w:spacing w:after="120"/>
              <w:cnfStyle w:val="000000000000" w:firstRow="0" w:lastRow="0" w:firstColumn="0" w:lastColumn="0" w:oddVBand="0" w:evenVBand="0" w:oddHBand="0" w:evenHBand="0" w:firstRowFirstColumn="0" w:firstRowLastColumn="0" w:lastRowFirstColumn="0" w:lastRowLastColumn="0"/>
            </w:pPr>
            <w:r w:rsidRPr="00AC41E0">
              <w:t xml:space="preserve">Minimise retention of personal information. Data should only be kept for the period needed to perform the nominated tasks. </w:t>
            </w:r>
          </w:p>
          <w:p w14:paraId="5BC5BC7A" w14:textId="26A3A7DF" w:rsidR="000A3B8C" w:rsidRPr="00AC41E0" w:rsidRDefault="000A3B8C" w:rsidP="001871F3">
            <w:pPr>
              <w:pStyle w:val="DCSbodytext"/>
              <w:spacing w:after="120"/>
              <w:ind w:left="0"/>
              <w:cnfStyle w:val="000000000000" w:firstRow="0" w:lastRow="0" w:firstColumn="0" w:lastColumn="0" w:oddVBand="0" w:evenVBand="0" w:oddHBand="0" w:evenHBand="0" w:firstRowFirstColumn="0" w:firstRowLastColumn="0" w:lastRowFirstColumn="0" w:lastRowLastColumn="0"/>
            </w:pPr>
            <w:r w:rsidRPr="00AC41E0">
              <w:t xml:space="preserve">See also the </w:t>
            </w:r>
            <w:hyperlink w:anchor="_Toc14795485" w:history="1">
              <w:r w:rsidRPr="00AC41E0">
                <w:rPr>
                  <w:rStyle w:val="Hyperlink"/>
                </w:rPr>
                <w:t>Data retention and destruction</w:t>
              </w:r>
            </w:hyperlink>
            <w:r w:rsidRPr="00E46FB0">
              <w:t xml:space="preserve"> section. </w:t>
            </w:r>
          </w:p>
        </w:tc>
      </w:tr>
    </w:tbl>
    <w:p w14:paraId="0F0FA3DB" w14:textId="4C21B5FA" w:rsidR="00722864" w:rsidRPr="00AC41E0" w:rsidRDefault="00722864" w:rsidP="00D4137E">
      <w:pPr>
        <w:pStyle w:val="Heading4"/>
        <w:tabs>
          <w:tab w:val="clear" w:pos="1588"/>
          <w:tab w:val="num" w:pos="1662"/>
        </w:tabs>
        <w:ind w:left="1662"/>
        <w:rPr>
          <w:rFonts w:ascii="Arial" w:eastAsia="Times New Roman" w:hAnsi="Arial"/>
        </w:rPr>
      </w:pPr>
      <w:bookmarkStart w:id="1175" w:name="_What_is_a"/>
      <w:bookmarkStart w:id="1176" w:name="_Toc14771133"/>
      <w:bookmarkStart w:id="1177" w:name="_Toc14771316"/>
      <w:bookmarkStart w:id="1178" w:name="_Toc14771701"/>
      <w:bookmarkStart w:id="1179" w:name="_Toc14771911"/>
      <w:bookmarkStart w:id="1180" w:name="_Toc14771134"/>
      <w:bookmarkStart w:id="1181" w:name="_Toc14771317"/>
      <w:bookmarkStart w:id="1182" w:name="_Toc14771702"/>
      <w:bookmarkStart w:id="1183" w:name="_Toc14771912"/>
      <w:bookmarkStart w:id="1184" w:name="_Toc14771135"/>
      <w:bookmarkStart w:id="1185" w:name="_Toc14771318"/>
      <w:bookmarkStart w:id="1186" w:name="_Toc14771703"/>
      <w:bookmarkStart w:id="1187" w:name="_Toc14771913"/>
      <w:bookmarkStart w:id="1188" w:name="_Privacy_Impact_Assessment"/>
      <w:bookmarkStart w:id="1189" w:name="_Privacy_Impact_Assessment_1"/>
      <w:bookmarkStart w:id="1190" w:name="_Toc7596453"/>
      <w:bookmarkStart w:id="1191" w:name="_Toc14700255"/>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r w:rsidRPr="00AC41E0">
        <w:rPr>
          <w:rFonts w:ascii="Arial" w:eastAsia="Times New Roman" w:hAnsi="Arial"/>
        </w:rPr>
        <w:t xml:space="preserve">Privacy Impact </w:t>
      </w:r>
      <w:bookmarkEnd w:id="1190"/>
      <w:r w:rsidRPr="00AC41E0">
        <w:rPr>
          <w:rFonts w:ascii="Arial" w:eastAsia="Times New Roman" w:hAnsi="Arial"/>
        </w:rPr>
        <w:t>Ass</w:t>
      </w:r>
      <w:r w:rsidR="00393E84" w:rsidRPr="00AC41E0">
        <w:rPr>
          <w:rFonts w:ascii="Arial" w:eastAsia="Times New Roman" w:hAnsi="Arial"/>
        </w:rPr>
        <w:t>e</w:t>
      </w:r>
      <w:r w:rsidRPr="00AC41E0">
        <w:rPr>
          <w:rFonts w:ascii="Arial" w:eastAsia="Times New Roman" w:hAnsi="Arial"/>
        </w:rPr>
        <w:t>ssment</w:t>
      </w:r>
      <w:bookmarkEnd w:id="1191"/>
    </w:p>
    <w:p w14:paraId="379D3AD2" w14:textId="027DDB00" w:rsidR="00722864" w:rsidRPr="00AC41E0" w:rsidRDefault="004B6D2F" w:rsidP="00D4137E">
      <w:pPr>
        <w:pStyle w:val="DCSbodytext"/>
        <w:spacing w:after="120"/>
        <w:ind w:left="868"/>
      </w:pPr>
      <w:r w:rsidRPr="00AC41E0">
        <w:t xml:space="preserve">A </w:t>
      </w:r>
      <w:r w:rsidR="00930163" w:rsidRPr="00AC41E0">
        <w:t>Privacy Impact Assessment (</w:t>
      </w:r>
      <w:r w:rsidRPr="00AC41E0">
        <w:t>PIA</w:t>
      </w:r>
      <w:r w:rsidR="00930163" w:rsidRPr="00AC41E0">
        <w:t>)</w:t>
      </w:r>
      <w:r w:rsidRPr="00AC41E0">
        <w:t xml:space="preserve"> </w:t>
      </w:r>
      <w:r w:rsidR="00722864" w:rsidRPr="00AC41E0">
        <w:rPr>
          <w:lang w:val="en-US"/>
        </w:rPr>
        <w:t>is a written assessment of an activity or function that:</w:t>
      </w:r>
    </w:p>
    <w:p w14:paraId="25E66C39" w14:textId="657AEB5D" w:rsidR="00722864" w:rsidRPr="00AC41E0" w:rsidRDefault="006101EA" w:rsidP="00D978A4">
      <w:pPr>
        <w:pStyle w:val="DCSbullet"/>
        <w:numPr>
          <w:ilvl w:val="0"/>
          <w:numId w:val="45"/>
        </w:numPr>
        <w:tabs>
          <w:tab w:val="clear" w:pos="1361"/>
          <w:tab w:val="num" w:pos="1435"/>
        </w:tabs>
        <w:ind w:left="1435"/>
      </w:pPr>
      <w:r w:rsidRPr="00AC41E0">
        <w:t>i</w:t>
      </w:r>
      <w:r w:rsidR="00722864" w:rsidRPr="00AC41E0">
        <w:t>dentifies the impact that the activity or function might have on the privacy of individuals</w:t>
      </w:r>
    </w:p>
    <w:p w14:paraId="13D289B2" w14:textId="6FD25555" w:rsidR="00722864" w:rsidRPr="00AC41E0" w:rsidRDefault="006101EA" w:rsidP="00D978A4">
      <w:pPr>
        <w:pStyle w:val="DCSbullet"/>
        <w:numPr>
          <w:ilvl w:val="0"/>
          <w:numId w:val="45"/>
        </w:numPr>
        <w:tabs>
          <w:tab w:val="clear" w:pos="1361"/>
          <w:tab w:val="num" w:pos="1435"/>
        </w:tabs>
        <w:ind w:left="1435"/>
      </w:pPr>
      <w:r w:rsidRPr="00AC41E0">
        <w:t>s</w:t>
      </w:r>
      <w:r w:rsidR="00722864" w:rsidRPr="00AC41E0">
        <w:t>ets</w:t>
      </w:r>
      <w:r w:rsidR="00722864" w:rsidRPr="00AC41E0">
        <w:rPr>
          <w:bCs/>
        </w:rPr>
        <w:t xml:space="preserve"> out recommendations</w:t>
      </w:r>
      <w:r w:rsidR="00722864" w:rsidRPr="00AC41E0">
        <w:rPr>
          <w:b/>
          <w:bCs/>
        </w:rPr>
        <w:t xml:space="preserve"> </w:t>
      </w:r>
      <w:r w:rsidR="00722864" w:rsidRPr="00AC41E0">
        <w:t>for managing, minimising or eliminating that impact</w:t>
      </w:r>
      <w:r w:rsidR="00592B26" w:rsidRPr="00AC41E0">
        <w:t>.</w:t>
      </w:r>
    </w:p>
    <w:p w14:paraId="1FC11D74" w14:textId="044ED4BA" w:rsidR="00722864" w:rsidRPr="00AC41E0" w:rsidRDefault="004D022D" w:rsidP="00D4137E">
      <w:pPr>
        <w:pStyle w:val="DCSbodytext"/>
        <w:ind w:left="868"/>
        <w:rPr>
          <w:lang w:val="en-US"/>
        </w:rPr>
      </w:pPr>
      <w:r w:rsidRPr="00AC41E0">
        <w:rPr>
          <w:lang w:val="en-US"/>
        </w:rPr>
        <w:t>A</w:t>
      </w:r>
      <w:r w:rsidR="00722864" w:rsidRPr="00AC41E0">
        <w:rPr>
          <w:lang w:val="en-US"/>
        </w:rPr>
        <w:t xml:space="preserve"> PIA ‘tells the full story’ of a project from a privacy perspective</w:t>
      </w:r>
      <w:r w:rsidRPr="00AC41E0">
        <w:rPr>
          <w:lang w:val="en-US"/>
        </w:rPr>
        <w:t xml:space="preserve">. It is </w:t>
      </w:r>
      <w:r w:rsidR="00722864" w:rsidRPr="00AC41E0">
        <w:rPr>
          <w:lang w:val="en-US"/>
        </w:rPr>
        <w:t xml:space="preserve">essential to </w:t>
      </w:r>
      <w:r w:rsidR="00966D93" w:rsidRPr="00AC41E0">
        <w:rPr>
          <w:lang w:val="en-US"/>
        </w:rPr>
        <w:t xml:space="preserve">operate </w:t>
      </w:r>
      <w:r w:rsidR="00722864" w:rsidRPr="00AC41E0">
        <w:rPr>
          <w:lang w:val="en-US"/>
        </w:rPr>
        <w:t xml:space="preserve">on a </w:t>
      </w:r>
      <w:r w:rsidR="003E2600" w:rsidRPr="00AC41E0">
        <w:rPr>
          <w:lang w:val="en-US"/>
        </w:rPr>
        <w:t>p</w:t>
      </w:r>
      <w:r w:rsidR="00722864" w:rsidRPr="00AC41E0">
        <w:rPr>
          <w:lang w:val="en-US"/>
        </w:rPr>
        <w:t>rivacy</w:t>
      </w:r>
      <w:r w:rsidR="003E2600" w:rsidRPr="00AC41E0">
        <w:rPr>
          <w:lang w:val="en-US"/>
        </w:rPr>
        <w:t xml:space="preserve"> </w:t>
      </w:r>
      <w:r w:rsidR="00722864" w:rsidRPr="00AC41E0">
        <w:rPr>
          <w:lang w:val="en-US"/>
        </w:rPr>
        <w:t>by</w:t>
      </w:r>
      <w:r w:rsidR="003E2600" w:rsidRPr="00AC41E0">
        <w:rPr>
          <w:lang w:val="en-US"/>
        </w:rPr>
        <w:t xml:space="preserve"> d</w:t>
      </w:r>
      <w:r w:rsidR="00722864" w:rsidRPr="00AC41E0">
        <w:rPr>
          <w:lang w:val="en-US"/>
        </w:rPr>
        <w:t xml:space="preserve">esign basis. </w:t>
      </w:r>
      <w:r w:rsidR="00BA51C7" w:rsidRPr="00AC41E0">
        <w:rPr>
          <w:lang w:val="en-US"/>
        </w:rPr>
        <w:t xml:space="preserve">A </w:t>
      </w:r>
      <w:r w:rsidR="00722864" w:rsidRPr="00AC41E0">
        <w:rPr>
          <w:lang w:val="en-US"/>
        </w:rPr>
        <w:t xml:space="preserve">PIA </w:t>
      </w:r>
      <w:r w:rsidR="00BA51C7" w:rsidRPr="00AC41E0">
        <w:rPr>
          <w:lang w:val="en-US"/>
        </w:rPr>
        <w:t xml:space="preserve">should be conducted </w:t>
      </w:r>
      <w:r w:rsidR="00722864" w:rsidRPr="00AC41E0">
        <w:rPr>
          <w:lang w:val="en-US"/>
        </w:rPr>
        <w:t>early in project development</w:t>
      </w:r>
      <w:r w:rsidR="00BA51C7" w:rsidRPr="00AC41E0">
        <w:rPr>
          <w:lang w:val="en-US"/>
        </w:rPr>
        <w:t xml:space="preserve"> </w:t>
      </w:r>
      <w:r w:rsidR="00722864" w:rsidRPr="00AC41E0">
        <w:rPr>
          <w:lang w:val="en-US"/>
        </w:rPr>
        <w:t xml:space="preserve">to guide implementation. </w:t>
      </w:r>
    </w:p>
    <w:p w14:paraId="12D986D0" w14:textId="05E9DACC" w:rsidR="00722864" w:rsidRPr="00AC41E0" w:rsidRDefault="00722864" w:rsidP="00D4137E">
      <w:pPr>
        <w:pStyle w:val="DCSbodytext"/>
        <w:ind w:left="868"/>
      </w:pPr>
      <w:r w:rsidRPr="00AC41E0">
        <w:t xml:space="preserve">PIAs can help assess the overall </w:t>
      </w:r>
      <w:r w:rsidRPr="00AC41E0">
        <w:rPr>
          <w:i/>
        </w:rPr>
        <w:t xml:space="preserve">proportionality </w:t>
      </w:r>
      <w:r w:rsidRPr="00AC41E0">
        <w:t>of a policy or project</w:t>
      </w:r>
      <w:r w:rsidR="00EB1D84" w:rsidRPr="00AC41E0">
        <w:t xml:space="preserve">, </w:t>
      </w:r>
      <w:r w:rsidRPr="00AC41E0">
        <w:t>that is, whether the use of personal information strikes an appropriate balance between the</w:t>
      </w:r>
      <w:r w:rsidR="00E11908" w:rsidRPr="00AC41E0">
        <w:t xml:space="preserve"> project</w:t>
      </w:r>
      <w:r w:rsidRPr="00AC41E0">
        <w:t xml:space="preserve"> objectives and the resulting privacy impacts. This is particularly important </w:t>
      </w:r>
      <w:r w:rsidR="00BA51C7" w:rsidRPr="00AC41E0">
        <w:t>where</w:t>
      </w:r>
      <w:r w:rsidRPr="00AC41E0">
        <w:t xml:space="preserve"> individuals </w:t>
      </w:r>
      <w:r w:rsidR="000106C3" w:rsidRPr="00AC41E0">
        <w:t>do not</w:t>
      </w:r>
      <w:r w:rsidRPr="00AC41E0">
        <w:t xml:space="preserve"> have a </w:t>
      </w:r>
      <w:r w:rsidR="00716CFD" w:rsidRPr="00AC41E0">
        <w:t>meaningful</w:t>
      </w:r>
      <w:r w:rsidR="004C5256" w:rsidRPr="00AC41E0">
        <w:t xml:space="preserve"> </w:t>
      </w:r>
      <w:r w:rsidRPr="00AC41E0">
        <w:t>choice to provide the information</w:t>
      </w:r>
      <w:r w:rsidR="00695298" w:rsidRPr="00AC41E0">
        <w:t xml:space="preserve"> (i.e.</w:t>
      </w:r>
      <w:r w:rsidR="009A4F1B" w:rsidRPr="00AC41E0">
        <w:t xml:space="preserve"> </w:t>
      </w:r>
      <w:r w:rsidRPr="00AC41E0">
        <w:t xml:space="preserve">where the </w:t>
      </w:r>
      <w:r w:rsidR="004D65AF" w:rsidRPr="00AC41E0">
        <w:t xml:space="preserve">collection </w:t>
      </w:r>
      <w:r w:rsidR="009A4F1B" w:rsidRPr="00AC41E0">
        <w:t>of information is by</w:t>
      </w:r>
      <w:r w:rsidRPr="00AC41E0">
        <w:t xml:space="preserve"> sensors of which they are </w:t>
      </w:r>
      <w:r w:rsidR="000106C3" w:rsidRPr="00AC41E0">
        <w:t>un</w:t>
      </w:r>
      <w:r w:rsidRPr="00AC41E0">
        <w:t xml:space="preserve">aware, is required by law, or </w:t>
      </w:r>
      <w:r w:rsidR="004D65AF" w:rsidRPr="00AC41E0">
        <w:t xml:space="preserve">is required </w:t>
      </w:r>
      <w:r w:rsidRPr="00AC41E0">
        <w:t>to access essential government payments or services</w:t>
      </w:r>
      <w:r w:rsidR="00695298" w:rsidRPr="00AC41E0">
        <w:t>)</w:t>
      </w:r>
      <w:r w:rsidRPr="00AC41E0">
        <w:t>.</w:t>
      </w:r>
    </w:p>
    <w:p w14:paraId="13530260" w14:textId="777B6899" w:rsidR="00722864" w:rsidRPr="00AC41E0" w:rsidRDefault="00B51C54" w:rsidP="00D4137E">
      <w:pPr>
        <w:pStyle w:val="DCSbodytext"/>
        <w:ind w:left="868"/>
      </w:pPr>
      <w:bookmarkStart w:id="1192" w:name="_Toc7596454"/>
      <w:bookmarkStart w:id="1193" w:name="_Toc14700256"/>
      <w:r w:rsidRPr="00AC41E0">
        <w:t xml:space="preserve">The IPC has published </w:t>
      </w:r>
      <w:r w:rsidR="00B032C2" w:rsidRPr="00AC41E0">
        <w:t xml:space="preserve">a </w:t>
      </w:r>
      <w:hyperlink r:id="rId137" w:history="1">
        <w:r w:rsidR="00B032C2" w:rsidRPr="00AC41E0">
          <w:rPr>
            <w:rStyle w:val="Hyperlink"/>
          </w:rPr>
          <w:t>Guide to Privacy Impact Assessments in NSW</w:t>
        </w:r>
      </w:hyperlink>
      <w:bookmarkEnd w:id="1192"/>
      <w:bookmarkEnd w:id="1193"/>
      <w:r w:rsidR="000B30AD" w:rsidRPr="00E46FB0">
        <w:t>.</w:t>
      </w:r>
    </w:p>
    <w:p w14:paraId="650DA4C6" w14:textId="77777777" w:rsidR="00461771" w:rsidRPr="00AC41E0" w:rsidRDefault="00461771" w:rsidP="00D4137E">
      <w:pPr>
        <w:pStyle w:val="Heading4"/>
        <w:tabs>
          <w:tab w:val="clear" w:pos="1588"/>
          <w:tab w:val="num" w:pos="1662"/>
        </w:tabs>
        <w:ind w:left="1662"/>
        <w:rPr>
          <w:rFonts w:ascii="Arial" w:hAnsi="Arial"/>
        </w:rPr>
      </w:pPr>
      <w:bookmarkStart w:id="1194" w:name="_Toc14700263"/>
      <w:r w:rsidRPr="00AC41E0">
        <w:rPr>
          <w:rFonts w:ascii="Arial" w:hAnsi="Arial"/>
        </w:rPr>
        <w:t>Privacy Self-Assessment</w:t>
      </w:r>
      <w:bookmarkEnd w:id="1194"/>
    </w:p>
    <w:p w14:paraId="5777271B" w14:textId="4CDBF9F2" w:rsidR="00461771" w:rsidRPr="00AC41E0" w:rsidRDefault="00461771" w:rsidP="00D4137E">
      <w:pPr>
        <w:pStyle w:val="DCSbodytext"/>
        <w:ind w:left="868"/>
      </w:pPr>
      <w:r w:rsidRPr="00AC41E0">
        <w:t xml:space="preserve">The IPC has published </w:t>
      </w:r>
      <w:hyperlink r:id="rId138" w:history="1">
        <w:r w:rsidRPr="00AC41E0">
          <w:rPr>
            <w:rStyle w:val="Hyperlink"/>
          </w:rPr>
          <w:t xml:space="preserve">Information Governance </w:t>
        </w:r>
        <w:r w:rsidR="00746F50" w:rsidRPr="00AC41E0">
          <w:rPr>
            <w:rStyle w:val="Hyperlink"/>
          </w:rPr>
          <w:t xml:space="preserve">Agency </w:t>
        </w:r>
        <w:r w:rsidRPr="00AC41E0">
          <w:rPr>
            <w:rStyle w:val="Hyperlink"/>
          </w:rPr>
          <w:t>Self-</w:t>
        </w:r>
        <w:r w:rsidR="00864DFD" w:rsidRPr="00AC41E0">
          <w:rPr>
            <w:rStyle w:val="Hyperlink"/>
          </w:rPr>
          <w:t>a</w:t>
        </w:r>
        <w:r w:rsidRPr="00AC41E0">
          <w:rPr>
            <w:rStyle w:val="Hyperlink"/>
          </w:rPr>
          <w:t>ssessment Tools</w:t>
        </w:r>
      </w:hyperlink>
      <w:r w:rsidRPr="00E46FB0">
        <w:t xml:space="preserve">. These tools may be useful to self-assess privacy management in your organisation. The IPC recommends </w:t>
      </w:r>
      <w:r w:rsidR="005A6863" w:rsidRPr="00AC41E0">
        <w:t>regular self-assessment.</w:t>
      </w:r>
    </w:p>
    <w:p w14:paraId="7D4C3380" w14:textId="01490573" w:rsidR="008129BC" w:rsidRPr="00AC41E0" w:rsidRDefault="008129BC" w:rsidP="00D4137E">
      <w:pPr>
        <w:pStyle w:val="Heading3"/>
        <w:ind w:left="868"/>
        <w:rPr>
          <w:rFonts w:ascii="Arial" w:hAnsi="Arial"/>
        </w:rPr>
      </w:pPr>
      <w:bookmarkStart w:id="1195" w:name="_Toc14700268"/>
      <w:bookmarkStart w:id="1196" w:name="_Toc65760516"/>
      <w:bookmarkStart w:id="1197" w:name="_Toc7596455"/>
      <w:r w:rsidRPr="00AC41E0">
        <w:rPr>
          <w:rFonts w:ascii="Arial" w:hAnsi="Arial"/>
        </w:rPr>
        <w:t xml:space="preserve">Privacy access requests </w:t>
      </w:r>
      <w:r w:rsidR="0066508A" w:rsidRPr="00AC41E0">
        <w:rPr>
          <w:rFonts w:ascii="Arial" w:hAnsi="Arial"/>
        </w:rPr>
        <w:t>and</w:t>
      </w:r>
      <w:r w:rsidRPr="00AC41E0">
        <w:rPr>
          <w:rFonts w:ascii="Arial" w:hAnsi="Arial"/>
        </w:rPr>
        <w:t xml:space="preserve"> </w:t>
      </w:r>
      <w:r w:rsidR="00C91384" w:rsidRPr="00AC41E0">
        <w:rPr>
          <w:rFonts w:ascii="Arial" w:hAnsi="Arial"/>
        </w:rPr>
        <w:t xml:space="preserve">GIPA </w:t>
      </w:r>
      <w:r w:rsidRPr="00AC41E0">
        <w:rPr>
          <w:rFonts w:ascii="Arial" w:hAnsi="Arial"/>
        </w:rPr>
        <w:t>requests for information</w:t>
      </w:r>
      <w:bookmarkEnd w:id="1195"/>
      <w:bookmarkEnd w:id="1196"/>
    </w:p>
    <w:p w14:paraId="69460F90" w14:textId="5D592341" w:rsidR="006B5B2A" w:rsidRPr="00AC41E0" w:rsidRDefault="00E54F49" w:rsidP="00D4137E">
      <w:pPr>
        <w:pStyle w:val="DCSbodytext"/>
        <w:ind w:left="868"/>
      </w:pPr>
      <w:r w:rsidRPr="00AC41E0">
        <w:t xml:space="preserve">Requests for </w:t>
      </w:r>
      <w:r w:rsidR="007D7ABA" w:rsidRPr="00AC41E0">
        <w:t xml:space="preserve">information </w:t>
      </w:r>
      <w:r w:rsidRPr="00AC41E0">
        <w:t xml:space="preserve">can fall under either the PPIP Act or the </w:t>
      </w:r>
      <w:hyperlink r:id="rId139" w:history="1">
        <w:r w:rsidRPr="00AC41E0">
          <w:rPr>
            <w:rStyle w:val="Hyperlink"/>
            <w:i/>
            <w:shd w:val="clear" w:color="auto" w:fill="FFFFFF"/>
          </w:rPr>
          <w:t>Government Information (Public Access) Act 2009</w:t>
        </w:r>
        <w:r w:rsidRPr="00AC41E0">
          <w:rPr>
            <w:rStyle w:val="Hyperlink"/>
            <w:shd w:val="clear" w:color="auto" w:fill="FFFFFF"/>
          </w:rPr>
          <w:t xml:space="preserve"> (NSW)</w:t>
        </w:r>
      </w:hyperlink>
      <w:r w:rsidRPr="00E46FB0">
        <w:rPr>
          <w:shd w:val="clear" w:color="auto" w:fill="FFFFFF"/>
        </w:rPr>
        <w:t xml:space="preserve"> (GIPA Act)</w:t>
      </w:r>
      <w:r w:rsidRPr="00AC41E0">
        <w:t xml:space="preserve"> depending on the applicant and type of </w:t>
      </w:r>
      <w:r w:rsidR="00EA1AD0" w:rsidRPr="00AC41E0">
        <w:t>information</w:t>
      </w:r>
      <w:r w:rsidRPr="00AC41E0">
        <w:t xml:space="preserve"> </w:t>
      </w:r>
      <w:r w:rsidR="005D5ACC" w:rsidRPr="00AC41E0">
        <w:t xml:space="preserve">or data </w:t>
      </w:r>
      <w:r w:rsidRPr="00AC41E0">
        <w:t xml:space="preserve">being requested. </w:t>
      </w:r>
    </w:p>
    <w:p w14:paraId="6F60A105" w14:textId="667F8552" w:rsidR="008129BC" w:rsidRPr="00AC41E0" w:rsidRDefault="006B5B2A" w:rsidP="00D4137E">
      <w:pPr>
        <w:pStyle w:val="DCSbodytext"/>
        <w:ind w:left="868"/>
      </w:pPr>
      <w:r w:rsidRPr="00AC41E0">
        <w:t>Under the PPIP Act, i</w:t>
      </w:r>
      <w:r w:rsidR="008129BC" w:rsidRPr="00AC41E0">
        <w:t xml:space="preserve">f you collect personal information you need to make it accessible to the individual and allow </w:t>
      </w:r>
      <w:r w:rsidR="0056606B" w:rsidRPr="00AC41E0">
        <w:t>them</w:t>
      </w:r>
      <w:r w:rsidR="008129BC" w:rsidRPr="00AC41E0">
        <w:t xml:space="preserve"> to correct or amend their personal information</w:t>
      </w:r>
      <w:r w:rsidR="009B5694" w:rsidRPr="00AC41E0">
        <w:t xml:space="preserve"> as</w:t>
      </w:r>
      <w:r w:rsidR="003831E0" w:rsidRPr="00AC41E0">
        <w:t xml:space="preserve"> required</w:t>
      </w:r>
      <w:r w:rsidR="008129BC" w:rsidRPr="00AC41E0">
        <w:t xml:space="preserve">.  </w:t>
      </w:r>
    </w:p>
    <w:p w14:paraId="4C92DF2E" w14:textId="784D864B" w:rsidR="008129BC" w:rsidRPr="00AC41E0" w:rsidRDefault="00E92B0A" w:rsidP="00F923D7">
      <w:pPr>
        <w:pStyle w:val="DCSbodytext"/>
        <w:spacing w:after="120"/>
        <w:ind w:left="868"/>
      </w:pPr>
      <w:r w:rsidRPr="00AC41E0">
        <w:lastRenderedPageBreak/>
        <w:t>Also</w:t>
      </w:r>
      <w:r w:rsidR="00966D93" w:rsidRPr="00AC41E0">
        <w:t>,</w:t>
      </w:r>
      <w:r w:rsidRPr="00AC41E0">
        <w:t xml:space="preserve"> consider </w:t>
      </w:r>
      <w:r w:rsidR="008129BC" w:rsidRPr="00AC41E0">
        <w:t xml:space="preserve">the impact of having a sensor network and the additional requests for aggregated data </w:t>
      </w:r>
      <w:r w:rsidR="00CE1DD2" w:rsidRPr="00AC41E0">
        <w:t>under the</w:t>
      </w:r>
      <w:r w:rsidRPr="00AC41E0">
        <w:t xml:space="preserve"> GIPA Act.</w:t>
      </w:r>
      <w:r w:rsidR="00F923D7" w:rsidRPr="00AC41E0">
        <w:t xml:space="preserve"> </w:t>
      </w:r>
      <w:r w:rsidR="00830885" w:rsidRPr="00AC41E0">
        <w:t>Y</w:t>
      </w:r>
      <w:r w:rsidR="008129BC" w:rsidRPr="00AC41E0">
        <w:t xml:space="preserve">our </w:t>
      </w:r>
      <w:r w:rsidR="005368C0" w:rsidRPr="00AC41E0">
        <w:t xml:space="preserve">organisation’s </w:t>
      </w:r>
      <w:r w:rsidR="008129BC" w:rsidRPr="00AC41E0">
        <w:t xml:space="preserve">Privacy Management Plan </w:t>
      </w:r>
      <w:r w:rsidR="00830885" w:rsidRPr="00AC41E0">
        <w:t>(</w:t>
      </w:r>
      <w:r w:rsidR="008129BC" w:rsidRPr="00AC41E0">
        <w:t xml:space="preserve">and possibly your </w:t>
      </w:r>
      <w:r w:rsidR="00BD44A2" w:rsidRPr="00AC41E0">
        <w:t>PIA</w:t>
      </w:r>
      <w:r w:rsidR="00830885" w:rsidRPr="00AC41E0">
        <w:t>)</w:t>
      </w:r>
      <w:r w:rsidR="00C534D7" w:rsidRPr="00AC41E0">
        <w:t xml:space="preserve"> </w:t>
      </w:r>
      <w:r w:rsidR="005D1262" w:rsidRPr="00AC41E0">
        <w:t>need</w:t>
      </w:r>
      <w:r w:rsidR="00C534D7" w:rsidRPr="00AC41E0">
        <w:t>s</w:t>
      </w:r>
      <w:r w:rsidR="005D1262" w:rsidRPr="00AC41E0">
        <w:t xml:space="preserve"> to</w:t>
      </w:r>
      <w:r w:rsidR="008129BC" w:rsidRPr="00AC41E0">
        <w:t xml:space="preserve"> have mitigation strategies in place if someone’s personal information is unintentionally released under </w:t>
      </w:r>
      <w:r w:rsidR="00B71425" w:rsidRPr="00AC41E0">
        <w:t xml:space="preserve">a </w:t>
      </w:r>
      <w:r w:rsidR="008129BC" w:rsidRPr="00AC41E0">
        <w:t>GIPA</w:t>
      </w:r>
      <w:r w:rsidR="00B71425" w:rsidRPr="00AC41E0">
        <w:t xml:space="preserve"> request</w:t>
      </w:r>
      <w:r w:rsidR="008129BC" w:rsidRPr="00AC41E0">
        <w:t xml:space="preserve">.  </w:t>
      </w:r>
    </w:p>
    <w:p w14:paraId="4E617304" w14:textId="3646C6D4" w:rsidR="00722864" w:rsidRPr="00AC41E0" w:rsidRDefault="00722864" w:rsidP="00D4137E">
      <w:pPr>
        <w:pStyle w:val="Heading3"/>
        <w:ind w:left="868"/>
        <w:rPr>
          <w:rFonts w:ascii="Arial" w:hAnsi="Arial"/>
        </w:rPr>
      </w:pPr>
      <w:bookmarkStart w:id="1198" w:name="_Toc14776330"/>
      <w:bookmarkStart w:id="1199" w:name="_Toc14777948"/>
      <w:bookmarkStart w:id="1200" w:name="_Toc14778094"/>
      <w:bookmarkStart w:id="1201" w:name="_Toc14776331"/>
      <w:bookmarkStart w:id="1202" w:name="_Toc14777949"/>
      <w:bookmarkStart w:id="1203" w:name="_Toc14778095"/>
      <w:bookmarkStart w:id="1204" w:name="_Toc14776332"/>
      <w:bookmarkStart w:id="1205" w:name="_Toc14777950"/>
      <w:bookmarkStart w:id="1206" w:name="_Toc14778096"/>
      <w:bookmarkStart w:id="1207" w:name="_Managing_a_privacy"/>
      <w:bookmarkStart w:id="1208" w:name="_Toc14700266"/>
      <w:bookmarkStart w:id="1209" w:name="_Toc65760517"/>
      <w:bookmarkEnd w:id="1172"/>
      <w:bookmarkEnd w:id="1197"/>
      <w:bookmarkEnd w:id="1198"/>
      <w:bookmarkEnd w:id="1199"/>
      <w:bookmarkEnd w:id="1200"/>
      <w:bookmarkEnd w:id="1201"/>
      <w:bookmarkEnd w:id="1202"/>
      <w:bookmarkEnd w:id="1203"/>
      <w:bookmarkEnd w:id="1204"/>
      <w:bookmarkEnd w:id="1205"/>
      <w:bookmarkEnd w:id="1206"/>
      <w:bookmarkEnd w:id="1207"/>
      <w:r w:rsidRPr="00AC41E0">
        <w:rPr>
          <w:rFonts w:ascii="Arial" w:hAnsi="Arial"/>
        </w:rPr>
        <w:t xml:space="preserve">Managing a </w:t>
      </w:r>
      <w:r w:rsidR="00BE2EEE" w:rsidRPr="00AC41E0">
        <w:rPr>
          <w:rFonts w:ascii="Arial" w:hAnsi="Arial"/>
        </w:rPr>
        <w:t xml:space="preserve">data or </w:t>
      </w:r>
      <w:r w:rsidR="00596696" w:rsidRPr="00AC41E0">
        <w:rPr>
          <w:rFonts w:ascii="Arial" w:hAnsi="Arial"/>
        </w:rPr>
        <w:t>p</w:t>
      </w:r>
      <w:r w:rsidRPr="00AC41E0">
        <w:rPr>
          <w:rFonts w:ascii="Arial" w:hAnsi="Arial"/>
        </w:rPr>
        <w:t xml:space="preserve">rivacy </w:t>
      </w:r>
      <w:r w:rsidR="00596696" w:rsidRPr="00AC41E0">
        <w:rPr>
          <w:rFonts w:ascii="Arial" w:hAnsi="Arial"/>
        </w:rPr>
        <w:t>b</w:t>
      </w:r>
      <w:r w:rsidRPr="00AC41E0">
        <w:rPr>
          <w:rFonts w:ascii="Arial" w:hAnsi="Arial"/>
        </w:rPr>
        <w:t>reach</w:t>
      </w:r>
      <w:bookmarkEnd w:id="1208"/>
      <w:bookmarkEnd w:id="1209"/>
    </w:p>
    <w:p w14:paraId="249F0AC4" w14:textId="1ECFA08B" w:rsidR="00E66510" w:rsidRPr="00AC41E0" w:rsidRDefault="00722864" w:rsidP="00D4137E">
      <w:pPr>
        <w:pStyle w:val="DCSbodytext"/>
        <w:ind w:left="868"/>
      </w:pPr>
      <w:r w:rsidRPr="00AC41E0">
        <w:t xml:space="preserve">A </w:t>
      </w:r>
      <w:r w:rsidR="004C094F" w:rsidRPr="00AC41E0">
        <w:t xml:space="preserve">data </w:t>
      </w:r>
      <w:r w:rsidR="0019288A" w:rsidRPr="00AC41E0">
        <w:t xml:space="preserve">or privacy breach </w:t>
      </w:r>
      <w:r w:rsidR="00A34CB3" w:rsidRPr="00AC41E0">
        <w:t xml:space="preserve">occurs </w:t>
      </w:r>
      <w:r w:rsidRPr="00AC41E0">
        <w:t>when there is a failure that has caused</w:t>
      </w:r>
      <w:r w:rsidR="000B1C1B" w:rsidRPr="00AC41E0">
        <w:t xml:space="preserve"> (</w:t>
      </w:r>
      <w:r w:rsidRPr="00AC41E0">
        <w:t>or has the potential to cause</w:t>
      </w:r>
      <w:r w:rsidR="000B1C1B" w:rsidRPr="00AC41E0">
        <w:t>)</w:t>
      </w:r>
      <w:r w:rsidRPr="00AC41E0">
        <w:t xml:space="preserve"> unauthorised access to your </w:t>
      </w:r>
      <w:r w:rsidR="007308B4" w:rsidRPr="00AC41E0">
        <w:t>organisation’s</w:t>
      </w:r>
      <w:r w:rsidRPr="00AC41E0">
        <w:t xml:space="preserve"> data</w:t>
      </w:r>
      <w:r w:rsidR="007308B4" w:rsidRPr="00AC41E0">
        <w:t xml:space="preserve">. </w:t>
      </w:r>
      <w:r w:rsidRPr="00AC41E0">
        <w:t xml:space="preserve">Breaches include hacking and malware, sending an email </w:t>
      </w:r>
      <w:r w:rsidR="009E112B" w:rsidRPr="00AC41E0">
        <w:t xml:space="preserve">containing classified information </w:t>
      </w:r>
      <w:r w:rsidRPr="00AC41E0">
        <w:t>to the wrong person</w:t>
      </w:r>
      <w:r w:rsidR="00885849" w:rsidRPr="00AC41E0">
        <w:t>,</w:t>
      </w:r>
      <w:r w:rsidRPr="00AC41E0">
        <w:t xml:space="preserve"> </w:t>
      </w:r>
      <w:r w:rsidR="009E112B" w:rsidRPr="00AC41E0">
        <w:t>and loss</w:t>
      </w:r>
      <w:r w:rsidRPr="00AC41E0">
        <w:t xml:space="preserve"> of a paper record, laptop o</w:t>
      </w:r>
      <w:r w:rsidR="009E112B" w:rsidRPr="00AC41E0">
        <w:t>r</w:t>
      </w:r>
      <w:r w:rsidRPr="00AC41E0">
        <w:t xml:space="preserve"> USB stick. </w:t>
      </w:r>
    </w:p>
    <w:p w14:paraId="38C1A8FE" w14:textId="36348D86" w:rsidR="00885849" w:rsidRPr="00AC41E0" w:rsidRDefault="00722864" w:rsidP="00D4137E">
      <w:pPr>
        <w:pStyle w:val="DCSbodytext"/>
        <w:ind w:left="868"/>
      </w:pPr>
      <w:r w:rsidRPr="00AC41E0">
        <w:t xml:space="preserve">NSW does not </w:t>
      </w:r>
      <w:r w:rsidR="00D42B71" w:rsidRPr="00AC41E0">
        <w:t xml:space="preserve">currently </w:t>
      </w:r>
      <w:r w:rsidRPr="00AC41E0">
        <w:t>have a mandatory notifiable data breach reporting requirement,</w:t>
      </w:r>
      <w:r w:rsidR="00FC24DF" w:rsidRPr="00AC41E0">
        <w:t xml:space="preserve"> however </w:t>
      </w:r>
      <w:r w:rsidR="000368E9" w:rsidRPr="00AC41E0">
        <w:t>one is currently being developed (due in 2021)</w:t>
      </w:r>
      <w:r w:rsidR="00FC24DF" w:rsidRPr="00AC41E0">
        <w:t>.</w:t>
      </w:r>
      <w:r w:rsidRPr="00AC41E0">
        <w:t xml:space="preserve"> </w:t>
      </w:r>
      <w:r w:rsidR="00FC24DF" w:rsidRPr="00AC41E0">
        <w:t>The</w:t>
      </w:r>
      <w:r w:rsidRPr="00AC41E0">
        <w:t xml:space="preserve"> </w:t>
      </w:r>
      <w:r w:rsidR="00B118EA" w:rsidRPr="00AC41E0">
        <w:t xml:space="preserve">NSW </w:t>
      </w:r>
      <w:r w:rsidRPr="00AC41E0">
        <w:t>Privacy Commissioner ha</w:t>
      </w:r>
      <w:r w:rsidR="00B118EA" w:rsidRPr="00AC41E0">
        <w:t>s</w:t>
      </w:r>
      <w:r w:rsidRPr="00AC41E0">
        <w:t xml:space="preserve"> a </w:t>
      </w:r>
      <w:hyperlink r:id="rId140" w:history="1">
        <w:r w:rsidRPr="00AC41E0">
          <w:rPr>
            <w:rStyle w:val="Hyperlink"/>
          </w:rPr>
          <w:t>voluntary scheme</w:t>
        </w:r>
      </w:hyperlink>
      <w:r w:rsidRPr="00E46FB0">
        <w:t xml:space="preserve"> in place. </w:t>
      </w:r>
    </w:p>
    <w:p w14:paraId="360FD116" w14:textId="056CE9C6" w:rsidR="00722864" w:rsidRPr="00AC41E0" w:rsidRDefault="00FE169F" w:rsidP="00D4137E">
      <w:pPr>
        <w:pStyle w:val="DCSbodytext"/>
        <w:ind w:left="868"/>
      </w:pPr>
      <w:r w:rsidRPr="00AC41E0">
        <w:t>Check if</w:t>
      </w:r>
      <w:r w:rsidR="00722864" w:rsidRPr="00AC41E0">
        <w:t xml:space="preserve"> your </w:t>
      </w:r>
      <w:r w:rsidR="00885849" w:rsidRPr="00AC41E0">
        <w:t>organisation</w:t>
      </w:r>
      <w:r w:rsidR="00722864" w:rsidRPr="00AC41E0">
        <w:t xml:space="preserve"> has a data breach management or response plan in place</w:t>
      </w:r>
      <w:r w:rsidR="00571E04" w:rsidRPr="00AC41E0">
        <w:t>.</w:t>
      </w:r>
      <w:r w:rsidR="00722864" w:rsidRPr="00AC41E0">
        <w:t xml:space="preserve"> </w:t>
      </w:r>
      <w:r w:rsidR="008A5209" w:rsidRPr="00AC41E0">
        <w:t>The O</w:t>
      </w:r>
      <w:r w:rsidR="000536EE" w:rsidRPr="00AC41E0">
        <w:t xml:space="preserve">AIC </w:t>
      </w:r>
      <w:r w:rsidR="008A5209" w:rsidRPr="00AC41E0">
        <w:t xml:space="preserve">has published </w:t>
      </w:r>
      <w:hyperlink r:id="rId141" w:history="1">
        <w:r w:rsidR="008A5209" w:rsidRPr="00AC41E0">
          <w:rPr>
            <w:rStyle w:val="Hyperlink"/>
          </w:rPr>
          <w:t>guidance on data breach</w:t>
        </w:r>
        <w:r w:rsidR="00A4378B" w:rsidRPr="00AC41E0">
          <w:rPr>
            <w:rStyle w:val="Hyperlink"/>
          </w:rPr>
          <w:t xml:space="preserve"> preparation and respon</w:t>
        </w:r>
        <w:r w:rsidR="00B84AE6" w:rsidRPr="00AC41E0">
          <w:rPr>
            <w:rStyle w:val="Hyperlink"/>
          </w:rPr>
          <w:t>se</w:t>
        </w:r>
      </w:hyperlink>
      <w:r w:rsidR="008A5209" w:rsidRPr="00E46FB0">
        <w:t>.</w:t>
      </w:r>
      <w:r w:rsidR="00722864" w:rsidRPr="00AC41E0">
        <w:t xml:space="preserve"> </w:t>
      </w:r>
    </w:p>
    <w:p w14:paraId="53C7AE38" w14:textId="42804A28" w:rsidR="00407CB3" w:rsidRPr="00AC41E0" w:rsidRDefault="00407CB3" w:rsidP="00D4137E">
      <w:pPr>
        <w:pStyle w:val="Heading3"/>
        <w:ind w:left="868"/>
        <w:rPr>
          <w:rFonts w:ascii="Arial" w:hAnsi="Arial"/>
        </w:rPr>
      </w:pPr>
      <w:bookmarkStart w:id="1210" w:name="_Toc65760518"/>
      <w:r w:rsidRPr="00AC41E0">
        <w:rPr>
          <w:rFonts w:ascii="Arial" w:hAnsi="Arial"/>
        </w:rPr>
        <w:t>Links for further information</w:t>
      </w:r>
      <w:bookmarkEnd w:id="1210"/>
    </w:p>
    <w:p w14:paraId="14991B24" w14:textId="63211AF0" w:rsidR="00D1294E" w:rsidRPr="00AC41E0" w:rsidRDefault="00CC328F" w:rsidP="00D4137E">
      <w:pPr>
        <w:pStyle w:val="DCSbodytext"/>
        <w:ind w:left="868"/>
        <w:rPr>
          <w:rStyle w:val="Hyperlink"/>
        </w:rPr>
      </w:pPr>
      <w:r w:rsidRPr="00AC41E0">
        <w:t xml:space="preserve">Visit the </w:t>
      </w:r>
      <w:hyperlink r:id="rId142" w:history="1">
        <w:r w:rsidRPr="00AC41E0">
          <w:rPr>
            <w:rStyle w:val="Hyperlink"/>
          </w:rPr>
          <w:t>Information and Privacy Commission NSW website</w:t>
        </w:r>
      </w:hyperlink>
      <w:r w:rsidRPr="00E46FB0">
        <w:t xml:space="preserve"> </w:t>
      </w:r>
      <w:r w:rsidRPr="00AC41E0">
        <w:t>f</w:t>
      </w:r>
      <w:r w:rsidR="00D1294E" w:rsidRPr="00AC41E0">
        <w:t xml:space="preserve">or guidance on implementing your privacy obligations under the PPIP Act </w:t>
      </w:r>
      <w:r w:rsidR="00032498" w:rsidRPr="00AC41E0">
        <w:t xml:space="preserve">and the IPPs </w:t>
      </w:r>
      <w:r w:rsidR="00D1294E" w:rsidRPr="00AC41E0">
        <w:t xml:space="preserve">and/or </w:t>
      </w:r>
      <w:r w:rsidR="00032498" w:rsidRPr="00AC41E0">
        <w:t xml:space="preserve">the </w:t>
      </w:r>
      <w:r w:rsidR="00D1294E" w:rsidRPr="00AC41E0">
        <w:t>HPIP Act</w:t>
      </w:r>
      <w:r w:rsidR="00032498" w:rsidRPr="00AC41E0">
        <w:t xml:space="preserve"> and HPPs</w:t>
      </w:r>
      <w:r w:rsidRPr="00AC41E0">
        <w:t>.</w:t>
      </w:r>
      <w:r w:rsidR="00D1294E" w:rsidRPr="00AC41E0">
        <w:t xml:space="preserve"> </w:t>
      </w:r>
    </w:p>
    <w:p w14:paraId="3DF6B412" w14:textId="6FE89E73" w:rsidR="00722864" w:rsidRPr="00AC41E0" w:rsidRDefault="00CC328F" w:rsidP="00D4137E">
      <w:pPr>
        <w:pStyle w:val="DCSbodytext"/>
        <w:ind w:left="868"/>
        <w:rPr>
          <w:strike/>
          <w:lang w:eastAsia="en-AU"/>
        </w:rPr>
      </w:pPr>
      <w:r w:rsidRPr="00AC41E0">
        <w:t>V</w:t>
      </w:r>
      <w:r w:rsidR="00722864" w:rsidRPr="00AC41E0">
        <w:t xml:space="preserve">isit the </w:t>
      </w:r>
      <w:hyperlink r:id="rId143" w:history="1">
        <w:r w:rsidR="00722864" w:rsidRPr="00AC41E0">
          <w:rPr>
            <w:rStyle w:val="Hyperlink"/>
          </w:rPr>
          <w:t xml:space="preserve">Office of the Australian Information Commissioner </w:t>
        </w:r>
        <w:r w:rsidR="00884DDD" w:rsidRPr="00AC41E0">
          <w:rPr>
            <w:rStyle w:val="Hyperlink"/>
          </w:rPr>
          <w:t>w</w:t>
        </w:r>
        <w:r w:rsidR="00722864" w:rsidRPr="00AC41E0">
          <w:rPr>
            <w:rStyle w:val="Hyperlink"/>
          </w:rPr>
          <w:t>ebsite</w:t>
        </w:r>
      </w:hyperlink>
      <w:r w:rsidRPr="00E46FB0">
        <w:t xml:space="preserve"> </w:t>
      </w:r>
      <w:r w:rsidRPr="00AC41E0">
        <w:t>for guidance on the Privacy Act</w:t>
      </w:r>
      <w:r w:rsidR="00D1294E" w:rsidRPr="00AC41E0">
        <w:t>.</w:t>
      </w:r>
      <w:bookmarkStart w:id="1211" w:name="_Appendix_D_-"/>
      <w:bookmarkEnd w:id="1151"/>
      <w:bookmarkEnd w:id="1211"/>
    </w:p>
    <w:p w14:paraId="3F48304A" w14:textId="77777777" w:rsidR="006B300D" w:rsidRPr="00AC41E0" w:rsidRDefault="006B300D" w:rsidP="00D4137E">
      <w:pPr>
        <w:pStyle w:val="Heading2"/>
        <w:tabs>
          <w:tab w:val="num" w:pos="868"/>
        </w:tabs>
        <w:ind w:left="868"/>
        <w:rPr>
          <w:rFonts w:ascii="Arial" w:hAnsi="Arial"/>
        </w:rPr>
        <w:sectPr w:rsidR="006B300D" w:rsidRPr="00AC41E0" w:rsidSect="002771AA">
          <w:pgSz w:w="11906" w:h="16838"/>
          <w:pgMar w:top="1418" w:right="1134" w:bottom="1134" w:left="1134" w:header="851" w:footer="425" w:gutter="0"/>
          <w:cols w:space="708"/>
          <w:titlePg/>
          <w:docGrid w:linePitch="360"/>
        </w:sectPr>
      </w:pPr>
      <w:bookmarkStart w:id="1212" w:name="_Cyber_Security"/>
      <w:bookmarkEnd w:id="1212"/>
    </w:p>
    <w:p w14:paraId="60B6F7F7" w14:textId="08432344" w:rsidR="00B13F0A" w:rsidRPr="00AC41E0" w:rsidRDefault="00B13F0A" w:rsidP="00D4137E">
      <w:pPr>
        <w:pStyle w:val="Heading2"/>
        <w:tabs>
          <w:tab w:val="num" w:pos="868"/>
        </w:tabs>
        <w:ind w:left="868"/>
        <w:rPr>
          <w:rFonts w:ascii="Arial" w:hAnsi="Arial"/>
        </w:rPr>
      </w:pPr>
      <w:bookmarkStart w:id="1213" w:name="_Cyber_Security_1"/>
      <w:bookmarkStart w:id="1214" w:name="_Toc65760519"/>
      <w:bookmarkEnd w:id="1213"/>
      <w:r w:rsidRPr="00E46FB0">
        <w:rPr>
          <w:rFonts w:ascii="Arial" w:hAnsi="Arial"/>
        </w:rPr>
        <w:lastRenderedPageBreak/>
        <w:t>Cyber Security</w:t>
      </w:r>
      <w:bookmarkEnd w:id="1214"/>
    </w:p>
    <w:p w14:paraId="6F17B456" w14:textId="3BD95D2B" w:rsidR="00226E38" w:rsidRPr="00AC41E0" w:rsidRDefault="00226E38" w:rsidP="007E2600">
      <w:pPr>
        <w:pStyle w:val="Heading3"/>
        <w:rPr>
          <w:rFonts w:ascii="Arial" w:hAnsi="Arial"/>
        </w:rPr>
      </w:pPr>
      <w:bookmarkStart w:id="1215" w:name="_Securing_IoT"/>
      <w:bookmarkStart w:id="1216" w:name="_Toc65760520"/>
      <w:bookmarkStart w:id="1217" w:name="a33"/>
      <w:bookmarkEnd w:id="1215"/>
      <w:r w:rsidRPr="00AC41E0">
        <w:rPr>
          <w:rFonts w:ascii="Arial" w:hAnsi="Arial"/>
        </w:rPr>
        <w:t>Securing IoT</w:t>
      </w:r>
      <w:bookmarkEnd w:id="1216"/>
    </w:p>
    <w:p w14:paraId="71509DCC" w14:textId="412000D9" w:rsidR="00CC3C20" w:rsidRPr="00AC41E0" w:rsidRDefault="00AA6162" w:rsidP="00D4137E">
      <w:pPr>
        <w:pStyle w:val="DCSbodytext"/>
        <w:ind w:left="868"/>
      </w:pPr>
      <w:r w:rsidRPr="00AC41E0">
        <w:t>This chapter outlines the guiding principles and best practices for implementing IoT to ensure protection against threats to confidentiality, integrity, availability and safety. It does not replace obligations to adhere to your organisation’s information security policies if any.</w:t>
      </w:r>
      <w:r w:rsidR="00CC3C20" w:rsidRPr="00AC41E0">
        <w:t xml:space="preserve"> </w:t>
      </w:r>
    </w:p>
    <w:p w14:paraId="41A2B47F" w14:textId="14CC0417" w:rsidR="007D758E" w:rsidRPr="00AC41E0" w:rsidRDefault="007D758E" w:rsidP="007E2600">
      <w:pPr>
        <w:pStyle w:val="DCSbodytext"/>
        <w:spacing w:after="0"/>
        <w:ind w:left="0"/>
        <w:rPr>
          <w:rStyle w:val="Hyperlink"/>
          <w:color w:val="auto"/>
          <w:sz w:val="16"/>
          <w:szCs w:val="16"/>
          <w:u w:val="none"/>
        </w:rPr>
      </w:pPr>
    </w:p>
    <w:bookmarkStart w:id="1218" w:name="_Toc14341851"/>
    <w:bookmarkStart w:id="1219" w:name="_Toc14360661"/>
    <w:p w14:paraId="3F9007AC" w14:textId="3D31F39A" w:rsidR="00EC2EE1" w:rsidRPr="00E46FB0" w:rsidRDefault="00EC2EE1" w:rsidP="00110CB8">
      <w:pPr>
        <w:ind w:firstLine="720"/>
        <w:rPr>
          <w:rFonts w:ascii="Arial" w:eastAsia="Arial Bold" w:hAnsi="Arial" w:cs="Arial"/>
          <w:b/>
          <w:color w:val="000000"/>
          <w:szCs w:val="40"/>
        </w:rPr>
      </w:pPr>
      <w:r w:rsidRPr="00E46FB0">
        <w:rPr>
          <w:rStyle w:val="Hyperlink"/>
          <w:noProof/>
          <w:color w:val="auto"/>
          <w:u w:val="none"/>
        </w:rPr>
        <mc:AlternateContent>
          <mc:Choice Requires="wps">
            <w:drawing>
              <wp:inline distT="0" distB="0" distL="0" distR="0" wp14:anchorId="190ADE6D" wp14:editId="5103C7E0">
                <wp:extent cx="5507355" cy="2926080"/>
                <wp:effectExtent l="0" t="0" r="17145" b="26670"/>
                <wp:docPr id="531754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2926080"/>
                        </a:xfrm>
                        <a:prstGeom prst="rect">
                          <a:avLst/>
                        </a:prstGeom>
                        <a:solidFill>
                          <a:schemeClr val="accent1">
                            <a:lumMod val="20000"/>
                            <a:lumOff val="80000"/>
                          </a:schemeClr>
                        </a:solidFill>
                        <a:ln w="9525">
                          <a:solidFill>
                            <a:srgbClr val="000000"/>
                          </a:solidFill>
                          <a:miter lim="800000"/>
                          <a:headEnd/>
                          <a:tailEnd/>
                        </a:ln>
                      </wps:spPr>
                      <wps:txbx>
                        <w:txbxContent>
                          <w:p w14:paraId="1EE62250" w14:textId="77777777" w:rsidR="004A5EF4" w:rsidRPr="00A57E29" w:rsidRDefault="004A5EF4" w:rsidP="00110CB8">
                            <w:pPr>
                              <w:pStyle w:val="DCSbodytext"/>
                              <w:ind w:left="0"/>
                              <w:rPr>
                                <w:rStyle w:val="Hyperlink"/>
                                <w:rFonts w:ascii="Times New Roman" w:hAnsi="Times New Roman"/>
                                <w:b/>
                                <w:color w:val="auto"/>
                                <w:sz w:val="24"/>
                                <w:u w:val="none"/>
                                <w:lang w:eastAsia="en-AU"/>
                              </w:rPr>
                            </w:pPr>
                            <w:r w:rsidRPr="00A57E29">
                              <w:rPr>
                                <w:b/>
                              </w:rPr>
                              <w:t xml:space="preserve">Case </w:t>
                            </w:r>
                            <w:r>
                              <w:rPr>
                                <w:b/>
                              </w:rPr>
                              <w:t>S</w:t>
                            </w:r>
                            <w:r w:rsidRPr="00A57E29">
                              <w:rPr>
                                <w:b/>
                              </w:rPr>
                              <w:t xml:space="preserve">tudy – </w:t>
                            </w:r>
                            <w:r>
                              <w:rPr>
                                <w:b/>
                              </w:rPr>
                              <w:t>The growth of cyber security risks from IoT</w:t>
                            </w:r>
                          </w:p>
                          <w:p w14:paraId="7DBF2176" w14:textId="77777777" w:rsidR="004A5EF4" w:rsidRDefault="004A5EF4">
                            <w:pPr>
                              <w:pStyle w:val="DCSbodytext"/>
                              <w:ind w:left="0"/>
                            </w:pPr>
                            <w:r>
                              <w:t xml:space="preserve">The </w:t>
                            </w:r>
                            <w:r w:rsidRPr="00A57E29">
                              <w:t xml:space="preserve">growth of IoT networks presents a range of risks and challenges. Some of these risks have been realised, and new risks and vulnerabilities identified. </w:t>
                            </w:r>
                            <w:r>
                              <w:t>Examples include:</w:t>
                            </w:r>
                          </w:p>
                          <w:p w14:paraId="2873BA3C" w14:textId="77777777" w:rsidR="004A5EF4" w:rsidRDefault="00084371">
                            <w:pPr>
                              <w:pStyle w:val="DCSbodytext"/>
                              <w:numPr>
                                <w:ilvl w:val="0"/>
                                <w:numId w:val="106"/>
                              </w:numPr>
                            </w:pPr>
                            <w:hyperlink r:id="rId144" w:history="1">
                              <w:r w:rsidR="004A5EF4" w:rsidRPr="00483A27">
                                <w:rPr>
                                  <w:rStyle w:val="Hyperlink"/>
                                </w:rPr>
                                <w:t>Princeton University</w:t>
                              </w:r>
                            </w:hyperlink>
                            <w:r w:rsidR="004A5EF4">
                              <w:rPr>
                                <w:rStyle w:val="Hyperlink"/>
                              </w:rPr>
                              <w:t xml:space="preserve"> researchers</w:t>
                            </w:r>
                            <w:r w:rsidR="004A5EF4" w:rsidRPr="00A57E29">
                              <w:t xml:space="preserve"> developed a proof-of-concept named </w:t>
                            </w:r>
                            <w:r w:rsidR="004A5EF4" w:rsidRPr="00A57E29">
                              <w:t>BlackIoT which allow</w:t>
                            </w:r>
                            <w:r w:rsidR="004A5EF4">
                              <w:t>s</w:t>
                            </w:r>
                            <w:r w:rsidR="004A5EF4" w:rsidRPr="00A57E29">
                              <w:t xml:space="preserve"> an adversary to target power grids by enslaving </w:t>
                            </w:r>
                            <w:r w:rsidR="004A5EF4">
                              <w:t>h</w:t>
                            </w:r>
                            <w:r w:rsidR="004A5EF4" w:rsidRPr="00A57E29">
                              <w:t xml:space="preserve">igh </w:t>
                            </w:r>
                            <w:r w:rsidR="004A5EF4">
                              <w:t>w</w:t>
                            </w:r>
                            <w:r w:rsidR="004A5EF4" w:rsidRPr="00A57E29">
                              <w:t>attage IoT devices and then switching them on and off to cause line failures, disruption to grid re-starts</w:t>
                            </w:r>
                            <w:r w:rsidR="004A5EF4">
                              <w:t xml:space="preserve"> and increased demand from systems.</w:t>
                            </w:r>
                          </w:p>
                          <w:p w14:paraId="7ABC47C4" w14:textId="77777777" w:rsidR="004A5EF4" w:rsidRDefault="00084371">
                            <w:pPr>
                              <w:pStyle w:val="DCSbodytext"/>
                              <w:numPr>
                                <w:ilvl w:val="0"/>
                                <w:numId w:val="106"/>
                              </w:numPr>
                            </w:pPr>
                            <w:hyperlink r:id="rId145" w:history="1">
                              <w:r w:rsidR="004A5EF4" w:rsidRPr="006E49BD">
                                <w:rPr>
                                  <w:rStyle w:val="Hyperlink"/>
                                </w:rPr>
                                <w:t>East Coast of the United States lost access to significant portions of the internet</w:t>
                              </w:r>
                            </w:hyperlink>
                            <w:r w:rsidR="004A5EF4">
                              <w:t xml:space="preserve"> due to one </w:t>
                            </w:r>
                            <w:r w:rsidR="004A5EF4" w:rsidRPr="00D43366">
                              <w:t xml:space="preserve">of the largest Distributed Denial of Service (DDoS) attacks to ever hit the </w:t>
                            </w:r>
                            <w:r w:rsidR="004A5EF4">
                              <w:t>i</w:t>
                            </w:r>
                            <w:r w:rsidR="004A5EF4" w:rsidRPr="00D43366">
                              <w:t>nternet</w:t>
                            </w:r>
                            <w:r w:rsidR="004A5EF4">
                              <w:t>. The attack occurred in 2016 because of</w:t>
                            </w:r>
                            <w:r w:rsidR="004A5EF4" w:rsidRPr="00D43366">
                              <w:t xml:space="preserve"> poorly secured IoT devices that were enslaved as part of a global botnet of infected devices. </w:t>
                            </w:r>
                          </w:p>
                        </w:txbxContent>
                      </wps:txbx>
                      <wps:bodyPr rot="0" vert="horz" wrap="square" lIns="91440" tIns="45720" rIns="91440" bIns="45720" anchor="t" anchorCtr="0">
                        <a:noAutofit/>
                      </wps:bodyPr>
                    </wps:wsp>
                  </a:graphicData>
                </a:graphic>
              </wp:inline>
            </w:drawing>
          </mc:Choice>
          <mc:Fallback>
            <w:pict>
              <v:shape w14:anchorId="190ADE6D" id="_x0000_s1035" type="#_x0000_t202" style="width:433.65pt;height:2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" fillcolor="#dbe5f1 [660]">
                <v:textbox>
                  <w:txbxContent>
                    <w:p w14:paraId="1EE62250" w14:textId="77777777" w:rsidR="004A5EF4" w:rsidRPr="00A57E29" w:rsidRDefault="004A5EF4" w:rsidP="00110CB8">
                      <w:pPr>
                        <w:pStyle w:val="DCSbodytext"/>
                        <w:ind w:left="0"/>
                        <w:rPr>
                          <w:rStyle w:val="Hyperlink"/>
                          <w:rFonts w:ascii="Times New Roman" w:hAnsi="Times New Roman"/>
                          <w:b/>
                          <w:color w:val="auto"/>
                          <w:sz w:val="24"/>
                          <w:u w:val="none"/>
                          <w:lang w:eastAsia="en-AU"/>
                        </w:rPr>
                      </w:pPr>
                      <w:r w:rsidRPr="00A57E29">
                        <w:rPr>
                          <w:b/>
                        </w:rPr>
                        <w:t xml:space="preserve">Case </w:t>
                      </w:r>
                      <w:r>
                        <w:rPr>
                          <w:b/>
                        </w:rPr>
                        <w:t>S</w:t>
                      </w:r>
                      <w:r w:rsidRPr="00A57E29">
                        <w:rPr>
                          <w:b/>
                        </w:rPr>
                        <w:t xml:space="preserve">tudy – </w:t>
                      </w:r>
                      <w:r>
                        <w:rPr>
                          <w:b/>
                        </w:rPr>
                        <w:t>The growth of cyber security risks from IoT</w:t>
                      </w:r>
                    </w:p>
                    <w:p w14:paraId="7DBF2176" w14:textId="77777777" w:rsidR="004A5EF4" w:rsidRDefault="004A5EF4">
                      <w:pPr>
                        <w:pStyle w:val="DCSbodytext"/>
                        <w:ind w:left="0"/>
                      </w:pPr>
                      <w:r>
                        <w:t xml:space="preserve">The </w:t>
                      </w:r>
                      <w:r w:rsidRPr="00A57E29">
                        <w:t xml:space="preserve">growth of IoT networks presents a range of risks and challenges. Some of these risks have been realised, and new risks and vulnerabilities identified. </w:t>
                      </w:r>
                      <w:r>
                        <w:t>Examples include:</w:t>
                      </w:r>
                    </w:p>
                    <w:p w14:paraId="2873BA3C" w14:textId="77777777" w:rsidR="004A5EF4" w:rsidRDefault="00826A4F">
                      <w:pPr>
                        <w:pStyle w:val="DCSbodytext"/>
                        <w:numPr>
                          <w:ilvl w:val="0"/>
                          <w:numId w:val="106"/>
                        </w:numPr>
                      </w:pPr>
                      <w:hyperlink r:id="rId146" w:history="1">
                        <w:r w:rsidR="004A5EF4" w:rsidRPr="00483A27">
                          <w:rPr>
                            <w:rStyle w:val="Hyperlink"/>
                          </w:rPr>
                          <w:t>Princeton University</w:t>
                        </w:r>
                      </w:hyperlink>
                      <w:r w:rsidR="004A5EF4">
                        <w:rPr>
                          <w:rStyle w:val="Hyperlink"/>
                        </w:rPr>
                        <w:t xml:space="preserve"> researchers</w:t>
                      </w:r>
                      <w:r w:rsidR="004A5EF4" w:rsidRPr="00A57E29">
                        <w:t xml:space="preserve"> developed a proof-of-concept named </w:t>
                      </w:r>
                      <w:proofErr w:type="spellStart"/>
                      <w:r w:rsidR="004A5EF4" w:rsidRPr="00A57E29">
                        <w:t>BlackIoT</w:t>
                      </w:r>
                      <w:proofErr w:type="spellEnd"/>
                      <w:r w:rsidR="004A5EF4" w:rsidRPr="00A57E29">
                        <w:t xml:space="preserve"> which allow</w:t>
                      </w:r>
                      <w:r w:rsidR="004A5EF4">
                        <w:t>s</w:t>
                      </w:r>
                      <w:r w:rsidR="004A5EF4" w:rsidRPr="00A57E29">
                        <w:t xml:space="preserve"> an adversary to target power grids by enslaving </w:t>
                      </w:r>
                      <w:r w:rsidR="004A5EF4">
                        <w:t>h</w:t>
                      </w:r>
                      <w:r w:rsidR="004A5EF4" w:rsidRPr="00A57E29">
                        <w:t xml:space="preserve">igh </w:t>
                      </w:r>
                      <w:r w:rsidR="004A5EF4">
                        <w:t>w</w:t>
                      </w:r>
                      <w:r w:rsidR="004A5EF4" w:rsidRPr="00A57E29">
                        <w:t>attage IoT devices and then switching them on and off to cause line failures, disruption to grid re-starts</w:t>
                      </w:r>
                      <w:r w:rsidR="004A5EF4">
                        <w:t xml:space="preserve"> and increased demand from systems.</w:t>
                      </w:r>
                    </w:p>
                    <w:p w14:paraId="7ABC47C4" w14:textId="77777777" w:rsidR="004A5EF4" w:rsidRDefault="00826A4F">
                      <w:pPr>
                        <w:pStyle w:val="DCSbodytext"/>
                        <w:numPr>
                          <w:ilvl w:val="0"/>
                          <w:numId w:val="106"/>
                        </w:numPr>
                      </w:pPr>
                      <w:hyperlink r:id="rId147" w:history="1">
                        <w:r w:rsidR="004A5EF4" w:rsidRPr="006E49BD">
                          <w:rPr>
                            <w:rStyle w:val="Hyperlink"/>
                          </w:rPr>
                          <w:t>East Coast of the United States lost access to significant portions of the internet</w:t>
                        </w:r>
                      </w:hyperlink>
                      <w:r w:rsidR="004A5EF4">
                        <w:t xml:space="preserve"> due to one </w:t>
                      </w:r>
                      <w:r w:rsidR="004A5EF4" w:rsidRPr="00D43366">
                        <w:t xml:space="preserve">of the largest Distributed Denial of Service (DDoS) attacks to ever hit the </w:t>
                      </w:r>
                      <w:r w:rsidR="004A5EF4">
                        <w:t>i</w:t>
                      </w:r>
                      <w:r w:rsidR="004A5EF4" w:rsidRPr="00D43366">
                        <w:t>nternet</w:t>
                      </w:r>
                      <w:r w:rsidR="004A5EF4">
                        <w:t>. The attack occurred in 2016 because of</w:t>
                      </w:r>
                      <w:r w:rsidR="004A5EF4" w:rsidRPr="00D43366">
                        <w:t xml:space="preserve"> poorly secured IoT devices that were enslaved as part of a global botnet of infected devices. </w:t>
                      </w:r>
                    </w:p>
                  </w:txbxContent>
                </v:textbox>
                <w10:anchorlock/>
              </v:shape>
            </w:pict>
          </mc:Fallback>
        </mc:AlternateContent>
      </w:r>
    </w:p>
    <w:p w14:paraId="52CC7111" w14:textId="6159B82E" w:rsidR="00AA6162" w:rsidRPr="00AC41E0" w:rsidRDefault="00AA6162" w:rsidP="00D4137E">
      <w:pPr>
        <w:pStyle w:val="Heading3"/>
        <w:ind w:left="868"/>
        <w:rPr>
          <w:rFonts w:ascii="Arial" w:hAnsi="Arial"/>
        </w:rPr>
      </w:pPr>
      <w:bookmarkStart w:id="1220" w:name="_Toc65760521"/>
      <w:r w:rsidRPr="00AC41E0">
        <w:rPr>
          <w:rFonts w:ascii="Arial" w:hAnsi="Arial"/>
        </w:rPr>
        <w:t xml:space="preserve">NSW Cyber Security Policy </w:t>
      </w:r>
      <w:bookmarkEnd w:id="1218"/>
      <w:r w:rsidRPr="00AC41E0">
        <w:rPr>
          <w:rFonts w:ascii="Arial" w:hAnsi="Arial"/>
        </w:rPr>
        <w:t>requirements</w:t>
      </w:r>
      <w:bookmarkEnd w:id="1219"/>
      <w:bookmarkEnd w:id="1220"/>
    </w:p>
    <w:p w14:paraId="454D9852" w14:textId="0789C781" w:rsidR="00910054" w:rsidRPr="00AC41E0" w:rsidRDefault="006E2972" w:rsidP="00D4137E">
      <w:pPr>
        <w:pStyle w:val="DCSbodytext"/>
        <w:ind w:left="868"/>
        <w:rPr>
          <w:i/>
        </w:rPr>
      </w:pPr>
      <w:r w:rsidRPr="00AC41E0">
        <w:t xml:space="preserve">While the </w:t>
      </w:r>
      <w:hyperlink r:id="rId148" w:history="1">
        <w:r w:rsidRPr="00AC41E0">
          <w:rPr>
            <w:rStyle w:val="Hyperlink"/>
          </w:rPr>
          <w:t>NSW Cyber Security Policy</w:t>
        </w:r>
      </w:hyperlink>
      <w:r w:rsidRPr="00E46FB0">
        <w:t xml:space="preserve"> focuses on critical systems and data (</w:t>
      </w:r>
      <w:r w:rsidR="00A029E7" w:rsidRPr="00AC41E0">
        <w:t>‘</w:t>
      </w:r>
      <w:r w:rsidRPr="00AC41E0">
        <w:t>crown jewels</w:t>
      </w:r>
      <w:r w:rsidR="00A029E7" w:rsidRPr="00AC41E0">
        <w:t>’</w:t>
      </w:r>
      <w:r w:rsidRPr="00AC41E0">
        <w:t xml:space="preserve">), there are cyber security risks to </w:t>
      </w:r>
      <w:r w:rsidRPr="00AC41E0">
        <w:rPr>
          <w:b/>
          <w:i/>
        </w:rPr>
        <w:t>all</w:t>
      </w:r>
      <w:r w:rsidRPr="00AC41E0">
        <w:t xml:space="preserve"> IoT implementations. </w:t>
      </w:r>
      <w:r w:rsidR="00910054" w:rsidRPr="00AC41E0">
        <w:t xml:space="preserve">There are </w:t>
      </w:r>
      <w:hyperlink r:id="rId149" w:history="1">
        <w:r w:rsidR="00910054" w:rsidRPr="00AC41E0">
          <w:rPr>
            <w:rStyle w:val="Hyperlink"/>
          </w:rPr>
          <w:t>mandatory requirements</w:t>
        </w:r>
      </w:hyperlink>
      <w:r w:rsidR="00910054" w:rsidRPr="00E46FB0">
        <w:t xml:space="preserve"> within the NSW Cyber Security Policy that cyber teams must understand before implementing an IoT system in NSW</w:t>
      </w:r>
      <w:r w:rsidR="00910054" w:rsidRPr="00AC41E0">
        <w:rPr>
          <w:i/>
        </w:rPr>
        <w:t>.</w:t>
      </w:r>
    </w:p>
    <w:p w14:paraId="20E7FE91" w14:textId="49FBB379" w:rsidR="00FF575A" w:rsidRPr="00AC41E0" w:rsidRDefault="00EC1356" w:rsidP="00D4137E">
      <w:pPr>
        <w:pStyle w:val="DCSbodytext"/>
        <w:ind w:left="868"/>
      </w:pPr>
      <w:r w:rsidRPr="00AC41E0">
        <w:t>With regards to crown jewels, t</w:t>
      </w:r>
      <w:r w:rsidR="00FF575A" w:rsidRPr="00AC41E0">
        <w:t xml:space="preserve">he NSW Cyber Security Policy mandates that any systems or data determined by a NSW Government cluster or agency </w:t>
      </w:r>
      <w:r w:rsidR="00CA42DC" w:rsidRPr="00AC41E0">
        <w:t xml:space="preserve">to be a critical asset or </w:t>
      </w:r>
      <w:r w:rsidR="00FF575A" w:rsidRPr="00AC41E0">
        <w:t xml:space="preserve">crown jewel must be reported to Cyber Security NSW. Risk management of crown jewels </w:t>
      </w:r>
      <w:r w:rsidR="00966D93" w:rsidRPr="00AC41E0">
        <w:t xml:space="preserve">is </w:t>
      </w:r>
      <w:r w:rsidR="00FF575A" w:rsidRPr="00AC41E0">
        <w:t>to be covered by either an Information Security Management System</w:t>
      </w:r>
      <w:r w:rsidR="00A5187A" w:rsidRPr="00AC41E0">
        <w:t xml:space="preserve"> (ISMS)</w:t>
      </w:r>
      <w:r w:rsidR="00FF575A" w:rsidRPr="00AC41E0">
        <w:t xml:space="preserve"> or Cyber Security Management System that is compliant with recognised standards such as ISO/IEC 27001 or ISA/IEC 62443.</w:t>
      </w:r>
    </w:p>
    <w:p w14:paraId="4B44D6F1" w14:textId="0BAEF447" w:rsidR="00DE2A1E" w:rsidRPr="00AC41E0" w:rsidRDefault="00084371" w:rsidP="00D4137E">
      <w:pPr>
        <w:pStyle w:val="DCSbodytext"/>
        <w:ind w:left="868"/>
        <w:rPr>
          <w:szCs w:val="22"/>
        </w:rPr>
      </w:pPr>
      <w:hyperlink r:id="rId150" w:history="1">
        <w:r w:rsidR="00DE2A1E" w:rsidRPr="00AC41E0">
          <w:rPr>
            <w:rStyle w:val="Hyperlink"/>
          </w:rPr>
          <w:t>ISO27001</w:t>
        </w:r>
      </w:hyperlink>
      <w:r w:rsidR="00DE2A1E" w:rsidRPr="00E46FB0">
        <w:t xml:space="preserve"> is the best-known standard from the ISO/IEC 27000 family and provides requirements for an ISMS. An ISMS is a systematic approach to managing sensitive company information so that it remains secure. It includes people, processes and IT </w:t>
      </w:r>
      <w:r w:rsidR="00DE2A1E" w:rsidRPr="00AC41E0">
        <w:rPr>
          <w:szCs w:val="22"/>
        </w:rPr>
        <w:t>systems by applying a risk management process.</w:t>
      </w:r>
    </w:p>
    <w:p w14:paraId="5308425F" w14:textId="4D9BDAD6" w:rsidR="00C2405F" w:rsidRPr="00AC41E0" w:rsidRDefault="00C2405F" w:rsidP="00D4137E">
      <w:pPr>
        <w:pStyle w:val="DCSbodytext"/>
        <w:ind w:left="868"/>
        <w:rPr>
          <w:szCs w:val="22"/>
        </w:rPr>
      </w:pPr>
      <w:r w:rsidRPr="00AC41E0">
        <w:rPr>
          <w:rFonts w:cstheme="minorHAnsi"/>
          <w:szCs w:val="22"/>
          <w:shd w:val="clear" w:color="auto" w:fill="F9F9F9"/>
        </w:rPr>
        <w:t xml:space="preserve">IEC62443 has been developed to improve the safety, availability, integrity and confidentiality of components or systems used in industrial automation and control. The </w:t>
      </w:r>
      <w:r w:rsidRPr="00AC41E0">
        <w:rPr>
          <w:rFonts w:cstheme="minorHAnsi"/>
          <w:szCs w:val="22"/>
          <w:shd w:val="clear" w:color="auto" w:fill="F9F9F9"/>
        </w:rPr>
        <w:lastRenderedPageBreak/>
        <w:t>IEC62443 standard includes 4 security assurance levels. The assurance levels define a series of security requirements that need to be met.</w:t>
      </w:r>
    </w:p>
    <w:p w14:paraId="779C97A1" w14:textId="77777777" w:rsidR="00AA6162" w:rsidRPr="00AC41E0" w:rsidRDefault="0005442B" w:rsidP="00D4137E">
      <w:pPr>
        <w:pStyle w:val="DCSbodytext"/>
        <w:ind w:left="1775"/>
        <w:rPr>
          <w:i/>
        </w:rPr>
      </w:pPr>
      <w:r w:rsidRPr="00E46FB0">
        <w:rPr>
          <w:noProof/>
        </w:rPr>
        <w:drawing>
          <wp:anchor distT="0" distB="0" distL="114300" distR="114300" simplePos="0" relativeHeight="251658249" behindDoc="1" locked="0" layoutInCell="1" allowOverlap="1" wp14:anchorId="78B2F167" wp14:editId="108E97AF">
            <wp:simplePos x="0" y="0"/>
            <wp:positionH relativeFrom="margin">
              <wp:posOffset>517488</wp:posOffset>
            </wp:positionH>
            <wp:positionV relativeFrom="paragraph">
              <wp:posOffset>34250</wp:posOffset>
            </wp:positionV>
            <wp:extent cx="445770" cy="445770"/>
            <wp:effectExtent l="0" t="0" r="0" b="0"/>
            <wp:wrapTight wrapText="bothSides">
              <wp:wrapPolygon edited="0">
                <wp:start x="7385" y="0"/>
                <wp:lineTo x="923" y="3692"/>
                <wp:lineTo x="0" y="9231"/>
                <wp:lineTo x="2769" y="15692"/>
                <wp:lineTo x="7385" y="20308"/>
                <wp:lineTo x="12923" y="20308"/>
                <wp:lineTo x="12923" y="15692"/>
                <wp:lineTo x="19385" y="15692"/>
                <wp:lineTo x="19385" y="3692"/>
                <wp:lineTo x="12000" y="0"/>
                <wp:lineTo x="7385" y="0"/>
              </wp:wrapPolygon>
            </wp:wrapTight>
            <wp:docPr id="6" name="Graphic 6"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45770" cy="445770"/>
                    </a:xfrm>
                    <a:prstGeom prst="rect">
                      <a:avLst/>
                    </a:prstGeom>
                  </pic:spPr>
                </pic:pic>
              </a:graphicData>
            </a:graphic>
            <wp14:sizeRelH relativeFrom="margin">
              <wp14:pctWidth>0</wp14:pctWidth>
            </wp14:sizeRelH>
            <wp14:sizeRelV relativeFrom="margin">
              <wp14:pctHeight>0</wp14:pctHeight>
            </wp14:sizeRelV>
          </wp:anchor>
        </w:drawing>
      </w:r>
      <w:r w:rsidR="00FF575A" w:rsidRPr="00E46FB0">
        <w:rPr>
          <w:i/>
          <w:iCs/>
        </w:rPr>
        <w:t>Although the NSW Cyber Security Policy is only mandated for NSW Government agencies, Cyber Security NSW recommends that local government councils and state-ow</w:t>
      </w:r>
      <w:r w:rsidR="00FF575A" w:rsidRPr="00AC41E0">
        <w:rPr>
          <w:i/>
          <w:iCs/>
        </w:rPr>
        <w:t>ned corporations implement requirements within the policy to mitigate cyber security risks.</w:t>
      </w:r>
    </w:p>
    <w:p w14:paraId="4D71F865" w14:textId="12CC8D4B" w:rsidR="00AA6162" w:rsidRPr="00AC41E0" w:rsidRDefault="00AA6162" w:rsidP="00D4137E">
      <w:pPr>
        <w:pStyle w:val="Heading3"/>
        <w:ind w:left="868"/>
        <w:rPr>
          <w:rFonts w:ascii="Arial" w:hAnsi="Arial"/>
        </w:rPr>
      </w:pPr>
      <w:bookmarkStart w:id="1221" w:name="_Toc14341854"/>
      <w:bookmarkStart w:id="1222" w:name="_Toc14360662"/>
      <w:bookmarkStart w:id="1223" w:name="_Toc65760522"/>
      <w:bookmarkStart w:id="1224" w:name="_Toc14341853"/>
      <w:r w:rsidRPr="00AC41E0">
        <w:rPr>
          <w:rFonts w:ascii="Arial" w:hAnsi="Arial"/>
        </w:rPr>
        <w:t xml:space="preserve">Challenges in securing </w:t>
      </w:r>
      <w:bookmarkEnd w:id="1221"/>
      <w:bookmarkEnd w:id="1222"/>
      <w:r w:rsidR="00A74726" w:rsidRPr="00AC41E0">
        <w:rPr>
          <w:rFonts w:ascii="Arial" w:hAnsi="Arial"/>
        </w:rPr>
        <w:t>IoT</w:t>
      </w:r>
      <w:bookmarkEnd w:id="1223"/>
    </w:p>
    <w:bookmarkEnd w:id="1224"/>
    <w:p w14:paraId="28530CBD" w14:textId="6CA09C99" w:rsidR="00AA6162" w:rsidRPr="00AC41E0" w:rsidRDefault="006312EF" w:rsidP="00374CED">
      <w:pPr>
        <w:pStyle w:val="DCSbodytext"/>
        <w:spacing w:after="120"/>
        <w:ind w:left="868"/>
      </w:pPr>
      <w:r w:rsidRPr="00AC41E0">
        <w:t xml:space="preserve">Organisations must be aware of the risks that are introduced by the IoT at all stages of the project development process. </w:t>
      </w:r>
      <w:r w:rsidR="00AA6162" w:rsidRPr="00AC41E0">
        <w:t>The devices that make up an IoT network are well-known in the information security community for being inherently insecure. Challenges in securing IoT devices include:</w:t>
      </w:r>
    </w:p>
    <w:p w14:paraId="01260D60" w14:textId="5E3907A6" w:rsidR="00141075" w:rsidRPr="00AC41E0" w:rsidRDefault="00550933" w:rsidP="00374CED">
      <w:pPr>
        <w:pStyle w:val="DCSbodytext"/>
        <w:numPr>
          <w:ilvl w:val="0"/>
          <w:numId w:val="94"/>
        </w:numPr>
        <w:spacing w:after="120"/>
      </w:pPr>
      <w:r w:rsidRPr="00AC41E0">
        <w:t>IoT d</w:t>
      </w:r>
      <w:r w:rsidR="00AA6162" w:rsidRPr="00AC41E0">
        <w:t>evices often lack resources that enable advanced security controls</w:t>
      </w:r>
      <w:r w:rsidR="00A71270" w:rsidRPr="00AC41E0">
        <w:t xml:space="preserve">, as they </w:t>
      </w:r>
      <w:r w:rsidR="00AA6162" w:rsidRPr="00AC41E0">
        <w:t xml:space="preserve">typically </w:t>
      </w:r>
      <w:r w:rsidR="00E358EF" w:rsidRPr="00AC41E0">
        <w:t>have</w:t>
      </w:r>
      <w:r w:rsidR="00AA6162" w:rsidRPr="00AC41E0">
        <w:t xml:space="preserve"> limited processing capacity, memory and power.</w:t>
      </w:r>
      <w:r w:rsidRPr="00AC41E0">
        <w:t xml:space="preserve"> </w:t>
      </w:r>
      <w:r w:rsidR="00141075" w:rsidRPr="00AC41E0">
        <w:t>Manufacturers can be inclined to leave security features out to drive down production costs.</w:t>
      </w:r>
    </w:p>
    <w:p w14:paraId="77FF1F1A" w14:textId="58C4F2ED" w:rsidR="002B1E5B" w:rsidRPr="00AC41E0" w:rsidRDefault="002B1E5B" w:rsidP="00374CED">
      <w:pPr>
        <w:pStyle w:val="DCSbodytext"/>
        <w:numPr>
          <w:ilvl w:val="0"/>
          <w:numId w:val="94"/>
        </w:numPr>
        <w:spacing w:after="120"/>
      </w:pPr>
      <w:r w:rsidRPr="00AC41E0">
        <w:t xml:space="preserve">Often numerous </w:t>
      </w:r>
      <w:r w:rsidR="00536866" w:rsidRPr="00AC41E0">
        <w:t xml:space="preserve">IoT service providers </w:t>
      </w:r>
      <w:r w:rsidRPr="00AC41E0">
        <w:t xml:space="preserve">have contributed to the manufacture of IoT devices. These complex supply chains make it difficult to receive software updates. Some components might be discontinued, meaning there is no owner </w:t>
      </w:r>
      <w:r w:rsidR="004F79C0" w:rsidRPr="00AC41E0">
        <w:t xml:space="preserve">responsible for </w:t>
      </w:r>
      <w:r w:rsidRPr="00AC41E0">
        <w:t>provid</w:t>
      </w:r>
      <w:r w:rsidR="004F79C0" w:rsidRPr="00AC41E0">
        <w:t>ing</w:t>
      </w:r>
      <w:r w:rsidRPr="00AC41E0">
        <w:t xml:space="preserve"> updates.</w:t>
      </w:r>
    </w:p>
    <w:p w14:paraId="02150F08" w14:textId="77777777" w:rsidR="00AA6162" w:rsidRPr="00AC41E0" w:rsidRDefault="00AA6162" w:rsidP="00374CED">
      <w:pPr>
        <w:pStyle w:val="DCSbodytext"/>
        <w:numPr>
          <w:ilvl w:val="0"/>
          <w:numId w:val="94"/>
        </w:numPr>
        <w:spacing w:after="120"/>
      </w:pPr>
      <w:r w:rsidRPr="00AC41E0">
        <w:t>The dynamic and evolving nature of IoT means standards and regulation will struggle to keep pace with technology.</w:t>
      </w:r>
    </w:p>
    <w:p w14:paraId="2A4AF1C3" w14:textId="65A1717F" w:rsidR="00AA6162" w:rsidRPr="00AC41E0" w:rsidRDefault="00AA6162" w:rsidP="00374CED">
      <w:pPr>
        <w:pStyle w:val="DCSbodytext"/>
        <w:numPr>
          <w:ilvl w:val="0"/>
          <w:numId w:val="94"/>
        </w:numPr>
        <w:spacing w:after="120"/>
      </w:pPr>
      <w:r w:rsidRPr="00AC41E0">
        <w:t>The flow of data from IoT devices can interface to various cloud platforms in both private and public instances which can introduce vulnerabilities.</w:t>
      </w:r>
    </w:p>
    <w:p w14:paraId="182990FF" w14:textId="04E28461" w:rsidR="00AA6162" w:rsidRPr="00AC41E0" w:rsidRDefault="00AA6162" w:rsidP="00374CED">
      <w:pPr>
        <w:pStyle w:val="DCSbodytext"/>
        <w:numPr>
          <w:ilvl w:val="0"/>
          <w:numId w:val="94"/>
        </w:numPr>
        <w:spacing w:after="120"/>
      </w:pPr>
      <w:r w:rsidRPr="00AC41E0">
        <w:t>Latency issues caused by large amounts of sensors trying to send data to the cloud can</w:t>
      </w:r>
      <w:r w:rsidR="00966D93" w:rsidRPr="00AC41E0">
        <w:t>, in turn,</w:t>
      </w:r>
      <w:r w:rsidRPr="00AC41E0">
        <w:t xml:space="preserve"> require </w:t>
      </w:r>
      <w:r w:rsidR="00966D93" w:rsidRPr="00AC41E0">
        <w:t xml:space="preserve">an </w:t>
      </w:r>
      <w:r w:rsidRPr="00AC41E0">
        <w:t>architecture that allows for computing to occur at the edge and not in the cloud. Th</w:t>
      </w:r>
      <w:r w:rsidR="00941984" w:rsidRPr="00AC41E0">
        <w:t xml:space="preserve">e </w:t>
      </w:r>
      <w:r w:rsidRPr="00AC41E0">
        <w:t>challenges</w:t>
      </w:r>
      <w:r w:rsidR="00941984" w:rsidRPr="00AC41E0">
        <w:t xml:space="preserve"> this creates in </w:t>
      </w:r>
      <w:r w:rsidRPr="00AC41E0">
        <w:t>enforcing security protocols</w:t>
      </w:r>
      <w:r w:rsidR="00941984" w:rsidRPr="00AC41E0">
        <w:t xml:space="preserve"> </w:t>
      </w:r>
      <w:r w:rsidR="00966D93" w:rsidRPr="00AC41E0">
        <w:t xml:space="preserve">have </w:t>
      </w:r>
      <w:r w:rsidR="00941984" w:rsidRPr="00AC41E0">
        <w:t xml:space="preserve">been </w:t>
      </w:r>
      <w:hyperlink r:id="rId151" w:history="1">
        <w:r w:rsidR="00941984" w:rsidRPr="00AC41E0">
          <w:rPr>
            <w:rStyle w:val="Hyperlink"/>
          </w:rPr>
          <w:t>documented</w:t>
        </w:r>
      </w:hyperlink>
      <w:r w:rsidR="00941984" w:rsidRPr="00E46FB0">
        <w:t>.</w:t>
      </w:r>
    </w:p>
    <w:p w14:paraId="0DAC413C" w14:textId="77777777" w:rsidR="00AA6162" w:rsidRPr="00AC41E0" w:rsidRDefault="00AA6162" w:rsidP="00D978A4">
      <w:pPr>
        <w:pStyle w:val="DCSbodytext"/>
        <w:numPr>
          <w:ilvl w:val="0"/>
          <w:numId w:val="94"/>
        </w:numPr>
      </w:pPr>
      <w:r w:rsidRPr="00AC41E0">
        <w:t xml:space="preserve">It is difficult for security teams to manage risks to and from devices when they are unaware of their existence as these devices are often installed by non-IT personnel, e.g. air conditioning systems, lighting systems, building management systems. </w:t>
      </w:r>
    </w:p>
    <w:p w14:paraId="11B9E242" w14:textId="77777777" w:rsidR="00AA6162" w:rsidRPr="00AC41E0" w:rsidRDefault="00AA6162" w:rsidP="00D4137E">
      <w:pPr>
        <w:pStyle w:val="Heading3"/>
        <w:ind w:left="868"/>
        <w:rPr>
          <w:rFonts w:ascii="Arial" w:hAnsi="Arial"/>
        </w:rPr>
      </w:pPr>
      <w:bookmarkStart w:id="1225" w:name="_Toc14360663"/>
      <w:bookmarkStart w:id="1226" w:name="_Toc65760523"/>
      <w:r w:rsidRPr="00AC41E0">
        <w:rPr>
          <w:rFonts w:ascii="Arial" w:hAnsi="Arial"/>
        </w:rPr>
        <w:t>Vulnerabilities in consumer IoT devices</w:t>
      </w:r>
      <w:bookmarkEnd w:id="1225"/>
      <w:bookmarkEnd w:id="1226"/>
    </w:p>
    <w:p w14:paraId="00B464AD" w14:textId="3E5111E5" w:rsidR="007036C5" w:rsidRPr="00AC41E0" w:rsidRDefault="004F79C0" w:rsidP="00D4137E">
      <w:pPr>
        <w:pStyle w:val="DCSbodytext"/>
        <w:ind w:left="868"/>
      </w:pPr>
      <w:r w:rsidRPr="00AC41E0">
        <w:t xml:space="preserve">You </w:t>
      </w:r>
      <w:r w:rsidR="00AA6162" w:rsidRPr="00AC41E0">
        <w:t>must ensure the devices</w:t>
      </w:r>
      <w:r w:rsidRPr="00AC41E0">
        <w:t xml:space="preserve"> you procure</w:t>
      </w:r>
      <w:r w:rsidR="00AA6162" w:rsidRPr="00AC41E0">
        <w:t xml:space="preserve"> do not contain vulnerabilities that are frequently observed in consumer IoT products.</w:t>
      </w:r>
      <w:r w:rsidR="00585098" w:rsidRPr="00AC41E0">
        <w:t xml:space="preserve"> </w:t>
      </w:r>
      <w:r w:rsidR="00AA6162" w:rsidRPr="00AC41E0">
        <w:t>The</w:t>
      </w:r>
      <w:r w:rsidR="00553E8C" w:rsidRPr="00AC41E0">
        <w:t xml:space="preserve"> following table summarises the</w:t>
      </w:r>
      <w:r w:rsidR="00AA6162" w:rsidRPr="00AC41E0">
        <w:t xml:space="preserve"> </w:t>
      </w:r>
      <w:r w:rsidR="00A1096D" w:rsidRPr="00AC41E0">
        <w:t>most commonly observed vulnerabilities in consumer IoT devices</w:t>
      </w:r>
      <w:r w:rsidR="00AA6162" w:rsidRPr="00AC41E0">
        <w:t xml:space="preserve"> </w:t>
      </w:r>
      <w:r w:rsidR="00553E8C" w:rsidRPr="00AC41E0">
        <w:t>identified by the Open Web Application Security Project (OWASP).</w:t>
      </w:r>
      <w:r w:rsidR="007036C5" w:rsidRPr="00AC41E0">
        <w:t xml:space="preserve"> </w:t>
      </w:r>
    </w:p>
    <w:p w14:paraId="745837AA" w14:textId="77777777" w:rsidR="00AE56FC" w:rsidRPr="00AC41E0" w:rsidRDefault="00AE56FC" w:rsidP="00D4137E">
      <w:pPr>
        <w:pStyle w:val="DCSbodytext"/>
        <w:ind w:left="868"/>
        <w:jc w:val="center"/>
        <w:sectPr w:rsidR="00AE56FC" w:rsidRPr="00AC41E0" w:rsidSect="002771AA">
          <w:pgSz w:w="11906" w:h="16838"/>
          <w:pgMar w:top="1418" w:right="1134" w:bottom="1134" w:left="1134" w:header="851" w:footer="425" w:gutter="0"/>
          <w:cols w:space="708"/>
          <w:titlePg/>
          <w:docGrid w:linePitch="360"/>
        </w:sectPr>
      </w:pPr>
    </w:p>
    <w:p w14:paraId="51C90D4F" w14:textId="03D487F1" w:rsidR="00CD6D00" w:rsidRPr="00AC41E0" w:rsidRDefault="00084371" w:rsidP="00D4137E">
      <w:pPr>
        <w:pStyle w:val="DCSbodytext"/>
        <w:ind w:left="868"/>
        <w:jc w:val="center"/>
        <w:rPr>
          <w:b/>
        </w:rPr>
      </w:pPr>
      <w:hyperlink r:id="rId152" w:history="1">
        <w:r w:rsidR="00AA6162" w:rsidRPr="00AC41E0">
          <w:rPr>
            <w:rStyle w:val="Hyperlink"/>
            <w:b/>
          </w:rPr>
          <w:t>Top 10 vulnerabilities in consumer IoT devices</w:t>
        </w:r>
      </w:hyperlink>
      <w:r w:rsidR="00AA6162" w:rsidRPr="00E46FB0">
        <w:rPr>
          <w:b/>
        </w:rPr>
        <w:t xml:space="preserve"> according to OWASP</w:t>
      </w:r>
    </w:p>
    <w:tbl>
      <w:tblPr>
        <w:tblStyle w:val="GridTable4-Accent1"/>
        <w:tblW w:w="14743" w:type="dxa"/>
        <w:tblInd w:w="-147" w:type="dxa"/>
        <w:tblLook w:val="04A0" w:firstRow="1" w:lastRow="0" w:firstColumn="1" w:lastColumn="0" w:noHBand="0" w:noVBand="1"/>
      </w:tblPr>
      <w:tblGrid>
        <w:gridCol w:w="1843"/>
        <w:gridCol w:w="12900"/>
      </w:tblGrid>
      <w:tr w:rsidR="00CD6D00" w:rsidRPr="00AC41E0" w14:paraId="321A2B6B" w14:textId="77777777" w:rsidTr="4E49D5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1F497D" w:themeFill="text2"/>
          </w:tcPr>
          <w:p w14:paraId="4091F348" w14:textId="18134761" w:rsidR="00FA6B49" w:rsidRPr="00AC41E0" w:rsidRDefault="00FA6B49" w:rsidP="00B9589F">
            <w:pPr>
              <w:pStyle w:val="DCSbodytext"/>
              <w:spacing w:after="40"/>
              <w:ind w:left="0"/>
              <w:jc w:val="center"/>
            </w:pPr>
            <w:bookmarkStart w:id="1227" w:name="_Toc14341856"/>
            <w:bookmarkStart w:id="1228" w:name="_Toc14360664"/>
            <w:r w:rsidRPr="00AC41E0">
              <w:t>Vulnerability</w:t>
            </w:r>
          </w:p>
        </w:tc>
        <w:tc>
          <w:tcPr>
            <w:tcW w:w="12900" w:type="dxa"/>
            <w:tcBorders>
              <w:top w:val="single" w:sz="4" w:space="0" w:color="auto"/>
              <w:left w:val="single" w:sz="4" w:space="0" w:color="auto"/>
              <w:bottom w:val="single" w:sz="4" w:space="0" w:color="auto"/>
              <w:right w:val="single" w:sz="4" w:space="0" w:color="auto"/>
            </w:tcBorders>
            <w:shd w:val="clear" w:color="auto" w:fill="1F497D" w:themeFill="text2"/>
          </w:tcPr>
          <w:p w14:paraId="3A2ED7D0" w14:textId="12E9632F" w:rsidR="00FA6B49" w:rsidRPr="00AC41E0" w:rsidRDefault="00FA6B49" w:rsidP="00B9589F">
            <w:pPr>
              <w:pStyle w:val="DCSbodytext"/>
              <w:spacing w:after="40"/>
              <w:ind w:left="0"/>
              <w:jc w:val="center"/>
              <w:cnfStyle w:val="100000000000" w:firstRow="1" w:lastRow="0" w:firstColumn="0" w:lastColumn="0" w:oddVBand="0" w:evenVBand="0" w:oddHBand="0" w:evenHBand="0" w:firstRowFirstColumn="0" w:firstRowLastColumn="0" w:lastRowFirstColumn="0" w:lastRowLastColumn="0"/>
            </w:pPr>
            <w:r w:rsidRPr="00AC41E0">
              <w:t>Description</w:t>
            </w:r>
          </w:p>
        </w:tc>
      </w:tr>
      <w:tr w:rsidR="00CD6D00" w:rsidRPr="00AC41E0" w14:paraId="4F67A2E6" w14:textId="77777777" w:rsidTr="4E49D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tcPr>
          <w:p w14:paraId="31006E15" w14:textId="77777777" w:rsidR="00FA6B49" w:rsidRPr="00AC41E0" w:rsidRDefault="00FA6B49" w:rsidP="00B9589F">
            <w:pPr>
              <w:pStyle w:val="DCSbodytext"/>
              <w:spacing w:after="40"/>
              <w:ind w:left="0"/>
            </w:pPr>
            <w:r w:rsidRPr="00AC41E0">
              <w:t>Weak, guessable or hardcoded passwords</w:t>
            </w:r>
          </w:p>
        </w:tc>
        <w:tc>
          <w:tcPr>
            <w:tcW w:w="12900" w:type="dxa"/>
            <w:tcBorders>
              <w:top w:val="single" w:sz="4" w:space="0" w:color="auto"/>
            </w:tcBorders>
          </w:tcPr>
          <w:p w14:paraId="4D6EE0C3" w14:textId="564E6829" w:rsidR="007171FE" w:rsidRPr="00AC41E0" w:rsidRDefault="00221022" w:rsidP="00B9589F">
            <w:pPr>
              <w:pStyle w:val="DCSbodytext"/>
              <w:spacing w:after="40"/>
              <w:ind w:left="0"/>
              <w:cnfStyle w:val="000000100000" w:firstRow="0" w:lastRow="0" w:firstColumn="0" w:lastColumn="0" w:oddVBand="0" w:evenVBand="0" w:oddHBand="1" w:evenHBand="0" w:firstRowFirstColumn="0" w:firstRowLastColumn="0" w:lastRowFirstColumn="0" w:lastRowLastColumn="0"/>
            </w:pPr>
            <w:r w:rsidRPr="00AC41E0">
              <w:t>P</w:t>
            </w:r>
            <w:r w:rsidR="00FA6B49" w:rsidRPr="00AC41E0">
              <w:t xml:space="preserve">asswords that are not unique can be acquired by an adversary in password lists that are often made publicly available as dumps on paste sites, or for sale on Darknet marketplaces. </w:t>
            </w:r>
            <w:r w:rsidR="002C45AB" w:rsidRPr="00AC41E0">
              <w:t>P</w:t>
            </w:r>
            <w:r w:rsidR="00FA6B49" w:rsidRPr="00AC41E0">
              <w:t xml:space="preserve">assword lists can be used by attackers to speed up the process of a brute force attempt on an IoT system. </w:t>
            </w:r>
          </w:p>
          <w:p w14:paraId="2F14E37B" w14:textId="19262174" w:rsidR="00FA6B49" w:rsidRPr="00AC41E0" w:rsidRDefault="00A0639B" w:rsidP="00A0639B">
            <w:pPr>
              <w:pStyle w:val="DCSbodytext"/>
              <w:spacing w:before="240" w:after="40"/>
              <w:ind w:left="619"/>
              <w:cnfStyle w:val="000000100000" w:firstRow="0" w:lastRow="0" w:firstColumn="0" w:lastColumn="0" w:oddVBand="0" w:evenVBand="0" w:oddHBand="1" w:evenHBand="0" w:firstRowFirstColumn="0" w:firstRowLastColumn="0" w:lastRowFirstColumn="0" w:lastRowLastColumn="0"/>
            </w:pPr>
            <w:r w:rsidRPr="00E46FB0">
              <w:rPr>
                <w:noProof/>
              </w:rPr>
              <w:drawing>
                <wp:anchor distT="0" distB="0" distL="114300" distR="114300" simplePos="0" relativeHeight="251658257" behindDoc="1" locked="0" layoutInCell="1" allowOverlap="1" wp14:anchorId="7BD67A9C" wp14:editId="495DDC94">
                  <wp:simplePos x="0" y="0"/>
                  <wp:positionH relativeFrom="margin">
                    <wp:posOffset>-59055</wp:posOffset>
                  </wp:positionH>
                  <wp:positionV relativeFrom="paragraph">
                    <wp:posOffset>163830</wp:posOffset>
                  </wp:positionV>
                  <wp:extent cx="389255" cy="389255"/>
                  <wp:effectExtent l="0" t="0" r="0" b="0"/>
                  <wp:wrapTight wrapText="bothSides">
                    <wp:wrapPolygon edited="0">
                      <wp:start x="7400" y="0"/>
                      <wp:lineTo x="0" y="5285"/>
                      <wp:lineTo x="0" y="13742"/>
                      <wp:lineTo x="6343" y="20085"/>
                      <wp:lineTo x="12685" y="20085"/>
                      <wp:lineTo x="14799" y="16914"/>
                      <wp:lineTo x="20085" y="10571"/>
                      <wp:lineTo x="20085" y="5285"/>
                      <wp:lineTo x="11628" y="0"/>
                      <wp:lineTo x="7400" y="0"/>
                    </wp:wrapPolygon>
                  </wp:wrapTight>
                  <wp:docPr id="7" name="Graphic 7"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r w:rsidR="00FA6B49" w:rsidRPr="00E46FB0">
              <w:rPr>
                <w:i/>
                <w:iCs/>
              </w:rPr>
              <w:t xml:space="preserve">Tip: The </w:t>
            </w:r>
            <w:hyperlink r:id="rId153" w:history="1">
              <w:r w:rsidR="00FA6B49" w:rsidRPr="00AC41E0">
                <w:rPr>
                  <w:rStyle w:val="Hyperlink"/>
                </w:rPr>
                <w:t>Australian Government Information Security Manual</w:t>
              </w:r>
            </w:hyperlink>
            <w:r w:rsidR="00FA6B49" w:rsidRPr="00E46FB0">
              <w:rPr>
                <w:i/>
                <w:iCs/>
              </w:rPr>
              <w:t xml:space="preserve"> recommends that passphrases used as the sole method of authentication should consist of 13 alphabetic characters; or 10</w:t>
            </w:r>
            <w:r w:rsidR="00FA6B49" w:rsidRPr="00AC41E0">
              <w:rPr>
                <w:i/>
                <w:iCs/>
              </w:rPr>
              <w:t xml:space="preserve"> characters with complexity. For further guidance on passwords, </w:t>
            </w:r>
            <w:r w:rsidR="00710FF4" w:rsidRPr="00AC41E0">
              <w:rPr>
                <w:i/>
                <w:iCs/>
              </w:rPr>
              <w:t xml:space="preserve">visit the </w:t>
            </w:r>
            <w:hyperlink r:id="rId154" w:history="1">
              <w:r w:rsidR="00710FF4" w:rsidRPr="00AC41E0">
                <w:rPr>
                  <w:rStyle w:val="Hyperlink"/>
                  <w:i/>
                  <w:iCs/>
                </w:rPr>
                <w:t>Australian Cyber Security Centre website</w:t>
              </w:r>
            </w:hyperlink>
            <w:r w:rsidR="00710FF4" w:rsidRPr="00E46FB0">
              <w:rPr>
                <w:i/>
                <w:iCs/>
              </w:rPr>
              <w:t>.</w:t>
            </w:r>
          </w:p>
        </w:tc>
      </w:tr>
      <w:tr w:rsidR="00CD6D00" w:rsidRPr="00AC41E0" w14:paraId="3B8AD5CD" w14:textId="77777777" w:rsidTr="4E49D50C">
        <w:tc>
          <w:tcPr>
            <w:cnfStyle w:val="001000000000" w:firstRow="0" w:lastRow="0" w:firstColumn="1" w:lastColumn="0" w:oddVBand="0" w:evenVBand="0" w:oddHBand="0" w:evenHBand="0" w:firstRowFirstColumn="0" w:firstRowLastColumn="0" w:lastRowFirstColumn="0" w:lastRowLastColumn="0"/>
            <w:tcW w:w="1843" w:type="dxa"/>
          </w:tcPr>
          <w:p w14:paraId="55E13AC1" w14:textId="77777777" w:rsidR="00FA6B49" w:rsidRPr="00AC41E0" w:rsidRDefault="00FA6B49" w:rsidP="00B9589F">
            <w:pPr>
              <w:pStyle w:val="DCSbodytext"/>
              <w:spacing w:after="40"/>
              <w:ind w:left="0"/>
            </w:pPr>
            <w:r w:rsidRPr="00AC41E0">
              <w:t>Insecure network services</w:t>
            </w:r>
          </w:p>
        </w:tc>
        <w:tc>
          <w:tcPr>
            <w:tcW w:w="12900" w:type="dxa"/>
          </w:tcPr>
          <w:p w14:paraId="3C97D8DA" w14:textId="36FAE913" w:rsidR="00FA6B49" w:rsidRPr="00AC41E0" w:rsidRDefault="00FA6B49" w:rsidP="00B9589F">
            <w:pPr>
              <w:pStyle w:val="DCSbodytext"/>
              <w:spacing w:after="40"/>
              <w:ind w:left="0"/>
              <w:cnfStyle w:val="000000000000" w:firstRow="0" w:lastRow="0" w:firstColumn="0" w:lastColumn="0" w:oddVBand="0" w:evenVBand="0" w:oddHBand="0" w:evenHBand="0" w:firstRowFirstColumn="0" w:firstRowLastColumn="0" w:lastRowFirstColumn="0" w:lastRowLastColumn="0"/>
            </w:pPr>
            <w:r w:rsidRPr="00AC41E0">
              <w:t>Unne</w:t>
            </w:r>
            <w:r w:rsidR="00BF7CC6" w:rsidRPr="00AC41E0">
              <w:t>cessary</w:t>
            </w:r>
            <w:r w:rsidRPr="00AC41E0">
              <w:t xml:space="preserve"> or insecure network services running on the device itself, especially those exposed to the Internet, that compromise the confidentiality, integrity/authenticity, or availability of information</w:t>
            </w:r>
            <w:r w:rsidR="00CF3C50" w:rsidRPr="00AC41E0">
              <w:t>,</w:t>
            </w:r>
            <w:r w:rsidRPr="00AC41E0">
              <w:t xml:space="preserve"> or allow unauthorised remote control.</w:t>
            </w:r>
          </w:p>
          <w:p w14:paraId="679F86A7" w14:textId="77777777" w:rsidR="007D654D" w:rsidRPr="00AC41E0" w:rsidRDefault="00A0639B" w:rsidP="009F0D5E">
            <w:pPr>
              <w:pStyle w:val="DCSbodytext"/>
              <w:spacing w:before="240" w:after="120"/>
              <w:ind w:left="618"/>
              <w:cnfStyle w:val="000000000000" w:firstRow="0" w:lastRow="0" w:firstColumn="0" w:lastColumn="0" w:oddVBand="0" w:evenVBand="0" w:oddHBand="0" w:evenHBand="0" w:firstRowFirstColumn="0" w:firstRowLastColumn="0" w:lastRowFirstColumn="0" w:lastRowLastColumn="0"/>
              <w:rPr>
                <w:i/>
              </w:rPr>
            </w:pPr>
            <w:r w:rsidRPr="00E46FB0">
              <w:rPr>
                <w:noProof/>
              </w:rPr>
              <w:drawing>
                <wp:anchor distT="0" distB="0" distL="114300" distR="114300" simplePos="0" relativeHeight="251658256" behindDoc="1" locked="0" layoutInCell="1" allowOverlap="1" wp14:anchorId="1B594061" wp14:editId="4D8289AC">
                  <wp:simplePos x="0" y="0"/>
                  <wp:positionH relativeFrom="margin">
                    <wp:posOffset>-17780</wp:posOffset>
                  </wp:positionH>
                  <wp:positionV relativeFrom="paragraph">
                    <wp:posOffset>71755</wp:posOffset>
                  </wp:positionV>
                  <wp:extent cx="389255" cy="389255"/>
                  <wp:effectExtent l="0" t="0" r="0" b="0"/>
                  <wp:wrapTight wrapText="bothSides">
                    <wp:wrapPolygon edited="0">
                      <wp:start x="7400" y="0"/>
                      <wp:lineTo x="0" y="5285"/>
                      <wp:lineTo x="0" y="13742"/>
                      <wp:lineTo x="6343" y="20085"/>
                      <wp:lineTo x="12685" y="20085"/>
                      <wp:lineTo x="14799" y="16914"/>
                      <wp:lineTo x="20085" y="10571"/>
                      <wp:lineTo x="20085" y="5285"/>
                      <wp:lineTo x="11628" y="0"/>
                      <wp:lineTo x="7400" y="0"/>
                    </wp:wrapPolygon>
                  </wp:wrapTight>
                  <wp:docPr id="5" name="Graphic 5"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r w:rsidR="00FA6B49" w:rsidRPr="00E46FB0">
              <w:rPr>
                <w:i/>
                <w:iCs/>
              </w:rPr>
              <w:t>Tip: Ensure tha</w:t>
            </w:r>
            <w:r w:rsidR="00FA6B49" w:rsidRPr="00AC41E0">
              <w:rPr>
                <w:i/>
                <w:iCs/>
              </w:rPr>
              <w:t xml:space="preserve">t only the services required for the device to perform its function are enabled. Services not required must be disabled. </w:t>
            </w:r>
          </w:p>
          <w:p w14:paraId="11D53625" w14:textId="00FD42A0" w:rsidR="00FA6B49" w:rsidRPr="00AC41E0" w:rsidRDefault="007D654D" w:rsidP="009F0D5E">
            <w:pPr>
              <w:pStyle w:val="DCSbodytext"/>
              <w:spacing w:after="40"/>
              <w:ind w:left="619"/>
              <w:cnfStyle w:val="000000000000" w:firstRow="0" w:lastRow="0" w:firstColumn="0" w:lastColumn="0" w:oddVBand="0" w:evenVBand="0" w:oddHBand="0" w:evenHBand="0" w:firstRowFirstColumn="0" w:firstRowLastColumn="0" w:lastRowFirstColumn="0" w:lastRowLastColumn="0"/>
            </w:pPr>
            <w:r w:rsidRPr="00AC41E0">
              <w:rPr>
                <w:i/>
              </w:rPr>
              <w:t xml:space="preserve">The services that are running on IoT devices should be understood and it </w:t>
            </w:r>
            <w:r w:rsidR="00966D93" w:rsidRPr="00AC41E0">
              <w:rPr>
                <w:i/>
              </w:rPr>
              <w:t xml:space="preserve">is </w:t>
            </w:r>
            <w:r w:rsidRPr="00AC41E0">
              <w:rPr>
                <w:i/>
              </w:rPr>
              <w:t xml:space="preserve">determined </w:t>
            </w:r>
            <w:r w:rsidR="009956CB" w:rsidRPr="00AC41E0">
              <w:rPr>
                <w:i/>
              </w:rPr>
              <w:t>if</w:t>
            </w:r>
            <w:r w:rsidRPr="00AC41E0">
              <w:rPr>
                <w:i/>
              </w:rPr>
              <w:t xml:space="preserve"> a more secure alternative can be used</w:t>
            </w:r>
            <w:r w:rsidR="009956CB" w:rsidRPr="00AC41E0">
              <w:rPr>
                <w:i/>
              </w:rPr>
              <w:t>. For example,</w:t>
            </w:r>
            <w:r w:rsidRPr="00AC41E0">
              <w:rPr>
                <w:i/>
              </w:rPr>
              <w:t xml:space="preserve"> if the default service for remote administration is Telnet, consider </w:t>
            </w:r>
            <w:r w:rsidR="00461330" w:rsidRPr="00AC41E0">
              <w:rPr>
                <w:i/>
              </w:rPr>
              <w:t>if</w:t>
            </w:r>
            <w:r w:rsidRPr="00AC41E0">
              <w:rPr>
                <w:i/>
              </w:rPr>
              <w:t xml:space="preserve"> the device has enough CPU to handle a more secure alternative such as Secure Shell (SSH) which allows for encryption</w:t>
            </w:r>
            <w:r w:rsidR="00461330" w:rsidRPr="00AC41E0">
              <w:rPr>
                <w:i/>
              </w:rPr>
              <w:t>.</w:t>
            </w:r>
          </w:p>
        </w:tc>
      </w:tr>
      <w:tr w:rsidR="00CD6D00" w:rsidRPr="00AC41E0" w14:paraId="6BEE3A73" w14:textId="77777777" w:rsidTr="4E49D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838E154" w14:textId="67975E33" w:rsidR="00FA6B49" w:rsidRPr="00AC41E0" w:rsidRDefault="00FA6B49" w:rsidP="00B9589F">
            <w:pPr>
              <w:pStyle w:val="DCSbodytext"/>
              <w:spacing w:after="40"/>
              <w:ind w:left="0"/>
            </w:pPr>
            <w:r w:rsidRPr="00AC41E0">
              <w:t xml:space="preserve">Insecure </w:t>
            </w:r>
            <w:r w:rsidR="006C32A6" w:rsidRPr="00AC41E0">
              <w:t>e</w:t>
            </w:r>
            <w:r w:rsidRPr="00AC41E0">
              <w:t xml:space="preserve">cosystem </w:t>
            </w:r>
            <w:r w:rsidR="006C32A6" w:rsidRPr="00AC41E0">
              <w:t>i</w:t>
            </w:r>
            <w:r w:rsidRPr="00AC41E0">
              <w:t>nterfaces</w:t>
            </w:r>
          </w:p>
        </w:tc>
        <w:tc>
          <w:tcPr>
            <w:tcW w:w="12900" w:type="dxa"/>
          </w:tcPr>
          <w:p w14:paraId="192934C6" w14:textId="39AB7CFD" w:rsidR="00FA6B49" w:rsidRPr="00AC41E0" w:rsidRDefault="00FA6B49" w:rsidP="00B9589F">
            <w:pPr>
              <w:pStyle w:val="DCSbodytext"/>
              <w:spacing w:after="40"/>
              <w:ind w:left="0"/>
              <w:cnfStyle w:val="000000100000" w:firstRow="0" w:lastRow="0" w:firstColumn="0" w:lastColumn="0" w:oddVBand="0" w:evenVBand="0" w:oddHBand="1" w:evenHBand="0" w:firstRowFirstColumn="0" w:firstRowLastColumn="0" w:lastRowFirstColumn="0" w:lastRowLastColumn="0"/>
            </w:pPr>
            <w:r w:rsidRPr="00AC41E0">
              <w:t xml:space="preserve">Insecure web, backend API, cloud, or mobile interfaces in the ecosystem outside of the device that allows </w:t>
            </w:r>
            <w:r w:rsidR="00966D93" w:rsidRPr="00AC41E0">
              <w:t xml:space="preserve">a </w:t>
            </w:r>
            <w:r w:rsidRPr="00AC41E0">
              <w:t>compromise of the device or its related components. Common issues include a lack of authentication/authorisation, lacking or weak encryption and a lack of input and output filtering.</w:t>
            </w:r>
          </w:p>
          <w:p w14:paraId="40C54B80" w14:textId="4178C7F1" w:rsidR="00FA6B49" w:rsidRPr="00AC41E0" w:rsidRDefault="00A0639B" w:rsidP="00A0639B">
            <w:pPr>
              <w:pStyle w:val="DCSbodytext"/>
              <w:spacing w:before="240" w:after="40"/>
              <w:ind w:left="619"/>
              <w:cnfStyle w:val="000000100000" w:firstRow="0" w:lastRow="0" w:firstColumn="0" w:lastColumn="0" w:oddVBand="0" w:evenVBand="0" w:oddHBand="1" w:evenHBand="0" w:firstRowFirstColumn="0" w:firstRowLastColumn="0" w:lastRowFirstColumn="0" w:lastRowLastColumn="0"/>
            </w:pPr>
            <w:r w:rsidRPr="00E46FB0">
              <w:rPr>
                <w:noProof/>
              </w:rPr>
              <w:drawing>
                <wp:anchor distT="0" distB="0" distL="114300" distR="114300" simplePos="0" relativeHeight="251658255" behindDoc="1" locked="0" layoutInCell="1" allowOverlap="1" wp14:anchorId="519B405E" wp14:editId="2DB11B75">
                  <wp:simplePos x="0" y="0"/>
                  <wp:positionH relativeFrom="margin">
                    <wp:posOffset>-65405</wp:posOffset>
                  </wp:positionH>
                  <wp:positionV relativeFrom="paragraph">
                    <wp:posOffset>45720</wp:posOffset>
                  </wp:positionV>
                  <wp:extent cx="389255" cy="389255"/>
                  <wp:effectExtent l="0" t="0" r="0" b="0"/>
                  <wp:wrapTight wrapText="bothSides">
                    <wp:wrapPolygon edited="0">
                      <wp:start x="7400" y="0"/>
                      <wp:lineTo x="0" y="5285"/>
                      <wp:lineTo x="0" y="13742"/>
                      <wp:lineTo x="6343" y="20085"/>
                      <wp:lineTo x="12685" y="20085"/>
                      <wp:lineTo x="14799" y="16914"/>
                      <wp:lineTo x="20085" y="10571"/>
                      <wp:lineTo x="20085" y="5285"/>
                      <wp:lineTo x="11628" y="0"/>
                      <wp:lineTo x="7400" y="0"/>
                    </wp:wrapPolygon>
                  </wp:wrapTight>
                  <wp:docPr id="2" name="Graphic 2"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r w:rsidR="00FA6B49" w:rsidRPr="00E46FB0">
              <w:rPr>
                <w:i/>
                <w:iCs/>
              </w:rPr>
              <w:t>Tip: Thorough assessment of all components of an IoT system must take place</w:t>
            </w:r>
            <w:r w:rsidR="00EC6C39" w:rsidRPr="00AC41E0">
              <w:rPr>
                <w:i/>
                <w:iCs/>
              </w:rPr>
              <w:t xml:space="preserve">, not only the </w:t>
            </w:r>
            <w:r w:rsidR="00D43421" w:rsidRPr="00AC41E0">
              <w:rPr>
                <w:i/>
                <w:iCs/>
              </w:rPr>
              <w:t>device and the local network</w:t>
            </w:r>
            <w:r w:rsidR="00FA6B49" w:rsidRPr="00AC41E0">
              <w:rPr>
                <w:i/>
                <w:iCs/>
              </w:rPr>
              <w:t>.</w:t>
            </w:r>
          </w:p>
        </w:tc>
      </w:tr>
      <w:tr w:rsidR="00CD6D00" w:rsidRPr="00AC41E0" w14:paraId="3B5D910C" w14:textId="77777777" w:rsidTr="4E49D50C">
        <w:tc>
          <w:tcPr>
            <w:cnfStyle w:val="001000000000" w:firstRow="0" w:lastRow="0" w:firstColumn="1" w:lastColumn="0" w:oddVBand="0" w:evenVBand="0" w:oddHBand="0" w:evenHBand="0" w:firstRowFirstColumn="0" w:firstRowLastColumn="0" w:lastRowFirstColumn="0" w:lastRowLastColumn="0"/>
            <w:tcW w:w="1843" w:type="dxa"/>
          </w:tcPr>
          <w:p w14:paraId="2D453C86" w14:textId="77777777" w:rsidR="00FA6B49" w:rsidRPr="00AC41E0" w:rsidRDefault="00FA6B49" w:rsidP="00B9589F">
            <w:pPr>
              <w:pStyle w:val="DCSbodytext"/>
              <w:spacing w:after="40"/>
              <w:ind w:left="0"/>
            </w:pPr>
            <w:r w:rsidRPr="00AC41E0">
              <w:t>Lack of secure update mechanisms</w:t>
            </w:r>
          </w:p>
        </w:tc>
        <w:tc>
          <w:tcPr>
            <w:tcW w:w="12900" w:type="dxa"/>
          </w:tcPr>
          <w:p w14:paraId="542FA623" w14:textId="02E6D72C" w:rsidR="00FA6B49" w:rsidRPr="00AC41E0" w:rsidRDefault="00FA6B49" w:rsidP="00B9589F">
            <w:pPr>
              <w:pStyle w:val="DCSbodytext"/>
              <w:spacing w:after="40"/>
              <w:ind w:left="0"/>
              <w:cnfStyle w:val="000000000000" w:firstRow="0" w:lastRow="0" w:firstColumn="0" w:lastColumn="0" w:oddVBand="0" w:evenVBand="0" w:oddHBand="0" w:evenHBand="0" w:firstRowFirstColumn="0" w:firstRowLastColumn="0" w:lastRowFirstColumn="0" w:lastRowLastColumn="0"/>
            </w:pPr>
            <w:r w:rsidRPr="00AC41E0">
              <w:t xml:space="preserve">Lack of ability to securely update the device. This includes lack of firmware validation on </w:t>
            </w:r>
            <w:r w:rsidR="00966D93" w:rsidRPr="00AC41E0">
              <w:t xml:space="preserve">a </w:t>
            </w:r>
            <w:r w:rsidRPr="00AC41E0">
              <w:t>device, lack of bandwidth to deliver over the air (OTA) updates, lack of secure delivery (un-encrypted in transit), lack of anti-rollback mechanisms, and lack of notifications of security changes due to updates.</w:t>
            </w:r>
          </w:p>
          <w:p w14:paraId="436CAE0A" w14:textId="21CE7D6F" w:rsidR="00FA6B49" w:rsidRPr="00AC41E0" w:rsidRDefault="00A0639B" w:rsidP="00A0639B">
            <w:pPr>
              <w:pStyle w:val="DCSbodytext"/>
              <w:spacing w:before="240" w:after="40"/>
              <w:ind w:left="619"/>
              <w:cnfStyle w:val="000000000000" w:firstRow="0" w:lastRow="0" w:firstColumn="0" w:lastColumn="0" w:oddVBand="0" w:evenVBand="0" w:oddHBand="0" w:evenHBand="0" w:firstRowFirstColumn="0" w:firstRowLastColumn="0" w:lastRowFirstColumn="0" w:lastRowLastColumn="0"/>
            </w:pPr>
            <w:r w:rsidRPr="00E46FB0">
              <w:rPr>
                <w:noProof/>
              </w:rPr>
              <w:drawing>
                <wp:anchor distT="0" distB="0" distL="114300" distR="114300" simplePos="0" relativeHeight="251658258" behindDoc="1" locked="0" layoutInCell="1" allowOverlap="1" wp14:anchorId="09AEE085" wp14:editId="7D8D8524">
                  <wp:simplePos x="0" y="0"/>
                  <wp:positionH relativeFrom="margin">
                    <wp:posOffset>-17780</wp:posOffset>
                  </wp:positionH>
                  <wp:positionV relativeFrom="paragraph">
                    <wp:posOffset>39370</wp:posOffset>
                  </wp:positionV>
                  <wp:extent cx="389255" cy="389255"/>
                  <wp:effectExtent l="0" t="0" r="0" b="0"/>
                  <wp:wrapTight wrapText="bothSides">
                    <wp:wrapPolygon edited="0">
                      <wp:start x="7400" y="0"/>
                      <wp:lineTo x="0" y="5285"/>
                      <wp:lineTo x="0" y="13742"/>
                      <wp:lineTo x="6343" y="20085"/>
                      <wp:lineTo x="12685" y="20085"/>
                      <wp:lineTo x="14799" y="16914"/>
                      <wp:lineTo x="20085" y="10571"/>
                      <wp:lineTo x="20085" y="5285"/>
                      <wp:lineTo x="11628" y="0"/>
                      <wp:lineTo x="7400" y="0"/>
                    </wp:wrapPolygon>
                  </wp:wrapTight>
                  <wp:docPr id="8" name="Graphic 8"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r w:rsidR="00FA6B49" w:rsidRPr="00E46FB0">
              <w:rPr>
                <w:i/>
                <w:iCs/>
              </w:rPr>
              <w:t xml:space="preserve">Tip: It is important </w:t>
            </w:r>
            <w:r w:rsidR="00D43421" w:rsidRPr="00AC41E0">
              <w:rPr>
                <w:i/>
                <w:iCs/>
              </w:rPr>
              <w:t xml:space="preserve">to confirm </w:t>
            </w:r>
            <w:r w:rsidR="00FA6B49" w:rsidRPr="00AC41E0">
              <w:rPr>
                <w:i/>
                <w:iCs/>
              </w:rPr>
              <w:t>the integrity of software updates</w:t>
            </w:r>
            <w:r w:rsidR="00D43421" w:rsidRPr="00AC41E0">
              <w:rPr>
                <w:i/>
                <w:iCs/>
              </w:rPr>
              <w:t xml:space="preserve"> with the</w:t>
            </w:r>
            <w:r w:rsidR="00FA6B49" w:rsidRPr="00AC41E0">
              <w:rPr>
                <w:i/>
                <w:iCs/>
              </w:rPr>
              <w:t xml:space="preserve"> manufacturer prior to procuring the device.</w:t>
            </w:r>
          </w:p>
        </w:tc>
      </w:tr>
      <w:tr w:rsidR="00CD6D00" w:rsidRPr="00AC41E0" w14:paraId="795F8831" w14:textId="77777777" w:rsidTr="4E49D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F9243EB" w14:textId="77777777" w:rsidR="00FA6B49" w:rsidRPr="00AC41E0" w:rsidRDefault="00FA6B49" w:rsidP="00B9589F">
            <w:pPr>
              <w:pStyle w:val="DCSbodytext"/>
              <w:spacing w:after="40"/>
              <w:ind w:left="0"/>
            </w:pPr>
            <w:r w:rsidRPr="00AC41E0">
              <w:t>Use of insecure or outdated components</w:t>
            </w:r>
          </w:p>
        </w:tc>
        <w:tc>
          <w:tcPr>
            <w:tcW w:w="12900" w:type="dxa"/>
          </w:tcPr>
          <w:p w14:paraId="79443794" w14:textId="78421322" w:rsidR="00FA6B49" w:rsidRPr="00AC41E0" w:rsidRDefault="00FA6B49" w:rsidP="00B9589F">
            <w:pPr>
              <w:pStyle w:val="DCSbodytext"/>
              <w:spacing w:after="40"/>
              <w:ind w:left="0"/>
              <w:cnfStyle w:val="000000100000" w:firstRow="0" w:lastRow="0" w:firstColumn="0" w:lastColumn="0" w:oddVBand="0" w:evenVBand="0" w:oddHBand="1" w:evenHBand="0" w:firstRowFirstColumn="0" w:firstRowLastColumn="0" w:lastRowFirstColumn="0" w:lastRowLastColumn="0"/>
            </w:pPr>
            <w:r w:rsidRPr="00AC41E0">
              <w:t xml:space="preserve">Use of deprecated or insecure software components/libraries that could allow the device to be compromised. This includes insecure customisation of operating system platforms, and the use of </w:t>
            </w:r>
            <w:r w:rsidR="00633525" w:rsidRPr="00AC41E0">
              <w:t>third-party</w:t>
            </w:r>
            <w:r w:rsidRPr="00AC41E0">
              <w:t xml:space="preserve"> software or hardware components from a compromised supply chain.</w:t>
            </w:r>
          </w:p>
          <w:p w14:paraId="35FB00EE" w14:textId="514B340F" w:rsidR="00FA6B49" w:rsidRPr="00AC41E0" w:rsidRDefault="00A0639B" w:rsidP="00A0639B">
            <w:pPr>
              <w:pStyle w:val="DCSbodytext"/>
              <w:spacing w:before="240" w:after="40"/>
              <w:ind w:left="477"/>
              <w:cnfStyle w:val="000000100000" w:firstRow="0" w:lastRow="0" w:firstColumn="0" w:lastColumn="0" w:oddVBand="0" w:evenVBand="0" w:oddHBand="1" w:evenHBand="0" w:firstRowFirstColumn="0" w:firstRowLastColumn="0" w:lastRowFirstColumn="0" w:lastRowLastColumn="0"/>
              <w:rPr>
                <w:i/>
              </w:rPr>
            </w:pPr>
            <w:r w:rsidRPr="00E46FB0">
              <w:rPr>
                <w:noProof/>
              </w:rPr>
              <w:lastRenderedPageBreak/>
              <w:drawing>
                <wp:anchor distT="0" distB="0" distL="114300" distR="114300" simplePos="0" relativeHeight="251658254" behindDoc="1" locked="0" layoutInCell="1" allowOverlap="1" wp14:anchorId="4D191783" wp14:editId="19A85F6B">
                  <wp:simplePos x="0" y="0"/>
                  <wp:positionH relativeFrom="margin">
                    <wp:posOffset>-52705</wp:posOffset>
                  </wp:positionH>
                  <wp:positionV relativeFrom="paragraph">
                    <wp:posOffset>119380</wp:posOffset>
                  </wp:positionV>
                  <wp:extent cx="389255" cy="389255"/>
                  <wp:effectExtent l="0" t="0" r="0" b="0"/>
                  <wp:wrapTight wrapText="bothSides">
                    <wp:wrapPolygon edited="0">
                      <wp:start x="7400" y="0"/>
                      <wp:lineTo x="0" y="5285"/>
                      <wp:lineTo x="0" y="13742"/>
                      <wp:lineTo x="6343" y="20085"/>
                      <wp:lineTo x="12685" y="20085"/>
                      <wp:lineTo x="14799" y="16914"/>
                      <wp:lineTo x="20085" y="10571"/>
                      <wp:lineTo x="20085" y="5285"/>
                      <wp:lineTo x="11628" y="0"/>
                      <wp:lineTo x="7400" y="0"/>
                    </wp:wrapPolygon>
                  </wp:wrapTight>
                  <wp:docPr id="1" name="Graphic 1"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r w:rsidR="00FA6B49" w:rsidRPr="00E46FB0">
              <w:rPr>
                <w:i/>
                <w:iCs/>
              </w:rPr>
              <w:t xml:space="preserve">Tip: The </w:t>
            </w:r>
            <w:hyperlink r:id="rId155" w:history="1">
              <w:r w:rsidR="00FA6B49" w:rsidRPr="00AC41E0">
                <w:rPr>
                  <w:rStyle w:val="Hyperlink"/>
                  <w:i/>
                  <w:iCs/>
                </w:rPr>
                <w:t>Australian Government’s Critical Infrastructure Centre</w:t>
              </w:r>
            </w:hyperlink>
            <w:r w:rsidR="00FA6B49" w:rsidRPr="00E46FB0">
              <w:rPr>
                <w:i/>
                <w:iCs/>
              </w:rPr>
              <w:t xml:space="preserve"> provides advice on dealing with risks to supply chain security</w:t>
            </w:r>
            <w:r w:rsidR="003133C7" w:rsidRPr="00AC41E0">
              <w:rPr>
                <w:i/>
                <w:iCs/>
              </w:rPr>
              <w:t>.</w:t>
            </w:r>
          </w:p>
        </w:tc>
      </w:tr>
      <w:tr w:rsidR="00CD6D00" w:rsidRPr="00AC41E0" w14:paraId="27640364" w14:textId="77777777" w:rsidTr="4E49D50C">
        <w:tc>
          <w:tcPr>
            <w:cnfStyle w:val="001000000000" w:firstRow="0" w:lastRow="0" w:firstColumn="1" w:lastColumn="0" w:oddVBand="0" w:evenVBand="0" w:oddHBand="0" w:evenHBand="0" w:firstRowFirstColumn="0" w:firstRowLastColumn="0" w:lastRowFirstColumn="0" w:lastRowLastColumn="0"/>
            <w:tcW w:w="1843" w:type="dxa"/>
          </w:tcPr>
          <w:p w14:paraId="60F8C8EB" w14:textId="77777777" w:rsidR="00FA6B49" w:rsidRPr="00AC41E0" w:rsidRDefault="00FA6B49" w:rsidP="00B9589F">
            <w:pPr>
              <w:pStyle w:val="DCSbodytext"/>
              <w:spacing w:after="40"/>
              <w:ind w:left="0"/>
            </w:pPr>
            <w:r w:rsidRPr="00AC41E0">
              <w:lastRenderedPageBreak/>
              <w:t>Insufficient privacy protection</w:t>
            </w:r>
          </w:p>
        </w:tc>
        <w:tc>
          <w:tcPr>
            <w:tcW w:w="12900" w:type="dxa"/>
          </w:tcPr>
          <w:p w14:paraId="0B241F4B" w14:textId="5FBFD097" w:rsidR="00A0639B" w:rsidRPr="00AC41E0" w:rsidRDefault="00FA6B49" w:rsidP="00B9589F">
            <w:pPr>
              <w:pStyle w:val="DCSbodytext"/>
              <w:spacing w:after="40"/>
              <w:ind w:left="0"/>
              <w:cnfStyle w:val="000000000000" w:firstRow="0" w:lastRow="0" w:firstColumn="0" w:lastColumn="0" w:oddVBand="0" w:evenVBand="0" w:oddHBand="0" w:evenHBand="0" w:firstRowFirstColumn="0" w:firstRowLastColumn="0" w:lastRowFirstColumn="0" w:lastRowLastColumn="0"/>
            </w:pPr>
            <w:r w:rsidRPr="00AC41E0">
              <w:t>Users</w:t>
            </w:r>
            <w:r w:rsidR="003133C7" w:rsidRPr="00AC41E0">
              <w:t>’</w:t>
            </w:r>
            <w:r w:rsidRPr="00AC41E0">
              <w:t xml:space="preserve"> personal information stored on the device or in the ecosystem that is used insecurely, improperly, or without permission. </w:t>
            </w:r>
          </w:p>
          <w:p w14:paraId="4340C8CC" w14:textId="5CB20D04" w:rsidR="00FA6B49" w:rsidRPr="00AC41E0" w:rsidRDefault="000368E9" w:rsidP="00A0639B">
            <w:pPr>
              <w:pStyle w:val="DCSbodytext"/>
              <w:spacing w:before="240" w:after="40"/>
              <w:ind w:left="0"/>
              <w:cnfStyle w:val="000000000000" w:firstRow="0" w:lastRow="0" w:firstColumn="0" w:lastColumn="0" w:oddVBand="0" w:evenVBand="0" w:oddHBand="0" w:evenHBand="0" w:firstRowFirstColumn="0" w:firstRowLastColumn="0" w:lastRowFirstColumn="0" w:lastRowLastColumn="0"/>
              <w:rPr>
                <w:i/>
              </w:rPr>
            </w:pPr>
            <w:r w:rsidRPr="00E46FB0">
              <w:rPr>
                <w:noProof/>
              </w:rPr>
              <w:drawing>
                <wp:anchor distT="0" distB="0" distL="114300" distR="114300" simplePos="0" relativeHeight="251658250" behindDoc="1" locked="0" layoutInCell="1" allowOverlap="1" wp14:anchorId="480123B6" wp14:editId="48C40363">
                  <wp:simplePos x="0" y="0"/>
                  <wp:positionH relativeFrom="margin">
                    <wp:posOffset>-17145</wp:posOffset>
                  </wp:positionH>
                  <wp:positionV relativeFrom="paragraph">
                    <wp:posOffset>85090</wp:posOffset>
                  </wp:positionV>
                  <wp:extent cx="389255" cy="389255"/>
                  <wp:effectExtent l="0" t="0" r="0" b="0"/>
                  <wp:wrapTight wrapText="bothSides">
                    <wp:wrapPolygon edited="0">
                      <wp:start x="7400" y="0"/>
                      <wp:lineTo x="0" y="5285"/>
                      <wp:lineTo x="0" y="13742"/>
                      <wp:lineTo x="6343" y="20085"/>
                      <wp:lineTo x="12685" y="20085"/>
                      <wp:lineTo x="14799" y="16914"/>
                      <wp:lineTo x="20085" y="10571"/>
                      <wp:lineTo x="20085" y="5285"/>
                      <wp:lineTo x="11628" y="0"/>
                      <wp:lineTo x="7400" y="0"/>
                    </wp:wrapPolygon>
                  </wp:wrapTight>
                  <wp:docPr id="20" name="Graphic 20"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r w:rsidR="00FA6B49" w:rsidRPr="00E46FB0">
              <w:rPr>
                <w:i/>
                <w:iCs/>
              </w:rPr>
              <w:t xml:space="preserve">Tip: For guidance on the appropriate collection and use of personal information, see </w:t>
            </w:r>
            <w:hyperlink w:anchor="_Privacy" w:history="1">
              <w:r w:rsidR="00E467FF" w:rsidRPr="00AC41E0">
                <w:rPr>
                  <w:rStyle w:val="Hyperlink"/>
                  <w:rFonts w:cs="Arial"/>
                  <w:i/>
                  <w:iCs/>
                </w:rPr>
                <w:t>3.5 Privacy</w:t>
              </w:r>
            </w:hyperlink>
            <w:r w:rsidR="00FA6B49" w:rsidRPr="00E46FB0">
              <w:rPr>
                <w:i/>
                <w:iCs/>
              </w:rPr>
              <w:t>.</w:t>
            </w:r>
          </w:p>
        </w:tc>
      </w:tr>
      <w:tr w:rsidR="00CD6D00" w:rsidRPr="00AC41E0" w14:paraId="158B1EA6" w14:textId="77777777" w:rsidTr="4E49D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2E2DF88" w14:textId="77777777" w:rsidR="00FA6B49" w:rsidRPr="00AC41E0" w:rsidRDefault="00FA6B49" w:rsidP="00B9589F">
            <w:pPr>
              <w:pStyle w:val="DCSbodytext"/>
              <w:spacing w:after="40"/>
              <w:ind w:left="0"/>
            </w:pPr>
            <w:r w:rsidRPr="00AC41E0">
              <w:t>Insecure data transfer and storage</w:t>
            </w:r>
          </w:p>
        </w:tc>
        <w:tc>
          <w:tcPr>
            <w:tcW w:w="12900" w:type="dxa"/>
          </w:tcPr>
          <w:p w14:paraId="14A633D5" w14:textId="744A793C" w:rsidR="00FA6B49" w:rsidRPr="00AC41E0" w:rsidRDefault="00FA6B49" w:rsidP="00B9589F">
            <w:pPr>
              <w:pStyle w:val="DCSbodytext"/>
              <w:spacing w:after="40"/>
              <w:ind w:left="0"/>
              <w:cnfStyle w:val="000000100000" w:firstRow="0" w:lastRow="0" w:firstColumn="0" w:lastColumn="0" w:oddVBand="0" w:evenVBand="0" w:oddHBand="1" w:evenHBand="0" w:firstRowFirstColumn="0" w:firstRowLastColumn="0" w:lastRowFirstColumn="0" w:lastRowLastColumn="0"/>
            </w:pPr>
            <w:r w:rsidRPr="00AC41E0">
              <w:t>Lack of encryption or access control of sensitive data anywhere within the ecosystem, including at rest, in transit or during processing.</w:t>
            </w:r>
          </w:p>
          <w:p w14:paraId="1415708A" w14:textId="4455FD9C" w:rsidR="00FA6B49" w:rsidRPr="00AC41E0" w:rsidRDefault="00A0639B" w:rsidP="00A0639B">
            <w:pPr>
              <w:pStyle w:val="DCSbodytext"/>
              <w:spacing w:before="240" w:after="40"/>
              <w:ind w:left="619" w:hanging="619"/>
              <w:cnfStyle w:val="000000100000" w:firstRow="0" w:lastRow="0" w:firstColumn="0" w:lastColumn="0" w:oddVBand="0" w:evenVBand="0" w:oddHBand="1" w:evenHBand="0" w:firstRowFirstColumn="0" w:firstRowLastColumn="0" w:lastRowFirstColumn="0" w:lastRowLastColumn="0"/>
            </w:pPr>
            <w:r w:rsidRPr="00E46FB0">
              <w:rPr>
                <w:noProof/>
              </w:rPr>
              <w:drawing>
                <wp:anchor distT="0" distB="0" distL="114300" distR="114300" simplePos="0" relativeHeight="251658259" behindDoc="1" locked="0" layoutInCell="1" allowOverlap="1" wp14:anchorId="233E3F75" wp14:editId="0F7CCBD7">
                  <wp:simplePos x="0" y="0"/>
                  <wp:positionH relativeFrom="margin">
                    <wp:posOffset>-65405</wp:posOffset>
                  </wp:positionH>
                  <wp:positionV relativeFrom="paragraph">
                    <wp:posOffset>101600</wp:posOffset>
                  </wp:positionV>
                  <wp:extent cx="389255" cy="389255"/>
                  <wp:effectExtent l="0" t="0" r="0" b="0"/>
                  <wp:wrapTight wrapText="bothSides">
                    <wp:wrapPolygon edited="0">
                      <wp:start x="7400" y="0"/>
                      <wp:lineTo x="0" y="5285"/>
                      <wp:lineTo x="0" y="13742"/>
                      <wp:lineTo x="6343" y="20085"/>
                      <wp:lineTo x="12685" y="20085"/>
                      <wp:lineTo x="14799" y="16914"/>
                      <wp:lineTo x="20085" y="10571"/>
                      <wp:lineTo x="20085" y="5285"/>
                      <wp:lineTo x="11628" y="0"/>
                      <wp:lineTo x="7400" y="0"/>
                    </wp:wrapPolygon>
                  </wp:wrapTight>
                  <wp:docPr id="9" name="Graphic 9"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r w:rsidR="00FA6B49" w:rsidRPr="00E46FB0">
              <w:rPr>
                <w:i/>
                <w:iCs/>
              </w:rPr>
              <w:t>Tip: Where possible, personal information must be encrypted with an appropriate algorithm in transit and at rest.</w:t>
            </w:r>
            <w:r w:rsidR="003133C7" w:rsidRPr="00AC41E0">
              <w:rPr>
                <w:i/>
                <w:iCs/>
              </w:rPr>
              <w:t xml:space="preserve"> R</w:t>
            </w:r>
            <w:r w:rsidR="00FA6B49" w:rsidRPr="00AC41E0">
              <w:rPr>
                <w:i/>
                <w:iCs/>
              </w:rPr>
              <w:t>efer to the</w:t>
            </w:r>
            <w:r w:rsidR="006D1B66" w:rsidRPr="00AC41E0">
              <w:rPr>
                <w:i/>
                <w:iCs/>
              </w:rPr>
              <w:t xml:space="preserve">se </w:t>
            </w:r>
            <w:hyperlink r:id="rId156" w:history="1">
              <w:r w:rsidR="006D1B66" w:rsidRPr="00AC41E0">
                <w:rPr>
                  <w:rStyle w:val="Hyperlink"/>
                  <w:i/>
                  <w:iCs/>
                </w:rPr>
                <w:t>guidelines for using cryptography</w:t>
              </w:r>
            </w:hyperlink>
            <w:r w:rsidR="006D1B66" w:rsidRPr="00E46FB0">
              <w:rPr>
                <w:i/>
                <w:iCs/>
              </w:rPr>
              <w:t xml:space="preserve">. </w:t>
            </w:r>
            <w:r w:rsidR="00FA6B49" w:rsidRPr="00AC41E0">
              <w:rPr>
                <w:i/>
                <w:iCs/>
              </w:rPr>
              <w:t xml:space="preserve"> </w:t>
            </w:r>
          </w:p>
        </w:tc>
      </w:tr>
      <w:tr w:rsidR="00CD6D00" w:rsidRPr="00AC41E0" w14:paraId="39934C39" w14:textId="77777777" w:rsidTr="4E49D50C">
        <w:tc>
          <w:tcPr>
            <w:cnfStyle w:val="001000000000" w:firstRow="0" w:lastRow="0" w:firstColumn="1" w:lastColumn="0" w:oddVBand="0" w:evenVBand="0" w:oddHBand="0" w:evenHBand="0" w:firstRowFirstColumn="0" w:firstRowLastColumn="0" w:lastRowFirstColumn="0" w:lastRowLastColumn="0"/>
            <w:tcW w:w="1843" w:type="dxa"/>
          </w:tcPr>
          <w:p w14:paraId="152388D8" w14:textId="77777777" w:rsidR="00FA6B49" w:rsidRPr="00AC41E0" w:rsidRDefault="00FA6B49" w:rsidP="00B9589F">
            <w:pPr>
              <w:pStyle w:val="DCSbodytext"/>
              <w:spacing w:after="40"/>
              <w:ind w:left="0"/>
            </w:pPr>
            <w:r w:rsidRPr="00AC41E0">
              <w:t>Lack of device management</w:t>
            </w:r>
          </w:p>
        </w:tc>
        <w:tc>
          <w:tcPr>
            <w:tcW w:w="12900" w:type="dxa"/>
          </w:tcPr>
          <w:p w14:paraId="0F458556" w14:textId="67A53A00" w:rsidR="00FA6B49" w:rsidRPr="00AC41E0" w:rsidRDefault="00FA6B49" w:rsidP="00B9589F">
            <w:pPr>
              <w:pStyle w:val="DCSbodytext"/>
              <w:spacing w:after="40"/>
              <w:ind w:left="0"/>
              <w:cnfStyle w:val="000000000000" w:firstRow="0" w:lastRow="0" w:firstColumn="0" w:lastColumn="0" w:oddVBand="0" w:evenVBand="0" w:oddHBand="0" w:evenHBand="0" w:firstRowFirstColumn="0" w:firstRowLastColumn="0" w:lastRowFirstColumn="0" w:lastRowLastColumn="0"/>
            </w:pPr>
            <w:r w:rsidRPr="00AC41E0">
              <w:t>Lack of security support on devices deployed in production, including asset management, update management, secure decommissioning, systems monitoring</w:t>
            </w:r>
            <w:r w:rsidR="002E1E65" w:rsidRPr="00AC41E0">
              <w:t>,</w:t>
            </w:r>
            <w:r w:rsidRPr="00AC41E0">
              <w:t xml:space="preserve"> and response capabilities.</w:t>
            </w:r>
          </w:p>
          <w:p w14:paraId="4DC5D543" w14:textId="48AF0B75" w:rsidR="00FA6B49" w:rsidRPr="00AC41E0" w:rsidRDefault="00836733" w:rsidP="00A0639B">
            <w:pPr>
              <w:pStyle w:val="DCSbodytext"/>
              <w:spacing w:before="240" w:after="40"/>
              <w:ind w:left="619"/>
              <w:cnfStyle w:val="000000000000" w:firstRow="0" w:lastRow="0" w:firstColumn="0" w:lastColumn="0" w:oddVBand="0" w:evenVBand="0" w:oddHBand="0" w:evenHBand="0" w:firstRowFirstColumn="0" w:firstRowLastColumn="0" w:lastRowFirstColumn="0" w:lastRowLastColumn="0"/>
            </w:pPr>
            <w:r w:rsidRPr="00E46FB0">
              <w:rPr>
                <w:noProof/>
              </w:rPr>
              <w:drawing>
                <wp:anchor distT="0" distB="0" distL="114300" distR="114300" simplePos="0" relativeHeight="251658253" behindDoc="1" locked="0" layoutInCell="1" allowOverlap="1" wp14:anchorId="50437E68" wp14:editId="41A4AE7A">
                  <wp:simplePos x="0" y="0"/>
                  <wp:positionH relativeFrom="margin">
                    <wp:posOffset>-65405</wp:posOffset>
                  </wp:positionH>
                  <wp:positionV relativeFrom="paragraph">
                    <wp:posOffset>112395</wp:posOffset>
                  </wp:positionV>
                  <wp:extent cx="389255" cy="389255"/>
                  <wp:effectExtent l="0" t="0" r="0" b="0"/>
                  <wp:wrapTight wrapText="bothSides">
                    <wp:wrapPolygon edited="0">
                      <wp:start x="7400" y="0"/>
                      <wp:lineTo x="0" y="5285"/>
                      <wp:lineTo x="0" y="13742"/>
                      <wp:lineTo x="6343" y="20085"/>
                      <wp:lineTo x="12685" y="20085"/>
                      <wp:lineTo x="14799" y="16914"/>
                      <wp:lineTo x="20085" y="10571"/>
                      <wp:lineTo x="20085" y="5285"/>
                      <wp:lineTo x="11628" y="0"/>
                      <wp:lineTo x="7400" y="0"/>
                    </wp:wrapPolygon>
                  </wp:wrapTight>
                  <wp:docPr id="22" name="Graphic 22"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r w:rsidR="00FA6B49" w:rsidRPr="00E46FB0">
              <w:rPr>
                <w:i/>
                <w:iCs/>
              </w:rPr>
              <w:t xml:space="preserve">Tip: </w:t>
            </w:r>
            <w:r w:rsidR="00734E4F" w:rsidRPr="00AC41E0">
              <w:rPr>
                <w:i/>
                <w:iCs/>
              </w:rPr>
              <w:t>Consider</w:t>
            </w:r>
            <w:r w:rsidR="00FA6B49" w:rsidRPr="00AC41E0">
              <w:rPr>
                <w:i/>
                <w:iCs/>
              </w:rPr>
              <w:t xml:space="preserve"> how devices will be decommissioned at </w:t>
            </w:r>
            <w:r w:rsidR="002E1E65" w:rsidRPr="00AC41E0">
              <w:rPr>
                <w:i/>
                <w:iCs/>
              </w:rPr>
              <w:t xml:space="preserve">the </w:t>
            </w:r>
            <w:r w:rsidR="00FA6B49" w:rsidRPr="00AC41E0">
              <w:rPr>
                <w:i/>
                <w:iCs/>
              </w:rPr>
              <w:t xml:space="preserve">end of life </w:t>
            </w:r>
            <w:r w:rsidR="00BC0475" w:rsidRPr="00AC41E0">
              <w:rPr>
                <w:i/>
                <w:iCs/>
              </w:rPr>
              <w:t>so that</w:t>
            </w:r>
            <w:r w:rsidR="00FA6B49" w:rsidRPr="00AC41E0">
              <w:rPr>
                <w:i/>
                <w:iCs/>
              </w:rPr>
              <w:t xml:space="preserve"> there is no loss of sensitive information. </w:t>
            </w:r>
            <w:r w:rsidR="001E3630" w:rsidRPr="00AC41E0">
              <w:rPr>
                <w:i/>
                <w:iCs/>
              </w:rPr>
              <w:t>Determine</w:t>
            </w:r>
            <w:r w:rsidR="00FA6B49" w:rsidRPr="00AC41E0">
              <w:rPr>
                <w:i/>
                <w:iCs/>
              </w:rPr>
              <w:t xml:space="preserve"> who </w:t>
            </w:r>
            <w:r w:rsidR="001E3630" w:rsidRPr="00AC41E0">
              <w:rPr>
                <w:i/>
                <w:iCs/>
              </w:rPr>
              <w:t>is</w:t>
            </w:r>
            <w:r w:rsidR="00FA6B49" w:rsidRPr="00AC41E0">
              <w:rPr>
                <w:i/>
                <w:iCs/>
              </w:rPr>
              <w:t xml:space="preserve"> responsib</w:t>
            </w:r>
            <w:r w:rsidR="001E3630" w:rsidRPr="00AC41E0">
              <w:rPr>
                <w:i/>
                <w:iCs/>
              </w:rPr>
              <w:t>le for</w:t>
            </w:r>
            <w:r w:rsidR="00FA6B49" w:rsidRPr="00AC41E0">
              <w:rPr>
                <w:i/>
                <w:iCs/>
              </w:rPr>
              <w:t xml:space="preserve"> monitoring and responding to security incidents involv</w:t>
            </w:r>
            <w:r w:rsidR="001E3630" w:rsidRPr="00AC41E0">
              <w:rPr>
                <w:i/>
                <w:iCs/>
              </w:rPr>
              <w:t>ing</w:t>
            </w:r>
            <w:r w:rsidR="00FA6B49" w:rsidRPr="00AC41E0">
              <w:rPr>
                <w:i/>
                <w:iCs/>
              </w:rPr>
              <w:t xml:space="preserve"> IoT systems. Speak to your organisation’s ICT and Operational Technology security teams to find a solution to these problems </w:t>
            </w:r>
            <w:r w:rsidRPr="00AC41E0">
              <w:rPr>
                <w:i/>
                <w:iCs/>
              </w:rPr>
              <w:t>before</w:t>
            </w:r>
            <w:r w:rsidR="00FA6B49" w:rsidRPr="00AC41E0">
              <w:rPr>
                <w:i/>
                <w:iCs/>
              </w:rPr>
              <w:t xml:space="preserve"> IoT implementation.</w:t>
            </w:r>
          </w:p>
        </w:tc>
      </w:tr>
      <w:tr w:rsidR="00CD6D00" w:rsidRPr="00AC41E0" w14:paraId="5E345FF0" w14:textId="77777777" w:rsidTr="4E49D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2DFFB39" w14:textId="77777777" w:rsidR="00FA6B49" w:rsidRPr="00AC41E0" w:rsidRDefault="00FA6B49" w:rsidP="00B9589F">
            <w:pPr>
              <w:pStyle w:val="DCSbodytext"/>
              <w:spacing w:after="40"/>
              <w:ind w:left="0"/>
            </w:pPr>
            <w:r w:rsidRPr="00AC41E0">
              <w:t>Insecure default settings</w:t>
            </w:r>
          </w:p>
        </w:tc>
        <w:tc>
          <w:tcPr>
            <w:tcW w:w="12900" w:type="dxa"/>
          </w:tcPr>
          <w:p w14:paraId="5A79BF41" w14:textId="0FDF01D5" w:rsidR="00A0639B" w:rsidRPr="00AC41E0" w:rsidRDefault="00FA6B49" w:rsidP="00C47E0D">
            <w:pPr>
              <w:pStyle w:val="DCSbodytext"/>
              <w:spacing w:after="40" w:line="276" w:lineRule="auto"/>
              <w:ind w:left="0"/>
              <w:cnfStyle w:val="000000100000" w:firstRow="0" w:lastRow="0" w:firstColumn="0" w:lastColumn="0" w:oddVBand="0" w:evenVBand="0" w:oddHBand="1" w:evenHBand="0" w:firstRowFirstColumn="0" w:firstRowLastColumn="0" w:lastRowFirstColumn="0" w:lastRowLastColumn="0"/>
            </w:pPr>
            <w:r w:rsidRPr="00AC41E0">
              <w:t>Devices or systems shipped with insecure default settings or lack</w:t>
            </w:r>
            <w:r w:rsidR="00D3029C" w:rsidRPr="00AC41E0">
              <w:t>ing</w:t>
            </w:r>
            <w:r w:rsidRPr="00AC41E0">
              <w:t xml:space="preserve"> the ability to make the system more secure by restricting operators from modifying configurations.</w:t>
            </w:r>
          </w:p>
          <w:p w14:paraId="6708F88E" w14:textId="49195679" w:rsidR="00FA6B49" w:rsidRPr="00AC41E0" w:rsidRDefault="00CD6D00" w:rsidP="00A0639B">
            <w:pPr>
              <w:pStyle w:val="DCSbodytext"/>
              <w:spacing w:before="240" w:after="40" w:line="240" w:lineRule="auto"/>
              <w:ind w:left="0"/>
              <w:cnfStyle w:val="000000100000" w:firstRow="0" w:lastRow="0" w:firstColumn="0" w:lastColumn="0" w:oddVBand="0" w:evenVBand="0" w:oddHBand="1" w:evenHBand="0" w:firstRowFirstColumn="0" w:firstRowLastColumn="0" w:lastRowFirstColumn="0" w:lastRowLastColumn="0"/>
            </w:pPr>
            <w:r w:rsidRPr="00E46FB0">
              <w:rPr>
                <w:noProof/>
              </w:rPr>
              <w:drawing>
                <wp:anchor distT="0" distB="0" distL="114300" distR="114300" simplePos="0" relativeHeight="251658251" behindDoc="1" locked="0" layoutInCell="1" allowOverlap="1" wp14:anchorId="03AAF784" wp14:editId="72A613A2">
                  <wp:simplePos x="0" y="0"/>
                  <wp:positionH relativeFrom="margin">
                    <wp:posOffset>-27940</wp:posOffset>
                  </wp:positionH>
                  <wp:positionV relativeFrom="paragraph">
                    <wp:posOffset>15875</wp:posOffset>
                  </wp:positionV>
                  <wp:extent cx="389255" cy="389255"/>
                  <wp:effectExtent l="0" t="0" r="0" b="0"/>
                  <wp:wrapTight wrapText="bothSides">
                    <wp:wrapPolygon edited="0">
                      <wp:start x="7400" y="0"/>
                      <wp:lineTo x="0" y="5285"/>
                      <wp:lineTo x="0" y="13742"/>
                      <wp:lineTo x="6343" y="20085"/>
                      <wp:lineTo x="12685" y="20085"/>
                      <wp:lineTo x="14799" y="16914"/>
                      <wp:lineTo x="20085" y="10571"/>
                      <wp:lineTo x="20085" y="5285"/>
                      <wp:lineTo x="11628" y="0"/>
                      <wp:lineTo x="7400" y="0"/>
                    </wp:wrapPolygon>
                  </wp:wrapTight>
                  <wp:docPr id="23" name="Graphic 23"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r w:rsidR="00FA6B49" w:rsidRPr="00E46FB0">
              <w:rPr>
                <w:i/>
                <w:iCs/>
              </w:rPr>
              <w:t xml:space="preserve">Tip: Refer to the </w:t>
            </w:r>
            <w:hyperlink w:anchor="_Procuring_IoT_Solutions" w:history="1">
              <w:r w:rsidR="00FA6B49" w:rsidRPr="00AC41E0">
                <w:rPr>
                  <w:rStyle w:val="Hyperlink"/>
                  <w:i/>
                  <w:iCs/>
                </w:rPr>
                <w:t>Procur</w:t>
              </w:r>
              <w:r w:rsidRPr="00AC41E0">
                <w:rPr>
                  <w:rStyle w:val="Hyperlink"/>
                  <w:i/>
                  <w:iCs/>
                </w:rPr>
                <w:t>ing IoT Solutions</w:t>
              </w:r>
            </w:hyperlink>
            <w:r w:rsidR="00FA6B49" w:rsidRPr="00E46FB0">
              <w:rPr>
                <w:i/>
                <w:iCs/>
              </w:rPr>
              <w:t xml:space="preserve"> for advice.</w:t>
            </w:r>
          </w:p>
        </w:tc>
      </w:tr>
      <w:tr w:rsidR="00CD6D00" w:rsidRPr="00AC41E0" w14:paraId="004980D4" w14:textId="77777777" w:rsidTr="4E49D50C">
        <w:tc>
          <w:tcPr>
            <w:cnfStyle w:val="001000000000" w:firstRow="0" w:lastRow="0" w:firstColumn="1" w:lastColumn="0" w:oddVBand="0" w:evenVBand="0" w:oddHBand="0" w:evenHBand="0" w:firstRowFirstColumn="0" w:firstRowLastColumn="0" w:lastRowFirstColumn="0" w:lastRowLastColumn="0"/>
            <w:tcW w:w="1843" w:type="dxa"/>
          </w:tcPr>
          <w:p w14:paraId="1A5159CC" w14:textId="77777777" w:rsidR="00FA6B49" w:rsidRPr="00AC41E0" w:rsidRDefault="00FA6B49" w:rsidP="00B9589F">
            <w:pPr>
              <w:pStyle w:val="DCSbodytext"/>
              <w:spacing w:after="40"/>
              <w:ind w:left="0"/>
            </w:pPr>
            <w:r w:rsidRPr="00AC41E0">
              <w:t>Lack of physical hardening</w:t>
            </w:r>
          </w:p>
        </w:tc>
        <w:tc>
          <w:tcPr>
            <w:tcW w:w="12900" w:type="dxa"/>
          </w:tcPr>
          <w:p w14:paraId="027E3C38" w14:textId="19E5027B" w:rsidR="00A0639B" w:rsidRPr="00AC41E0" w:rsidRDefault="00FA6B49" w:rsidP="00A0639B">
            <w:pPr>
              <w:pStyle w:val="DCSbodytext"/>
              <w:spacing w:after="40"/>
              <w:ind w:left="0"/>
              <w:cnfStyle w:val="000000000000" w:firstRow="0" w:lastRow="0" w:firstColumn="0" w:lastColumn="0" w:oddVBand="0" w:evenVBand="0" w:oddHBand="0" w:evenHBand="0" w:firstRowFirstColumn="0" w:firstRowLastColumn="0" w:lastRowFirstColumn="0" w:lastRowLastColumn="0"/>
            </w:pPr>
            <w:r w:rsidRPr="00AC41E0">
              <w:t>Lack of physical hardening measures, allowing potential attackers to gain sensitive information that can help in a future remote attack or take local control of the device.</w:t>
            </w:r>
          </w:p>
          <w:p w14:paraId="77227759" w14:textId="4AC154B3" w:rsidR="00FA6B49" w:rsidRPr="00AC41E0" w:rsidRDefault="007171FE" w:rsidP="00A0639B">
            <w:pPr>
              <w:pStyle w:val="DCSbodytext"/>
              <w:spacing w:before="240" w:after="40"/>
              <w:ind w:left="619" w:hanging="619"/>
              <w:cnfStyle w:val="000000000000" w:firstRow="0" w:lastRow="0" w:firstColumn="0" w:lastColumn="0" w:oddVBand="0" w:evenVBand="0" w:oddHBand="0" w:evenHBand="0" w:firstRowFirstColumn="0" w:firstRowLastColumn="0" w:lastRowFirstColumn="0" w:lastRowLastColumn="0"/>
            </w:pPr>
            <w:r w:rsidRPr="00E46FB0">
              <w:rPr>
                <w:noProof/>
              </w:rPr>
              <w:drawing>
                <wp:anchor distT="0" distB="0" distL="114300" distR="114300" simplePos="0" relativeHeight="251658252" behindDoc="1" locked="0" layoutInCell="1" allowOverlap="1" wp14:anchorId="27E5EC9D" wp14:editId="544AD90A">
                  <wp:simplePos x="0" y="0"/>
                  <wp:positionH relativeFrom="margin">
                    <wp:posOffset>-65405</wp:posOffset>
                  </wp:positionH>
                  <wp:positionV relativeFrom="paragraph">
                    <wp:posOffset>49530</wp:posOffset>
                  </wp:positionV>
                  <wp:extent cx="389255" cy="389255"/>
                  <wp:effectExtent l="0" t="0" r="0" b="0"/>
                  <wp:wrapTight wrapText="bothSides">
                    <wp:wrapPolygon edited="0">
                      <wp:start x="7400" y="0"/>
                      <wp:lineTo x="0" y="5285"/>
                      <wp:lineTo x="0" y="13742"/>
                      <wp:lineTo x="6343" y="20085"/>
                      <wp:lineTo x="12685" y="20085"/>
                      <wp:lineTo x="14799" y="16914"/>
                      <wp:lineTo x="20085" y="10571"/>
                      <wp:lineTo x="20085" y="5285"/>
                      <wp:lineTo x="11628" y="0"/>
                      <wp:lineTo x="7400" y="0"/>
                    </wp:wrapPolygon>
                  </wp:wrapTight>
                  <wp:docPr id="24" name="Graphic 24"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r w:rsidR="00FA6B49" w:rsidRPr="00E46FB0">
              <w:rPr>
                <w:i/>
                <w:iCs/>
              </w:rPr>
              <w:t xml:space="preserve">Tip: If your system </w:t>
            </w:r>
            <w:r w:rsidR="00F70C00" w:rsidRPr="00AC41E0">
              <w:rPr>
                <w:i/>
                <w:iCs/>
              </w:rPr>
              <w:t>can</w:t>
            </w:r>
            <w:r w:rsidR="00FA6B49" w:rsidRPr="00AC41E0">
              <w:rPr>
                <w:i/>
                <w:iCs/>
              </w:rPr>
              <w:t xml:space="preserve"> limit administrative capabilities possible by connecting locally, consider enabling that feature. Disable unused physical ports through the administrative interface.</w:t>
            </w:r>
          </w:p>
        </w:tc>
      </w:tr>
    </w:tbl>
    <w:p w14:paraId="3A7D2183" w14:textId="77777777" w:rsidR="005B2DFA" w:rsidRPr="00AC41E0" w:rsidRDefault="005B2DFA" w:rsidP="00D4137E">
      <w:pPr>
        <w:pStyle w:val="Heading3"/>
        <w:ind w:left="868"/>
        <w:rPr>
          <w:rFonts w:ascii="Arial" w:hAnsi="Arial"/>
        </w:rPr>
        <w:sectPr w:rsidR="005B2DFA" w:rsidRPr="00AC41E0" w:rsidSect="005B2DFA">
          <w:pgSz w:w="16838" w:h="11906" w:orient="landscape"/>
          <w:pgMar w:top="1134" w:right="1418" w:bottom="1134" w:left="1134" w:header="851" w:footer="425" w:gutter="0"/>
          <w:cols w:space="708"/>
          <w:titlePg/>
          <w:docGrid w:linePitch="360"/>
        </w:sectPr>
      </w:pPr>
    </w:p>
    <w:p w14:paraId="076081BC" w14:textId="2B68955F" w:rsidR="00AA6162" w:rsidRPr="00AC41E0" w:rsidRDefault="00F87F13" w:rsidP="00D4137E">
      <w:pPr>
        <w:pStyle w:val="Heading3"/>
        <w:ind w:left="868"/>
        <w:rPr>
          <w:rFonts w:ascii="Arial" w:hAnsi="Arial"/>
        </w:rPr>
      </w:pPr>
      <w:bookmarkStart w:id="1229" w:name="_Toc65760524"/>
      <w:r w:rsidRPr="00E46FB0">
        <w:rPr>
          <w:rFonts w:ascii="Arial" w:hAnsi="Arial"/>
        </w:rPr>
        <w:lastRenderedPageBreak/>
        <w:t>Cyber security g</w:t>
      </w:r>
      <w:r w:rsidR="00AA6162" w:rsidRPr="00AC41E0">
        <w:rPr>
          <w:rFonts w:ascii="Arial" w:hAnsi="Arial"/>
        </w:rPr>
        <w:t>uidance fo</w:t>
      </w:r>
      <w:bookmarkEnd w:id="1227"/>
      <w:bookmarkEnd w:id="1228"/>
      <w:r w:rsidRPr="00AC41E0">
        <w:rPr>
          <w:rFonts w:ascii="Arial" w:hAnsi="Arial"/>
        </w:rPr>
        <w:t>r organisations</w:t>
      </w:r>
      <w:bookmarkEnd w:id="1229"/>
    </w:p>
    <w:p w14:paraId="1C5DC791" w14:textId="77777777" w:rsidR="00AA6162" w:rsidRPr="00AC41E0" w:rsidRDefault="00AA6162" w:rsidP="00D4137E">
      <w:pPr>
        <w:pStyle w:val="Heading4"/>
        <w:tabs>
          <w:tab w:val="clear" w:pos="1588"/>
          <w:tab w:val="num" w:pos="1662"/>
        </w:tabs>
        <w:ind w:left="1662"/>
        <w:rPr>
          <w:rFonts w:ascii="Arial" w:hAnsi="Arial"/>
        </w:rPr>
      </w:pPr>
      <w:bookmarkStart w:id="1230" w:name="_Toc14341857"/>
      <w:bookmarkStart w:id="1231" w:name="_Toc14360665"/>
      <w:r w:rsidRPr="00AC41E0">
        <w:rPr>
          <w:rFonts w:ascii="Arial" w:hAnsi="Arial"/>
        </w:rPr>
        <w:t>IoTSF Security Compliance Framework and Checklist</w:t>
      </w:r>
      <w:bookmarkEnd w:id="1230"/>
      <w:bookmarkEnd w:id="1231"/>
    </w:p>
    <w:p w14:paraId="54BDB6FA" w14:textId="78AB28F4" w:rsidR="00AA6162" w:rsidRPr="00AC41E0" w:rsidRDefault="00AA6162" w:rsidP="00D4137E">
      <w:pPr>
        <w:pStyle w:val="DCSbodytext"/>
        <w:ind w:left="868"/>
      </w:pPr>
      <w:r w:rsidRPr="00AC41E0">
        <w:t xml:space="preserve">Cyber Security NSW recommends the use of frameworks such as those produced by the IoT Security Foundation (IoTSF) or other applicable standards and guidelines to ensure </w:t>
      </w:r>
      <w:r w:rsidR="00000ED9" w:rsidRPr="00AC41E0">
        <w:t xml:space="preserve">that </w:t>
      </w:r>
      <w:r w:rsidRPr="00AC41E0">
        <w:t xml:space="preserve">minimum controls have been implemented. </w:t>
      </w:r>
    </w:p>
    <w:p w14:paraId="599BB8AA" w14:textId="740CADB7" w:rsidR="00AA6162" w:rsidRPr="00AC41E0" w:rsidRDefault="00AA6162" w:rsidP="00D4137E">
      <w:pPr>
        <w:pStyle w:val="DCSbodytext"/>
        <w:ind w:left="868"/>
      </w:pPr>
      <w:r w:rsidRPr="00AC41E0">
        <w:t xml:space="preserve">For example </w:t>
      </w:r>
      <w:r w:rsidR="004F79C0" w:rsidRPr="00AC41E0">
        <w:t>you can</w:t>
      </w:r>
      <w:r w:rsidRPr="00AC41E0">
        <w:t xml:space="preserve"> follow the </w:t>
      </w:r>
      <w:hyperlink r:id="rId157" w:history="1">
        <w:r w:rsidRPr="00AC41E0">
          <w:rPr>
            <w:rStyle w:val="Hyperlink"/>
          </w:rPr>
          <w:t>IoTSF</w:t>
        </w:r>
        <w:r w:rsidR="00EE76A0" w:rsidRPr="00AC41E0">
          <w:rPr>
            <w:rStyle w:val="Hyperlink"/>
          </w:rPr>
          <w:t xml:space="preserve"> </w:t>
        </w:r>
        <w:r w:rsidR="00B50AED" w:rsidRPr="00AC41E0">
          <w:rPr>
            <w:rStyle w:val="Hyperlink"/>
          </w:rPr>
          <w:t xml:space="preserve">IoT </w:t>
        </w:r>
        <w:r w:rsidR="00EE76A0" w:rsidRPr="00AC41E0">
          <w:rPr>
            <w:rStyle w:val="Hyperlink"/>
          </w:rPr>
          <w:t>Security Compliance F</w:t>
        </w:r>
        <w:r w:rsidRPr="00AC41E0">
          <w:rPr>
            <w:rStyle w:val="Hyperlink"/>
          </w:rPr>
          <w:t>ramework</w:t>
        </w:r>
      </w:hyperlink>
      <w:r w:rsidRPr="00E46FB0">
        <w:t xml:space="preserve"> when implementing an IoT solution. This framework has been developed with </w:t>
      </w:r>
      <w:r w:rsidRPr="00AC41E0">
        <w:t xml:space="preserve">a </w:t>
      </w:r>
      <w:hyperlink r:id="rId158" w:history="1">
        <w:r w:rsidRPr="00AC41E0">
          <w:rPr>
            <w:rStyle w:val="Hyperlink"/>
          </w:rPr>
          <w:t>questionnaire that can be used as a checklist</w:t>
        </w:r>
      </w:hyperlink>
      <w:r w:rsidRPr="00E46FB0">
        <w:t xml:space="preserve"> to ensure that adequate controls have been implemented to mitigat</w:t>
      </w:r>
      <w:r w:rsidRPr="00AC41E0">
        <w:t xml:space="preserve">e cyber security risks. Other frameworks for securing IoT systems include: </w:t>
      </w:r>
    </w:p>
    <w:p w14:paraId="46083B7B" w14:textId="77777777" w:rsidR="00AA6162" w:rsidRPr="00E46FB0" w:rsidRDefault="00084371" w:rsidP="00CB4DC3">
      <w:pPr>
        <w:pStyle w:val="DCSbullet"/>
        <w:numPr>
          <w:ilvl w:val="0"/>
          <w:numId w:val="193"/>
        </w:numPr>
      </w:pPr>
      <w:hyperlink r:id="rId159" w:history="1">
        <w:r w:rsidR="00AA6162" w:rsidRPr="00AC41E0">
          <w:rPr>
            <w:rStyle w:val="Hyperlink"/>
          </w:rPr>
          <w:t>IoTSF Best Practice Guides</w:t>
        </w:r>
      </w:hyperlink>
    </w:p>
    <w:p w14:paraId="44DEC2D6" w14:textId="7C564AEE" w:rsidR="00AA6162" w:rsidRPr="00E46FB0" w:rsidRDefault="00084371" w:rsidP="00CB4DC3">
      <w:pPr>
        <w:pStyle w:val="DCSbullet"/>
        <w:numPr>
          <w:ilvl w:val="0"/>
          <w:numId w:val="193"/>
        </w:numPr>
      </w:pPr>
      <w:hyperlink r:id="rId160" w:history="1">
        <w:r w:rsidR="00AA6162" w:rsidRPr="00AC41E0">
          <w:rPr>
            <w:rStyle w:val="Hyperlink"/>
          </w:rPr>
          <w:t>OWASP I</w:t>
        </w:r>
        <w:r w:rsidR="00AE5862" w:rsidRPr="00AC41E0">
          <w:rPr>
            <w:rStyle w:val="Hyperlink"/>
          </w:rPr>
          <w:t>o</w:t>
        </w:r>
        <w:r w:rsidR="00AA6162" w:rsidRPr="00AC41E0">
          <w:rPr>
            <w:rStyle w:val="Hyperlink"/>
          </w:rPr>
          <w:t>T Security Guidance</w:t>
        </w:r>
      </w:hyperlink>
    </w:p>
    <w:p w14:paraId="30E56DD3" w14:textId="77777777" w:rsidR="00AA6162" w:rsidRPr="00E46FB0" w:rsidRDefault="00084371" w:rsidP="00CB4DC3">
      <w:pPr>
        <w:pStyle w:val="DCSbullet"/>
        <w:numPr>
          <w:ilvl w:val="0"/>
          <w:numId w:val="193"/>
        </w:numPr>
      </w:pPr>
      <w:hyperlink r:id="rId161" w:history="1">
        <w:r w:rsidR="00AA6162" w:rsidRPr="00AC41E0">
          <w:rPr>
            <w:rStyle w:val="Hyperlink"/>
          </w:rPr>
          <w:t>ENISA Baseline Security Recommendations for IoT</w:t>
        </w:r>
      </w:hyperlink>
    </w:p>
    <w:p w14:paraId="6CB30893" w14:textId="77777777" w:rsidR="00AA6162" w:rsidRPr="00E46FB0" w:rsidRDefault="00084371" w:rsidP="00CB4DC3">
      <w:pPr>
        <w:pStyle w:val="DCSbullet"/>
        <w:numPr>
          <w:ilvl w:val="0"/>
          <w:numId w:val="193"/>
        </w:numPr>
      </w:pPr>
      <w:hyperlink r:id="rId162" w:history="1">
        <w:r w:rsidR="00AA6162" w:rsidRPr="00AC41E0">
          <w:rPr>
            <w:rStyle w:val="Hyperlink"/>
          </w:rPr>
          <w:t>IoTAA Internet of Things Security Guideline</w:t>
        </w:r>
      </w:hyperlink>
    </w:p>
    <w:p w14:paraId="2B5CCFD6" w14:textId="77777777" w:rsidR="00AA6162" w:rsidRPr="00AC41E0" w:rsidRDefault="00AA6162" w:rsidP="00CB4DC3">
      <w:pPr>
        <w:pStyle w:val="DCSbullet"/>
        <w:numPr>
          <w:ilvl w:val="0"/>
          <w:numId w:val="193"/>
        </w:numPr>
      </w:pPr>
      <w:r w:rsidRPr="00AC41E0">
        <w:t>Data61 IoT Enabled Systems – A Consumer Security Guideline</w:t>
      </w:r>
    </w:p>
    <w:p w14:paraId="229E15E4" w14:textId="1BFCDA43" w:rsidR="00AA6162" w:rsidRPr="00AC41E0" w:rsidRDefault="00084371" w:rsidP="00CB4DC3">
      <w:pPr>
        <w:pStyle w:val="DCSbullet"/>
        <w:numPr>
          <w:ilvl w:val="0"/>
          <w:numId w:val="193"/>
        </w:numPr>
        <w:rPr>
          <w:rStyle w:val="Hyperlink"/>
          <w:color w:val="auto"/>
          <w:u w:val="none"/>
        </w:rPr>
      </w:pPr>
      <w:hyperlink r:id="rId163" w:history="1">
        <w:r w:rsidR="00AA6162" w:rsidRPr="00AC41E0">
          <w:rPr>
            <w:rStyle w:val="Hyperlink"/>
          </w:rPr>
          <w:t>GSMA IoT Security Guidelines</w:t>
        </w:r>
      </w:hyperlink>
      <w:r w:rsidR="00B50AED" w:rsidRPr="00E46FB0">
        <w:rPr>
          <w:rStyle w:val="Hyperlink"/>
          <w:color w:val="auto"/>
          <w:u w:val="none"/>
        </w:rPr>
        <w:t>.</w:t>
      </w:r>
    </w:p>
    <w:p w14:paraId="559420F4" w14:textId="500B9CBB" w:rsidR="00122CFA" w:rsidRPr="00AC41E0" w:rsidRDefault="00084371" w:rsidP="00CB4DC3">
      <w:pPr>
        <w:pStyle w:val="DCSbullet"/>
        <w:numPr>
          <w:ilvl w:val="0"/>
          <w:numId w:val="193"/>
        </w:numPr>
        <w:rPr>
          <w:rStyle w:val="Hyperlink"/>
          <w:color w:val="auto"/>
          <w:u w:val="none"/>
        </w:rPr>
      </w:pPr>
      <w:hyperlink r:id="rId164" w:history="1">
        <w:r w:rsidR="00122CFA" w:rsidRPr="00AC41E0">
          <w:rPr>
            <w:rStyle w:val="Hyperlink"/>
          </w:rPr>
          <w:t xml:space="preserve">Dept. Home Affairs </w:t>
        </w:r>
        <w:r w:rsidR="003352B2" w:rsidRPr="00AC41E0">
          <w:rPr>
            <w:rStyle w:val="Hyperlink"/>
          </w:rPr>
          <w:t>Code of Practice</w:t>
        </w:r>
        <w:r w:rsidR="00122CFA" w:rsidRPr="00AC41E0">
          <w:rPr>
            <w:rStyle w:val="Hyperlink"/>
          </w:rPr>
          <w:t xml:space="preserve"> </w:t>
        </w:r>
        <w:r w:rsidR="00546AAF" w:rsidRPr="00AC41E0">
          <w:rPr>
            <w:rStyle w:val="Hyperlink"/>
          </w:rPr>
          <w:t>– Securing IOT for Consumers</w:t>
        </w:r>
      </w:hyperlink>
      <w:r w:rsidR="00546AAF" w:rsidRPr="00AC41E0">
        <w:rPr>
          <w:rStyle w:val="Hyperlink"/>
          <w:color w:val="auto"/>
          <w:u w:val="none"/>
        </w:rPr>
        <w:t xml:space="preserve"> </w:t>
      </w:r>
    </w:p>
    <w:p w14:paraId="0DF865D7" w14:textId="5053B3FD" w:rsidR="007001FB" w:rsidRPr="00AC41E0" w:rsidRDefault="007001FB" w:rsidP="007001FB">
      <w:pPr>
        <w:pStyle w:val="DCSbullet"/>
        <w:numPr>
          <w:ilvl w:val="0"/>
          <w:numId w:val="193"/>
        </w:numPr>
        <w:rPr>
          <w:rStyle w:val="Hyperlink"/>
          <w:color w:val="auto"/>
          <w:u w:val="none"/>
        </w:rPr>
      </w:pPr>
      <w:r w:rsidRPr="00E46FB0">
        <w:rPr>
          <w:rStyle w:val="Hyperlink"/>
          <w:color w:val="auto"/>
          <w:u w:val="none"/>
        </w:rPr>
        <w:t xml:space="preserve">IoTAA </w:t>
      </w:r>
      <w:hyperlink r:id="rId165" w:history="1">
        <w:r w:rsidRPr="00AC41E0">
          <w:rPr>
            <w:rStyle w:val="Hyperlink"/>
          </w:rPr>
          <w:t>Reference Framework</w:t>
        </w:r>
      </w:hyperlink>
      <w:r w:rsidR="00F356B4" w:rsidRPr="00E46FB0">
        <w:rPr>
          <w:rStyle w:val="Hyperlink"/>
          <w:color w:val="auto"/>
          <w:u w:val="none"/>
        </w:rPr>
        <w:t xml:space="preserve">. </w:t>
      </w:r>
    </w:p>
    <w:p w14:paraId="25BA9ACE" w14:textId="77777777" w:rsidR="00AA6162" w:rsidRPr="00AC41E0" w:rsidRDefault="00AA6162" w:rsidP="00D4137E">
      <w:pPr>
        <w:pStyle w:val="Heading4"/>
        <w:tabs>
          <w:tab w:val="clear" w:pos="1588"/>
          <w:tab w:val="num" w:pos="1662"/>
        </w:tabs>
        <w:ind w:left="1662"/>
        <w:rPr>
          <w:rFonts w:ascii="Arial" w:hAnsi="Arial"/>
        </w:rPr>
      </w:pPr>
      <w:bookmarkStart w:id="1232" w:name="_Toc14341858"/>
      <w:bookmarkStart w:id="1233" w:name="_Toc14360666"/>
      <w:r w:rsidRPr="00AC41E0">
        <w:rPr>
          <w:rFonts w:ascii="Arial" w:hAnsi="Arial"/>
        </w:rPr>
        <w:t>Planning for cyber security</w:t>
      </w:r>
      <w:bookmarkEnd w:id="1232"/>
      <w:bookmarkEnd w:id="1233"/>
    </w:p>
    <w:p w14:paraId="3D62E4FD" w14:textId="2EF92C80" w:rsidR="00AA6162" w:rsidRPr="00AC41E0" w:rsidRDefault="00AA6162" w:rsidP="00D4137E">
      <w:pPr>
        <w:pStyle w:val="DCSbodytext"/>
        <w:ind w:left="868"/>
      </w:pPr>
      <w:r w:rsidRPr="00AC41E0">
        <w:t xml:space="preserve">You </w:t>
      </w:r>
      <w:r w:rsidR="004F79C0" w:rsidRPr="00AC41E0">
        <w:t>need to</w:t>
      </w:r>
      <w:r w:rsidRPr="00AC41E0">
        <w:t xml:space="preserve"> consider the following points when planning to procure an IoT solution</w:t>
      </w:r>
      <w:r w:rsidR="00A920CD" w:rsidRPr="00AC41E0">
        <w:t>:</w:t>
      </w:r>
    </w:p>
    <w:p w14:paraId="15F7A28B" w14:textId="77777777" w:rsidR="00AA6162" w:rsidRPr="00AC41E0" w:rsidRDefault="00AA6162" w:rsidP="00003096">
      <w:pPr>
        <w:pStyle w:val="DCSbullet"/>
        <w:numPr>
          <w:ilvl w:val="0"/>
          <w:numId w:val="168"/>
        </w:numPr>
        <w:ind w:left="1134" w:hanging="283"/>
        <w:rPr>
          <w:i/>
        </w:rPr>
      </w:pPr>
      <w:r w:rsidRPr="00AC41E0">
        <w:rPr>
          <w:i/>
        </w:rPr>
        <w:t>Network Segmentation</w:t>
      </w:r>
    </w:p>
    <w:p w14:paraId="582376CD" w14:textId="309CF94A" w:rsidR="00AA6162" w:rsidRPr="00AC41E0" w:rsidRDefault="00AA6162" w:rsidP="00E21187">
      <w:pPr>
        <w:pStyle w:val="DCSbodytext"/>
        <w:spacing w:line="276" w:lineRule="auto"/>
        <w:ind w:left="1154"/>
      </w:pPr>
      <w:r w:rsidRPr="00AC41E0">
        <w:t xml:space="preserve">Due to the increased amount of cyber security risks that IoT devices introduce, </w:t>
      </w:r>
      <w:r w:rsidR="00E21187" w:rsidRPr="00AC41E0">
        <w:t>organisations</w:t>
      </w:r>
      <w:r w:rsidRPr="00AC41E0">
        <w:t xml:space="preserve"> must segment IoT systems from corporate ICT networks and other Industrial and Automated Control Systems.</w:t>
      </w:r>
    </w:p>
    <w:p w14:paraId="63917B2D" w14:textId="60FA0E03" w:rsidR="00AA6162" w:rsidRPr="00AC41E0" w:rsidRDefault="006C78ED" w:rsidP="00003096">
      <w:pPr>
        <w:pStyle w:val="DCSbullet"/>
        <w:numPr>
          <w:ilvl w:val="0"/>
          <w:numId w:val="168"/>
        </w:numPr>
        <w:spacing w:line="276" w:lineRule="auto"/>
        <w:ind w:left="1134" w:hanging="283"/>
        <w:rPr>
          <w:i/>
        </w:rPr>
      </w:pPr>
      <w:r w:rsidRPr="00AC41E0">
        <w:rPr>
          <w:i/>
        </w:rPr>
        <w:t>F</w:t>
      </w:r>
      <w:r w:rsidR="00AA6162" w:rsidRPr="00AC41E0">
        <w:rPr>
          <w:i/>
        </w:rPr>
        <w:t xml:space="preserve">unding </w:t>
      </w:r>
      <w:r w:rsidR="006B1BB0" w:rsidRPr="00AC41E0">
        <w:rPr>
          <w:i/>
        </w:rPr>
        <w:t>is required</w:t>
      </w:r>
      <w:r w:rsidR="00AA6162" w:rsidRPr="00AC41E0">
        <w:rPr>
          <w:i/>
        </w:rPr>
        <w:t xml:space="preserve"> for ongoing vulnerability assessments and penetration testing</w:t>
      </w:r>
    </w:p>
    <w:p w14:paraId="5F2F4BFB" w14:textId="4FD90471" w:rsidR="00AA6162" w:rsidRPr="00AC41E0" w:rsidRDefault="00A32AB8" w:rsidP="00E21187">
      <w:pPr>
        <w:pStyle w:val="DCSbodytext"/>
        <w:spacing w:line="276" w:lineRule="auto"/>
        <w:ind w:left="1154"/>
      </w:pPr>
      <w:r w:rsidRPr="00AC41E0">
        <w:t xml:space="preserve">Security is not a set and forget activity. As part of all IoT-related business plans and project plans, </w:t>
      </w:r>
      <w:r w:rsidR="002E1E65" w:rsidRPr="00AC41E0">
        <w:t xml:space="preserve">the </w:t>
      </w:r>
      <w:r w:rsidRPr="00AC41E0">
        <w:t>budget should be allocated to ensure that there are available funds to develop secure systems as well as for ongoing security tasks such as patching, vulnerability assessments</w:t>
      </w:r>
      <w:r w:rsidR="002E1E65" w:rsidRPr="00AC41E0">
        <w:t>,</w:t>
      </w:r>
      <w:r w:rsidRPr="00AC41E0">
        <w:t xml:space="preserve"> and incident response. </w:t>
      </w:r>
      <w:r w:rsidR="00AA6162" w:rsidRPr="00AC41E0">
        <w:t xml:space="preserve">If funding cannot be secured for the lifespan of the system, </w:t>
      </w:r>
      <w:r w:rsidR="008D5BE0" w:rsidRPr="00AC41E0">
        <w:t>you</w:t>
      </w:r>
      <w:r w:rsidR="00AA6162" w:rsidRPr="00AC41E0">
        <w:t xml:space="preserve"> should </w:t>
      </w:r>
      <w:r w:rsidR="008D5BE0" w:rsidRPr="00AC41E0">
        <w:t>re</w:t>
      </w:r>
      <w:r w:rsidR="00AA6162" w:rsidRPr="00AC41E0">
        <w:t xml:space="preserve">consider whether to go ahead with an IoT network. </w:t>
      </w:r>
    </w:p>
    <w:p w14:paraId="3482C5D5" w14:textId="1647E269" w:rsidR="00AA6162" w:rsidRPr="00AC41E0" w:rsidRDefault="00AA6162" w:rsidP="00E21187">
      <w:pPr>
        <w:pStyle w:val="DCSbodytext"/>
        <w:spacing w:line="276" w:lineRule="auto"/>
        <w:ind w:left="1154"/>
      </w:pPr>
      <w:r w:rsidRPr="00AC41E0">
        <w:t xml:space="preserve">Vulnerability assessment and penetration testing needs to be an ongoing activity and not a onetime activity that occurs prior to moving into production. </w:t>
      </w:r>
      <w:r w:rsidR="00113619" w:rsidRPr="00AC41E0">
        <w:t>T</w:t>
      </w:r>
      <w:r w:rsidRPr="00AC41E0">
        <w:t xml:space="preserve">echnologies that </w:t>
      </w:r>
      <w:r w:rsidR="00A905A7" w:rsidRPr="00AC41E0">
        <w:t>were</w:t>
      </w:r>
      <w:r w:rsidRPr="00AC41E0">
        <w:t xml:space="preserve"> considered secure when first implemented can very quickly be deemed insecure with the publication of a new vulnerability. </w:t>
      </w:r>
    </w:p>
    <w:p w14:paraId="17EC5A91" w14:textId="7E410093" w:rsidR="00AA6162" w:rsidRPr="00AC41E0" w:rsidRDefault="004F79C0" w:rsidP="00E21187">
      <w:pPr>
        <w:pStyle w:val="DCSbodytext"/>
        <w:spacing w:line="276" w:lineRule="auto"/>
        <w:ind w:left="1154"/>
      </w:pPr>
      <w:r w:rsidRPr="00AC41E0">
        <w:t>Cyber s</w:t>
      </w:r>
      <w:r w:rsidR="00AA6162" w:rsidRPr="00AC41E0">
        <w:t xml:space="preserve">ecurity teams do not always have the resources or budget available for penetration testing on every system. </w:t>
      </w:r>
      <w:r w:rsidR="00EA7057" w:rsidRPr="00AC41E0">
        <w:t>Y</w:t>
      </w:r>
      <w:r w:rsidR="002043A7" w:rsidRPr="00AC41E0">
        <w:t>ou should</w:t>
      </w:r>
      <w:r w:rsidR="00AA6162" w:rsidRPr="00AC41E0">
        <w:t xml:space="preserve"> speak with </w:t>
      </w:r>
      <w:r w:rsidR="00F44B9B" w:rsidRPr="00AC41E0">
        <w:t>your</w:t>
      </w:r>
      <w:r w:rsidR="00AA6162" w:rsidRPr="00AC41E0">
        <w:t xml:space="preserve"> organisation’s cyber </w:t>
      </w:r>
      <w:r w:rsidR="00AA6162" w:rsidRPr="00AC41E0">
        <w:lastRenderedPageBreak/>
        <w:t xml:space="preserve">security team to identify how much funding should be secured </w:t>
      </w:r>
      <w:r w:rsidR="00B908BC" w:rsidRPr="00AC41E0">
        <w:t>for</w:t>
      </w:r>
      <w:r w:rsidR="00AA6162" w:rsidRPr="00AC41E0">
        <w:t xml:space="preserve"> ongoing operational expenditure.</w:t>
      </w:r>
    </w:p>
    <w:p w14:paraId="615B2C83" w14:textId="124FED0C" w:rsidR="00AA6162" w:rsidRPr="00AC41E0" w:rsidRDefault="00AA6162" w:rsidP="00003096">
      <w:pPr>
        <w:pStyle w:val="DCSbullet"/>
        <w:numPr>
          <w:ilvl w:val="0"/>
          <w:numId w:val="168"/>
        </w:numPr>
        <w:spacing w:line="276" w:lineRule="auto"/>
        <w:ind w:left="1134"/>
        <w:rPr>
          <w:i/>
        </w:rPr>
      </w:pPr>
      <w:r w:rsidRPr="00AC41E0">
        <w:rPr>
          <w:i/>
        </w:rPr>
        <w:t xml:space="preserve">Include ICT and Operational Technology (OT) security representatives </w:t>
      </w:r>
      <w:r w:rsidR="00635B18" w:rsidRPr="00AC41E0">
        <w:rPr>
          <w:i/>
        </w:rPr>
        <w:t xml:space="preserve">in </w:t>
      </w:r>
      <w:r w:rsidRPr="00AC41E0">
        <w:rPr>
          <w:i/>
        </w:rPr>
        <w:t>the project team</w:t>
      </w:r>
      <w:r w:rsidR="009666F0" w:rsidRPr="00AC41E0">
        <w:rPr>
          <w:i/>
        </w:rPr>
        <w:t xml:space="preserve"> and in meetings with potential </w:t>
      </w:r>
      <w:r w:rsidR="00536866" w:rsidRPr="00AC41E0">
        <w:rPr>
          <w:i/>
        </w:rPr>
        <w:t>IoT service providers</w:t>
      </w:r>
    </w:p>
    <w:p w14:paraId="7266CF1D" w14:textId="019CD75E" w:rsidR="005C4137" w:rsidRPr="00AC41E0" w:rsidRDefault="00AA6162" w:rsidP="00D4137E">
      <w:pPr>
        <w:pStyle w:val="DCSbodytext"/>
        <w:ind w:left="1154"/>
      </w:pPr>
      <w:r w:rsidRPr="00AC41E0">
        <w:t xml:space="preserve">The best way to ensure that security is embedded in </w:t>
      </w:r>
      <w:r w:rsidR="00DA223E" w:rsidRPr="00AC41E0">
        <w:t>your</w:t>
      </w:r>
      <w:r w:rsidRPr="00AC41E0">
        <w:t xml:space="preserve"> project is to involve security teams from the very beginning. </w:t>
      </w:r>
      <w:r w:rsidR="005C4137" w:rsidRPr="00AC41E0">
        <w:t xml:space="preserve">Include security representatives in meetings with </w:t>
      </w:r>
      <w:r w:rsidR="00536866" w:rsidRPr="00AC41E0">
        <w:t>service providers</w:t>
      </w:r>
      <w:r w:rsidR="005C4137" w:rsidRPr="00AC41E0">
        <w:t xml:space="preserve"> when discussing contract terms and project scope to ensure security concerns are addressed in the contract or the features of </w:t>
      </w:r>
      <w:r w:rsidR="00A80384" w:rsidRPr="00AC41E0">
        <w:t>the IoT solution</w:t>
      </w:r>
      <w:r w:rsidR="005C4137" w:rsidRPr="00AC41E0">
        <w:t>.</w:t>
      </w:r>
    </w:p>
    <w:p w14:paraId="6098D674" w14:textId="77777777" w:rsidR="00AA6162" w:rsidRPr="00AC41E0" w:rsidRDefault="00AA6162" w:rsidP="0073545B">
      <w:pPr>
        <w:pStyle w:val="DCSbullet"/>
        <w:numPr>
          <w:ilvl w:val="0"/>
          <w:numId w:val="168"/>
        </w:numPr>
        <w:spacing w:line="276" w:lineRule="auto"/>
        <w:ind w:left="1134"/>
        <w:rPr>
          <w:i/>
        </w:rPr>
      </w:pPr>
      <w:r w:rsidRPr="00AC41E0">
        <w:rPr>
          <w:i/>
        </w:rPr>
        <w:t>Determine who will have sign-off on security deliverables</w:t>
      </w:r>
    </w:p>
    <w:p w14:paraId="626805D2" w14:textId="467BC354" w:rsidR="00AA6162" w:rsidRPr="00AC41E0" w:rsidRDefault="004F79C0" w:rsidP="00D4137E">
      <w:pPr>
        <w:pStyle w:val="DCSbodytext"/>
        <w:ind w:left="1154"/>
      </w:pPr>
      <w:r w:rsidRPr="00AC41E0">
        <w:t>Senior security personnel in your organisation</w:t>
      </w:r>
      <w:r w:rsidR="00AA6162" w:rsidRPr="00AC41E0">
        <w:t xml:space="preserve"> must define the security criteria and requirements for an IoT system being implemented. Any assurance process such as </w:t>
      </w:r>
      <w:r w:rsidR="002E1E65" w:rsidRPr="00AC41E0">
        <w:t xml:space="preserve">the </w:t>
      </w:r>
      <w:r w:rsidR="00AA6162" w:rsidRPr="00AC41E0">
        <w:t xml:space="preserve">use of the IoTSF Security Compliance Framework must be carried out by a security professional with the authority to report on the suitability of controls and risk profile prior to moving to production. </w:t>
      </w:r>
    </w:p>
    <w:p w14:paraId="12ECB1FA" w14:textId="77777777" w:rsidR="00AA6162" w:rsidRPr="00AC41E0" w:rsidRDefault="00AA6162" w:rsidP="00003096">
      <w:pPr>
        <w:pStyle w:val="DCSbullet"/>
        <w:numPr>
          <w:ilvl w:val="0"/>
          <w:numId w:val="168"/>
        </w:numPr>
        <w:spacing w:line="276" w:lineRule="auto"/>
        <w:ind w:left="1134" w:hanging="283"/>
        <w:rPr>
          <w:i/>
        </w:rPr>
      </w:pPr>
      <w:r w:rsidRPr="00AC41E0">
        <w:rPr>
          <w:i/>
        </w:rPr>
        <w:t>Consider which platform the technology will be run on to ensure that devices can be monitored by security teams</w:t>
      </w:r>
    </w:p>
    <w:p w14:paraId="18CC47E1" w14:textId="7E1E0DA4" w:rsidR="00AA6162" w:rsidRPr="00AC41E0" w:rsidRDefault="00AA6162" w:rsidP="00D4137E">
      <w:pPr>
        <w:pStyle w:val="DCSbodytext"/>
        <w:ind w:left="1154"/>
      </w:pPr>
      <w:r w:rsidRPr="00AC41E0">
        <w:t xml:space="preserve">When procuring IoT systems, </w:t>
      </w:r>
      <w:r w:rsidR="00DF1317" w:rsidRPr="00AC41E0">
        <w:t>organisations</w:t>
      </w:r>
      <w:r w:rsidRPr="00AC41E0">
        <w:t xml:space="preserve"> should ensure continuous monitoring of events is included as a security feature – for example, Microsoft’s </w:t>
      </w:r>
      <w:hyperlink r:id="rId166" w:history="1">
        <w:r w:rsidRPr="00AC41E0">
          <w:rPr>
            <w:rStyle w:val="Hyperlink"/>
          </w:rPr>
          <w:t>Azure IoT Security</w:t>
        </w:r>
      </w:hyperlink>
      <w:r w:rsidRPr="00E46FB0">
        <w:t xml:space="preserve"> and Amazon’s </w:t>
      </w:r>
      <w:hyperlink r:id="rId167" w:history="1">
        <w:r w:rsidRPr="00AC41E0">
          <w:rPr>
            <w:rStyle w:val="Hyperlink"/>
          </w:rPr>
          <w:t>AWS IoT Device Defender</w:t>
        </w:r>
      </w:hyperlink>
      <w:r w:rsidRPr="00E46FB0">
        <w:t xml:space="preserve"> are platforms that allow for continuous monitoring of security events</w:t>
      </w:r>
      <w:r w:rsidRPr="00AC41E0">
        <w:t>. Without alert</w:t>
      </w:r>
      <w:r w:rsidR="002B6CEA" w:rsidRPr="00AC41E0">
        <w:t xml:space="preserve">s </w:t>
      </w:r>
      <w:r w:rsidRPr="00AC41E0">
        <w:t xml:space="preserve">in place for security events, it is difficult for security teams to detect, respond or recover from cyber security incidents. </w:t>
      </w:r>
    </w:p>
    <w:p w14:paraId="440899C0" w14:textId="77777777" w:rsidR="009C3CBB" w:rsidRPr="00AC41E0" w:rsidRDefault="009C3CBB" w:rsidP="009C3CBB">
      <w:pPr>
        <w:pStyle w:val="DCSbodytext"/>
        <w:numPr>
          <w:ilvl w:val="0"/>
          <w:numId w:val="168"/>
        </w:numPr>
        <w:rPr>
          <w:i/>
          <w:iCs/>
        </w:rPr>
      </w:pPr>
      <w:r w:rsidRPr="00AC41E0">
        <w:rPr>
          <w:i/>
          <w:iCs/>
        </w:rPr>
        <w:t>Assurance and Certifications of IoT products</w:t>
      </w:r>
    </w:p>
    <w:p w14:paraId="61FE4895" w14:textId="18FF3232" w:rsidR="006E6410" w:rsidRPr="00E46FB0" w:rsidRDefault="009C3CBB" w:rsidP="007C49DA">
      <w:pPr>
        <w:pStyle w:val="DCSbodytext"/>
        <w:ind w:left="1228"/>
      </w:pPr>
      <w:r w:rsidRPr="00AC41E0">
        <w:t>Consider whether IoT products being procured for an IoT project have certification for cyber security which assures the product against common cyber security IoT standards and/or cyber security requirements such as those outlined within this policy.</w:t>
      </w:r>
    </w:p>
    <w:p w14:paraId="6FEE3670" w14:textId="33BFB179" w:rsidR="00AA6162" w:rsidRPr="00AC41E0" w:rsidRDefault="00AA6162" w:rsidP="00003096">
      <w:pPr>
        <w:pStyle w:val="DCSbullet"/>
        <w:numPr>
          <w:ilvl w:val="0"/>
          <w:numId w:val="168"/>
        </w:numPr>
        <w:spacing w:line="276" w:lineRule="auto"/>
        <w:ind w:left="1134" w:hanging="377"/>
        <w:rPr>
          <w:i/>
        </w:rPr>
      </w:pPr>
      <w:r w:rsidRPr="00AC41E0">
        <w:rPr>
          <w:i/>
        </w:rPr>
        <w:t xml:space="preserve">Identification of </w:t>
      </w:r>
      <w:r w:rsidR="000D4AAF" w:rsidRPr="00AC41E0">
        <w:rPr>
          <w:i/>
        </w:rPr>
        <w:t>v</w:t>
      </w:r>
      <w:r w:rsidRPr="00AC41E0">
        <w:rPr>
          <w:i/>
        </w:rPr>
        <w:t xml:space="preserve">ulnerabilities and </w:t>
      </w:r>
      <w:r w:rsidR="000D4AAF" w:rsidRPr="00AC41E0">
        <w:rPr>
          <w:i/>
        </w:rPr>
        <w:t>r</w:t>
      </w:r>
      <w:r w:rsidRPr="00AC41E0">
        <w:rPr>
          <w:i/>
        </w:rPr>
        <w:t xml:space="preserve">isk </w:t>
      </w:r>
      <w:r w:rsidR="000D4AAF" w:rsidRPr="00AC41E0">
        <w:rPr>
          <w:i/>
        </w:rPr>
        <w:t>m</w:t>
      </w:r>
      <w:r w:rsidRPr="00AC41E0">
        <w:rPr>
          <w:i/>
        </w:rPr>
        <w:t>anagement</w:t>
      </w:r>
    </w:p>
    <w:p w14:paraId="66BFF6CD" w14:textId="78FEEAD7" w:rsidR="00AA6162" w:rsidRPr="00AC41E0" w:rsidRDefault="00AA6162" w:rsidP="00D4137E">
      <w:pPr>
        <w:pStyle w:val="DCSbodytext"/>
        <w:ind w:left="1154"/>
      </w:pPr>
      <w:r w:rsidRPr="00AC41E0">
        <w:t xml:space="preserve">Prior to and after being put into production, IoT systems </w:t>
      </w:r>
      <w:r w:rsidR="004F79C0" w:rsidRPr="00AC41E0">
        <w:t>need to</w:t>
      </w:r>
      <w:r w:rsidRPr="00AC41E0">
        <w:t xml:space="preserve"> be assessed by a penetration tester with recognised industry cer</w:t>
      </w:r>
      <w:r w:rsidR="004F79C0" w:rsidRPr="00AC41E0">
        <w:t>tifications. A penetration test</w:t>
      </w:r>
      <w:r w:rsidRPr="00AC41E0">
        <w:t xml:space="preserve"> also</w:t>
      </w:r>
      <w:r w:rsidR="004F79C0" w:rsidRPr="00AC41E0">
        <w:t xml:space="preserve"> needs to</w:t>
      </w:r>
      <w:r w:rsidRPr="00AC41E0">
        <w:t xml:space="preserve"> be performed in line with any major feature enhancements or configuration changes to a system if it is </w:t>
      </w:r>
      <w:r w:rsidR="002E1E65" w:rsidRPr="00AC41E0">
        <w:t>public-</w:t>
      </w:r>
      <w:r w:rsidRPr="00AC41E0">
        <w:t>facing.</w:t>
      </w:r>
    </w:p>
    <w:p w14:paraId="39CE2A66" w14:textId="7275C12A" w:rsidR="00105FDE" w:rsidRPr="00AC41E0" w:rsidRDefault="00105FDE" w:rsidP="00D4137E">
      <w:pPr>
        <w:pStyle w:val="DCSbodytext"/>
        <w:ind w:left="1154"/>
      </w:pPr>
      <w:r w:rsidRPr="00AC41E0">
        <w:t>Recognised industry certifications for penetration testing include Offensive Security Certified Professional (OSCP), Offensive Security Wireless Professional (OSWP), Offensive Security Certified Expert (OSCE), GIAC Penetration Tester (GPEN) and CREST Registered Penetration Tester.</w:t>
      </w:r>
    </w:p>
    <w:p w14:paraId="6D6C1327" w14:textId="5FA07A00" w:rsidR="00AA6162" w:rsidRPr="00AC41E0" w:rsidRDefault="00F26DEF" w:rsidP="00D4137E">
      <w:pPr>
        <w:pStyle w:val="DCSbodytext"/>
        <w:ind w:left="1154"/>
      </w:pPr>
      <w:r w:rsidRPr="00AC41E0">
        <w:t>O</w:t>
      </w:r>
      <w:r w:rsidR="00AA6162" w:rsidRPr="00AC41E0">
        <w:t xml:space="preserve">ngoing </w:t>
      </w:r>
      <w:r w:rsidR="004F79C0" w:rsidRPr="00AC41E0">
        <w:t xml:space="preserve">vulnerability </w:t>
      </w:r>
      <w:r w:rsidR="0013022D" w:rsidRPr="00AC41E0">
        <w:t xml:space="preserve">scanning </w:t>
      </w:r>
      <w:r w:rsidR="004F79C0" w:rsidRPr="00AC41E0">
        <w:t>need</w:t>
      </w:r>
      <w:r w:rsidR="0013022D" w:rsidRPr="00AC41E0">
        <w:t>s</w:t>
      </w:r>
      <w:r w:rsidR="004F79C0" w:rsidRPr="00AC41E0">
        <w:t xml:space="preserve"> to</w:t>
      </w:r>
      <w:r w:rsidR="00AA6162" w:rsidRPr="00AC41E0">
        <w:t xml:space="preserve"> be performed regardless of changes to IoT systems. Unlike a penetration test, a vulnerability assessment does not involve the exploitation of vulnerabilities for proof of concept. </w:t>
      </w:r>
      <w:r w:rsidR="00B3354D" w:rsidRPr="00AC41E0">
        <w:t>T</w:t>
      </w:r>
      <w:r w:rsidR="00AA6162" w:rsidRPr="00AC41E0">
        <w:t>he barrier to entry for performing this task is significantly lower and it can be performed by skilled staff without relevant industry certifications.</w:t>
      </w:r>
    </w:p>
    <w:p w14:paraId="6627A299" w14:textId="63B1C14C" w:rsidR="00AA6162" w:rsidRPr="00AC41E0" w:rsidRDefault="00AA6162" w:rsidP="00D4137E">
      <w:pPr>
        <w:pStyle w:val="DCSbodytext"/>
        <w:ind w:left="1154"/>
        <w:rPr>
          <w:rFonts w:cstheme="minorHAnsi"/>
          <w:shd w:val="clear" w:color="auto" w:fill="FFFFFF"/>
        </w:rPr>
      </w:pPr>
      <w:r w:rsidRPr="00AC41E0">
        <w:lastRenderedPageBreak/>
        <w:t xml:space="preserve">Identified vulnerabilities should be assigned </w:t>
      </w:r>
      <w:r w:rsidR="002E1E65" w:rsidRPr="00AC41E0">
        <w:t xml:space="preserve">to </w:t>
      </w:r>
      <w:r w:rsidRPr="00AC41E0">
        <w:t xml:space="preserve">a risk rating and treatment owner. For guidance on establishing risk ratings, refer to an appropriate standard such as </w:t>
      </w:r>
      <w:hyperlink r:id="rId168" w:history="1">
        <w:r w:rsidRPr="00AC41E0">
          <w:rPr>
            <w:rStyle w:val="Hyperlink"/>
          </w:rPr>
          <w:t>ISO 31000</w:t>
        </w:r>
      </w:hyperlink>
      <w:r w:rsidRPr="00E46FB0">
        <w:rPr>
          <w:rFonts w:cstheme="minorHAnsi"/>
          <w:shd w:val="clear" w:color="auto" w:fill="FFFFFF"/>
        </w:rPr>
        <w:t xml:space="preserve">. </w:t>
      </w:r>
    </w:p>
    <w:p w14:paraId="1995A2EC" w14:textId="493EA09A" w:rsidR="00AA6162" w:rsidRPr="00AC41E0" w:rsidRDefault="00AA6162" w:rsidP="00D4137E">
      <w:pPr>
        <w:pStyle w:val="DCSbodytext"/>
        <w:ind w:left="1154"/>
      </w:pPr>
      <w:r w:rsidRPr="00AC41E0">
        <w:rPr>
          <w:rFonts w:cstheme="minorHAnsi"/>
        </w:rPr>
        <w:t>If</w:t>
      </w:r>
      <w:r w:rsidRPr="00AC41E0">
        <w:t xml:space="preserve"> vulnerabilities rated as high or extreme are unable to be mitigated, these must be reported to Cyber Security NSW as per mandatory requirement 5.2 of the </w:t>
      </w:r>
      <w:hyperlink r:id="rId169" w:history="1">
        <w:r w:rsidRPr="00AC41E0">
          <w:rPr>
            <w:rStyle w:val="Hyperlink"/>
          </w:rPr>
          <w:t>NSW Cyber Security Policy</w:t>
        </w:r>
      </w:hyperlink>
      <w:r w:rsidRPr="00E46FB0">
        <w:t>.</w:t>
      </w:r>
    </w:p>
    <w:p w14:paraId="0DF25558" w14:textId="34AF975E" w:rsidR="004A5EF4" w:rsidRPr="00AC41E0" w:rsidRDefault="002D373B" w:rsidP="00413664">
      <w:pPr>
        <w:pStyle w:val="Heading4"/>
        <w:rPr>
          <w:rFonts w:ascii="Arial" w:hAnsi="Arial"/>
        </w:rPr>
      </w:pPr>
      <w:r w:rsidRPr="00AC41E0">
        <w:rPr>
          <w:rFonts w:ascii="Arial" w:hAnsi="Arial"/>
        </w:rPr>
        <w:t xml:space="preserve">Security by </w:t>
      </w:r>
      <w:r w:rsidR="00DB6E0B" w:rsidRPr="00AC41E0">
        <w:rPr>
          <w:rFonts w:ascii="Arial" w:hAnsi="Arial"/>
        </w:rPr>
        <w:t>D</w:t>
      </w:r>
      <w:r w:rsidRPr="00AC41E0">
        <w:rPr>
          <w:rFonts w:ascii="Arial" w:hAnsi="Arial"/>
        </w:rPr>
        <w:t>esign</w:t>
      </w:r>
    </w:p>
    <w:p w14:paraId="308BFA18" w14:textId="17149A61" w:rsidR="002D373B" w:rsidRPr="00AC41E0" w:rsidRDefault="002D373B" w:rsidP="002D373B">
      <w:pPr>
        <w:pStyle w:val="DCSbodytext"/>
        <w:rPr>
          <w:lang w:eastAsia="en-AU"/>
        </w:rPr>
      </w:pPr>
      <w:r w:rsidRPr="00AC41E0">
        <w:rPr>
          <w:lang w:eastAsia="en-AU"/>
        </w:rPr>
        <w:t>As with privacy by design, you need to ensure that security by design is embedded in your IoT</w:t>
      </w:r>
      <w:r w:rsidR="00FA0BA4" w:rsidRPr="00AC41E0">
        <w:rPr>
          <w:lang w:eastAsia="en-AU"/>
        </w:rPr>
        <w:t xml:space="preserve"> </w:t>
      </w:r>
      <w:r w:rsidRPr="00AC41E0">
        <w:rPr>
          <w:lang w:eastAsia="en-AU"/>
        </w:rPr>
        <w:t xml:space="preserve">project. Taking a secure by design approach to software and hardware development minimises cyber security risks and vulnerabilities by embedding security controls into the project from its foundation and reduces project implementation and ongoing costs  </w:t>
      </w:r>
    </w:p>
    <w:p w14:paraId="05062AB6" w14:textId="4D8C2F97" w:rsidR="002D373B" w:rsidRPr="00AC41E0" w:rsidRDefault="001F0AAC" w:rsidP="002D373B">
      <w:pPr>
        <w:pStyle w:val="DCSbodytext"/>
        <w:rPr>
          <w:lang w:eastAsia="en-AU"/>
        </w:rPr>
      </w:pPr>
      <w:r w:rsidRPr="00AC41E0">
        <w:rPr>
          <w:lang w:eastAsia="en-AU"/>
        </w:rPr>
        <w:t>Y</w:t>
      </w:r>
      <w:r w:rsidR="002D373B" w:rsidRPr="00AC41E0">
        <w:rPr>
          <w:lang w:eastAsia="en-AU"/>
        </w:rPr>
        <w:t xml:space="preserve">ou should be adopting a best practice security by design approach throughout the project development lifecycle to ensure security aspects relating to people, processes and technology are considered, with changes implemented to ensure projects are more secure and resilient. </w:t>
      </w:r>
    </w:p>
    <w:p w14:paraId="58A1403D" w14:textId="77777777" w:rsidR="002D373B" w:rsidRPr="00AC41E0" w:rsidRDefault="002D373B" w:rsidP="002D373B">
      <w:pPr>
        <w:pStyle w:val="DCSbodytext"/>
        <w:rPr>
          <w:lang w:eastAsia="en-AU"/>
        </w:rPr>
      </w:pPr>
      <w:r w:rsidRPr="00AC41E0">
        <w:rPr>
          <w:lang w:eastAsia="en-AU"/>
        </w:rPr>
        <w:t xml:space="preserve">You should consider the following security by design principles throughout the planning, development and implementation of relevant IoT (and broader ICT) projects:  </w:t>
      </w:r>
    </w:p>
    <w:p w14:paraId="3D2A3FDF" w14:textId="6E76BA42" w:rsidR="002D373B" w:rsidRPr="00AC41E0" w:rsidRDefault="002D373B" w:rsidP="0029270B">
      <w:pPr>
        <w:pStyle w:val="DCSbodytext"/>
        <w:numPr>
          <w:ilvl w:val="1"/>
          <w:numId w:val="44"/>
        </w:numPr>
        <w:rPr>
          <w:lang w:eastAsia="en-AU"/>
        </w:rPr>
      </w:pPr>
      <w:r w:rsidRPr="00AC41E0">
        <w:rPr>
          <w:b/>
          <w:bCs/>
          <w:lang w:eastAsia="en-AU"/>
        </w:rPr>
        <w:t>Minimise the attack surface:</w:t>
      </w:r>
      <w:r w:rsidRPr="00AC41E0">
        <w:rPr>
          <w:lang w:eastAsia="en-AU"/>
        </w:rPr>
        <w:t xml:space="preserve"> </w:t>
      </w:r>
      <w:r w:rsidR="0029270B" w:rsidRPr="00AC41E0">
        <w:rPr>
          <w:lang w:eastAsia="en-AU"/>
        </w:rPr>
        <w:t>r</w:t>
      </w:r>
      <w:r w:rsidRPr="00AC41E0">
        <w:rPr>
          <w:lang w:eastAsia="en-AU"/>
        </w:rPr>
        <w:t xml:space="preserve">estricting access to certain areas by reducing entry points for unauthorised users. </w:t>
      </w:r>
    </w:p>
    <w:p w14:paraId="18E13471" w14:textId="00CF3426" w:rsidR="002D373B" w:rsidRPr="00AC41E0" w:rsidRDefault="002D373B" w:rsidP="0029270B">
      <w:pPr>
        <w:pStyle w:val="DCSbodytext"/>
        <w:numPr>
          <w:ilvl w:val="1"/>
          <w:numId w:val="44"/>
        </w:numPr>
        <w:rPr>
          <w:lang w:eastAsia="en-AU"/>
        </w:rPr>
      </w:pPr>
      <w:r w:rsidRPr="00AC41E0">
        <w:rPr>
          <w:b/>
          <w:bCs/>
          <w:lang w:eastAsia="en-AU"/>
        </w:rPr>
        <w:t>Secure by default:</w:t>
      </w:r>
      <w:r w:rsidRPr="00AC41E0">
        <w:rPr>
          <w:lang w:eastAsia="en-AU"/>
        </w:rPr>
        <w:t xml:space="preserve"> </w:t>
      </w:r>
      <w:r w:rsidR="0029270B" w:rsidRPr="00AC41E0">
        <w:rPr>
          <w:lang w:eastAsia="en-AU"/>
        </w:rPr>
        <w:t>s</w:t>
      </w:r>
      <w:r w:rsidRPr="00AC41E0">
        <w:rPr>
          <w:lang w:eastAsia="en-AU"/>
        </w:rPr>
        <w:t xml:space="preserve">olving security problems at the root cause rather than treating the symptoms. </w:t>
      </w:r>
    </w:p>
    <w:p w14:paraId="12A59225" w14:textId="5148D932" w:rsidR="002D373B" w:rsidRPr="00AC41E0" w:rsidRDefault="002D373B" w:rsidP="0029270B">
      <w:pPr>
        <w:pStyle w:val="DCSbodytext"/>
        <w:numPr>
          <w:ilvl w:val="1"/>
          <w:numId w:val="44"/>
        </w:numPr>
        <w:rPr>
          <w:lang w:eastAsia="en-AU"/>
        </w:rPr>
      </w:pPr>
      <w:r w:rsidRPr="00AC41E0">
        <w:rPr>
          <w:b/>
          <w:bCs/>
          <w:lang w:eastAsia="en-AU"/>
        </w:rPr>
        <w:t xml:space="preserve">Adopt the principle of least privilege: </w:t>
      </w:r>
      <w:r w:rsidR="0029270B" w:rsidRPr="00AC41E0">
        <w:rPr>
          <w:lang w:eastAsia="en-AU"/>
        </w:rPr>
        <w:t>o</w:t>
      </w:r>
      <w:r w:rsidRPr="00AC41E0">
        <w:rPr>
          <w:lang w:eastAsia="en-AU"/>
        </w:rPr>
        <w:t xml:space="preserve">nly the minimum privileges necessary to achieve the desired outcome should be granted to a user, system or process. </w:t>
      </w:r>
    </w:p>
    <w:p w14:paraId="74E446AB" w14:textId="79721F50" w:rsidR="002D373B" w:rsidRPr="00AC41E0" w:rsidRDefault="002D373B" w:rsidP="0029270B">
      <w:pPr>
        <w:pStyle w:val="DCSbodytext"/>
        <w:numPr>
          <w:ilvl w:val="1"/>
          <w:numId w:val="44"/>
        </w:numPr>
        <w:rPr>
          <w:lang w:eastAsia="en-AU"/>
        </w:rPr>
      </w:pPr>
      <w:r w:rsidRPr="00AC41E0">
        <w:rPr>
          <w:b/>
          <w:bCs/>
          <w:lang w:eastAsia="en-AU"/>
        </w:rPr>
        <w:t>Practice defence in depth:</w:t>
      </w:r>
      <w:r w:rsidRPr="00AC41E0">
        <w:rPr>
          <w:lang w:eastAsia="en-AU"/>
        </w:rPr>
        <w:t xml:space="preserve"> </w:t>
      </w:r>
      <w:r w:rsidR="0029270B" w:rsidRPr="00AC41E0">
        <w:rPr>
          <w:lang w:eastAsia="en-AU"/>
        </w:rPr>
        <w:t>n</w:t>
      </w:r>
      <w:r w:rsidRPr="00AC41E0">
        <w:rPr>
          <w:lang w:eastAsia="en-AU"/>
        </w:rPr>
        <w:t xml:space="preserve">o single security component failure should result in the compromise of an entire environment. </w:t>
      </w:r>
    </w:p>
    <w:p w14:paraId="7477F4EB" w14:textId="66C8B058" w:rsidR="002D373B" w:rsidRPr="00AC41E0" w:rsidRDefault="002D373B" w:rsidP="0029270B">
      <w:pPr>
        <w:pStyle w:val="DCSbodytext"/>
        <w:numPr>
          <w:ilvl w:val="1"/>
          <w:numId w:val="44"/>
        </w:numPr>
        <w:rPr>
          <w:lang w:eastAsia="en-AU"/>
        </w:rPr>
      </w:pPr>
      <w:r w:rsidRPr="00AC41E0">
        <w:rPr>
          <w:b/>
          <w:bCs/>
          <w:lang w:eastAsia="en-AU"/>
        </w:rPr>
        <w:t>Fail securely and gracefully:</w:t>
      </w:r>
      <w:r w:rsidRPr="00AC41E0">
        <w:rPr>
          <w:lang w:eastAsia="en-AU"/>
        </w:rPr>
        <w:t xml:space="preserve"> </w:t>
      </w:r>
      <w:r w:rsidR="0029270B" w:rsidRPr="00AC41E0">
        <w:rPr>
          <w:lang w:eastAsia="en-AU"/>
        </w:rPr>
        <w:t>f</w:t>
      </w:r>
      <w:r w:rsidRPr="00AC41E0">
        <w:rPr>
          <w:lang w:eastAsia="en-AU"/>
        </w:rPr>
        <w:t xml:space="preserve">ailure of a component must not lead to a lower state of security. </w:t>
      </w:r>
    </w:p>
    <w:p w14:paraId="38FBE3AB" w14:textId="7F39E334" w:rsidR="002D373B" w:rsidRPr="00AC41E0" w:rsidRDefault="002D373B" w:rsidP="0029270B">
      <w:pPr>
        <w:pStyle w:val="DCSbodytext"/>
        <w:numPr>
          <w:ilvl w:val="1"/>
          <w:numId w:val="44"/>
        </w:numPr>
        <w:rPr>
          <w:lang w:eastAsia="en-AU"/>
        </w:rPr>
      </w:pPr>
      <w:r w:rsidRPr="00AC41E0">
        <w:rPr>
          <w:b/>
          <w:bCs/>
          <w:lang w:eastAsia="en-AU"/>
        </w:rPr>
        <w:t>Enforce minimal trust:</w:t>
      </w:r>
      <w:r w:rsidRPr="00AC41E0">
        <w:rPr>
          <w:lang w:eastAsia="en-AU"/>
        </w:rPr>
        <w:t xml:space="preserve"> </w:t>
      </w:r>
      <w:r w:rsidR="0029270B" w:rsidRPr="00AC41E0">
        <w:rPr>
          <w:lang w:eastAsia="en-AU"/>
        </w:rPr>
        <w:t>v</w:t>
      </w:r>
      <w:r w:rsidRPr="00AC41E0">
        <w:rPr>
          <w:lang w:eastAsia="en-AU"/>
        </w:rPr>
        <w:t xml:space="preserve">alidate everything received or entered. </w:t>
      </w:r>
    </w:p>
    <w:p w14:paraId="3259DA2F" w14:textId="0496D23B" w:rsidR="002D373B" w:rsidRPr="00AC41E0" w:rsidRDefault="002D373B" w:rsidP="0029270B">
      <w:pPr>
        <w:pStyle w:val="DCSbodytext"/>
        <w:numPr>
          <w:ilvl w:val="1"/>
          <w:numId w:val="44"/>
        </w:numPr>
        <w:rPr>
          <w:lang w:eastAsia="en-AU"/>
        </w:rPr>
      </w:pPr>
      <w:r w:rsidRPr="00AC41E0">
        <w:rPr>
          <w:b/>
          <w:bCs/>
          <w:lang w:eastAsia="en-AU"/>
        </w:rPr>
        <w:t>Separation of duties:</w:t>
      </w:r>
      <w:r w:rsidRPr="00AC41E0">
        <w:rPr>
          <w:lang w:eastAsia="en-AU"/>
        </w:rPr>
        <w:t xml:space="preserve"> </w:t>
      </w:r>
      <w:r w:rsidR="0029270B" w:rsidRPr="00AC41E0">
        <w:rPr>
          <w:lang w:eastAsia="en-AU"/>
        </w:rPr>
        <w:t>n</w:t>
      </w:r>
      <w:r w:rsidRPr="00AC41E0">
        <w:rPr>
          <w:lang w:eastAsia="en-AU"/>
        </w:rPr>
        <w:t xml:space="preserve">o one person should have complete control over critical functions, and security should be enhanced through the division of privileges amongst multiple parties. </w:t>
      </w:r>
    </w:p>
    <w:p w14:paraId="3C14065B" w14:textId="48BCA03E" w:rsidR="002D373B" w:rsidRPr="00AC41E0" w:rsidRDefault="002D373B" w:rsidP="0029270B">
      <w:pPr>
        <w:pStyle w:val="DCSbodytext"/>
        <w:numPr>
          <w:ilvl w:val="1"/>
          <w:numId w:val="44"/>
        </w:numPr>
        <w:rPr>
          <w:lang w:eastAsia="en-AU"/>
        </w:rPr>
      </w:pPr>
      <w:r w:rsidRPr="00AC41E0">
        <w:rPr>
          <w:b/>
          <w:bCs/>
          <w:lang w:eastAsia="en-AU"/>
        </w:rPr>
        <w:t>Keep security simple:</w:t>
      </w:r>
      <w:r w:rsidRPr="00AC41E0">
        <w:rPr>
          <w:lang w:eastAsia="en-AU"/>
        </w:rPr>
        <w:t xml:space="preserve"> </w:t>
      </w:r>
      <w:r w:rsidR="0029270B" w:rsidRPr="00AC41E0">
        <w:rPr>
          <w:lang w:eastAsia="en-AU"/>
        </w:rPr>
        <w:t>s</w:t>
      </w:r>
      <w:r w:rsidRPr="00AC41E0">
        <w:rPr>
          <w:lang w:eastAsia="en-AU"/>
        </w:rPr>
        <w:t xml:space="preserve">ecurity designs must be as simple as possible to achieve the required outcomes and minimise the number of errors and vulnerabilities. </w:t>
      </w:r>
    </w:p>
    <w:p w14:paraId="67449D42" w14:textId="49927A57" w:rsidR="002D373B" w:rsidRPr="00AC41E0" w:rsidRDefault="002D373B" w:rsidP="0029270B">
      <w:pPr>
        <w:pStyle w:val="DCSbodytext"/>
        <w:numPr>
          <w:ilvl w:val="1"/>
          <w:numId w:val="44"/>
        </w:numPr>
        <w:rPr>
          <w:lang w:eastAsia="en-AU"/>
        </w:rPr>
      </w:pPr>
      <w:r w:rsidRPr="00AC41E0">
        <w:rPr>
          <w:b/>
          <w:bCs/>
          <w:lang w:eastAsia="en-AU"/>
        </w:rPr>
        <w:lastRenderedPageBreak/>
        <w:t>Protect sensitive data in transit and at rest:</w:t>
      </w:r>
      <w:r w:rsidRPr="00AC41E0">
        <w:rPr>
          <w:lang w:eastAsia="en-AU"/>
        </w:rPr>
        <w:t xml:space="preserve"> </w:t>
      </w:r>
      <w:r w:rsidR="0029270B" w:rsidRPr="00AC41E0">
        <w:rPr>
          <w:lang w:eastAsia="en-AU"/>
        </w:rPr>
        <w:t>p</w:t>
      </w:r>
      <w:r w:rsidRPr="00AC41E0">
        <w:rPr>
          <w:lang w:eastAsia="en-AU"/>
        </w:rPr>
        <w:t xml:space="preserve">rotect data that is travelling between networks and data that is being stored. </w:t>
      </w:r>
    </w:p>
    <w:p w14:paraId="4E51E2C3" w14:textId="38A18FB8" w:rsidR="002D373B" w:rsidRPr="00AC41E0" w:rsidRDefault="002D373B" w:rsidP="0029270B">
      <w:pPr>
        <w:pStyle w:val="DCSbodytext"/>
        <w:numPr>
          <w:ilvl w:val="1"/>
          <w:numId w:val="44"/>
        </w:numPr>
        <w:rPr>
          <w:lang w:eastAsia="en-AU"/>
        </w:rPr>
      </w:pPr>
      <w:r w:rsidRPr="00AC41E0">
        <w:rPr>
          <w:b/>
          <w:bCs/>
          <w:lang w:eastAsia="en-AU"/>
        </w:rPr>
        <w:t>Secure the weakest link:</w:t>
      </w:r>
      <w:r w:rsidRPr="00AC41E0">
        <w:rPr>
          <w:lang w:eastAsia="en-AU"/>
        </w:rPr>
        <w:t xml:space="preserve"> </w:t>
      </w:r>
      <w:r w:rsidR="0029270B" w:rsidRPr="00AC41E0">
        <w:rPr>
          <w:lang w:eastAsia="en-AU"/>
        </w:rPr>
        <w:t>y</w:t>
      </w:r>
      <w:r w:rsidRPr="00AC41E0">
        <w:rPr>
          <w:lang w:eastAsia="en-AU"/>
        </w:rPr>
        <w:t xml:space="preserve">ou are only as secure as your weakest link. Attackers will often focus on gaining access through the weakest link, whether this is a person, vulnerable application or unsecured method of entry. </w:t>
      </w:r>
    </w:p>
    <w:p w14:paraId="2EF8B5D6" w14:textId="3675415C" w:rsidR="002D373B" w:rsidRPr="00E46FB0" w:rsidRDefault="002D373B" w:rsidP="007C49DA">
      <w:pPr>
        <w:pStyle w:val="DCSbodytext"/>
        <w:rPr>
          <w:lang w:eastAsia="en-AU"/>
        </w:rPr>
      </w:pPr>
      <w:r w:rsidRPr="00AC41E0">
        <w:rPr>
          <w:lang w:eastAsia="en-AU"/>
        </w:rPr>
        <w:t>For more information about security by design please review the Digital.NSW Design standards here or contact Cyber Security NSW.</w:t>
      </w:r>
    </w:p>
    <w:p w14:paraId="131CFA1B" w14:textId="4C5FB011" w:rsidR="00DB51FD" w:rsidRPr="00AC41E0" w:rsidDel="00D85049" w:rsidRDefault="00DB51FD" w:rsidP="00413664">
      <w:pPr>
        <w:pStyle w:val="Heading4"/>
        <w:rPr>
          <w:rFonts w:ascii="Arial" w:hAnsi="Arial"/>
        </w:rPr>
      </w:pPr>
      <w:r w:rsidRPr="00AC41E0" w:rsidDel="00D85049">
        <w:rPr>
          <w:rFonts w:ascii="Arial" w:hAnsi="Arial"/>
        </w:rPr>
        <w:t>Data considerations for managing cyber security risks</w:t>
      </w:r>
    </w:p>
    <w:p w14:paraId="3B7B3238" w14:textId="2B96A84C" w:rsidR="0033789C" w:rsidRPr="00AC41E0" w:rsidDel="00D85049" w:rsidRDefault="0015378F" w:rsidP="007E2600">
      <w:pPr>
        <w:pStyle w:val="DCSbodytext"/>
        <w:spacing w:after="120"/>
      </w:pPr>
      <w:r w:rsidRPr="00AC41E0" w:rsidDel="00D85049">
        <w:t xml:space="preserve">Given the criticality of data to IoT and the significant impact of data breaches, </w:t>
      </w:r>
      <w:r w:rsidR="00500F32" w:rsidRPr="00AC41E0" w:rsidDel="00D85049">
        <w:t xml:space="preserve">you </w:t>
      </w:r>
      <w:r w:rsidR="004F79C0" w:rsidRPr="00AC41E0">
        <w:t>need to</w:t>
      </w:r>
      <w:r w:rsidR="00500F32" w:rsidRPr="00AC41E0" w:rsidDel="00D85049">
        <w:t xml:space="preserve">: </w:t>
      </w:r>
    </w:p>
    <w:p w14:paraId="12C765B2" w14:textId="020FABEB" w:rsidR="000D1082" w:rsidRPr="00AC41E0" w:rsidDel="00D85049" w:rsidRDefault="00370056" w:rsidP="00CA5FB3">
      <w:pPr>
        <w:pStyle w:val="DCSbodytext"/>
        <w:numPr>
          <w:ilvl w:val="0"/>
          <w:numId w:val="29"/>
        </w:numPr>
        <w:spacing w:after="120"/>
        <w:ind w:left="1228"/>
      </w:pPr>
      <w:r w:rsidRPr="00AC41E0" w:rsidDel="00D85049">
        <w:t>e</w:t>
      </w:r>
      <w:r w:rsidR="000D1082" w:rsidRPr="00AC41E0" w:rsidDel="00D85049">
        <w:t>nsur</w:t>
      </w:r>
      <w:r w:rsidR="00500F32" w:rsidRPr="00AC41E0" w:rsidDel="00D85049">
        <w:t xml:space="preserve">e </w:t>
      </w:r>
      <w:r w:rsidR="000D1082" w:rsidRPr="00AC41E0" w:rsidDel="00D85049">
        <w:t>you can log, audit and investigate any issues that may occur</w:t>
      </w:r>
    </w:p>
    <w:p w14:paraId="06951CAF" w14:textId="201CA5F6" w:rsidR="000D1082" w:rsidRPr="00AC41E0" w:rsidDel="00D85049" w:rsidRDefault="00370056" w:rsidP="00CA5FB3">
      <w:pPr>
        <w:pStyle w:val="DCSbodytext"/>
        <w:numPr>
          <w:ilvl w:val="0"/>
          <w:numId w:val="29"/>
        </w:numPr>
        <w:spacing w:after="120"/>
        <w:ind w:left="1228"/>
      </w:pPr>
      <w:r w:rsidRPr="00AC41E0" w:rsidDel="00D85049">
        <w:t>c</w:t>
      </w:r>
      <w:r w:rsidR="000D1082" w:rsidRPr="00AC41E0" w:rsidDel="00D85049">
        <w:t>onsider user authorisation, management</w:t>
      </w:r>
      <w:r w:rsidR="002E1E65" w:rsidRPr="00AC41E0">
        <w:t>,</w:t>
      </w:r>
      <w:r w:rsidR="000D1082" w:rsidRPr="00AC41E0" w:rsidDel="00D85049">
        <w:t xml:space="preserve"> and authentication. When different devices connect, ensure that user management and authentication that allow inter-party communication are appropriate</w:t>
      </w:r>
    </w:p>
    <w:p w14:paraId="217A0FD6" w14:textId="3C2FDD71" w:rsidR="000D1082" w:rsidRPr="00AC41E0" w:rsidDel="00D85049" w:rsidRDefault="000243E2" w:rsidP="00CA5FB3">
      <w:pPr>
        <w:pStyle w:val="DCSbodytext"/>
        <w:numPr>
          <w:ilvl w:val="0"/>
          <w:numId w:val="29"/>
        </w:numPr>
        <w:spacing w:after="120"/>
        <w:ind w:left="1228"/>
      </w:pPr>
      <w:r w:rsidRPr="00AC41E0">
        <w:t>capture</w:t>
      </w:r>
      <w:r w:rsidRPr="00AC41E0" w:rsidDel="00D85049">
        <w:t xml:space="preserve"> </w:t>
      </w:r>
      <w:r w:rsidR="000D1082" w:rsidRPr="00AC41E0" w:rsidDel="00D85049">
        <w:t>audit data tracking user management and authentication</w:t>
      </w:r>
    </w:p>
    <w:p w14:paraId="62BE494D" w14:textId="45B8617A" w:rsidR="000D1082" w:rsidRPr="00AC41E0" w:rsidDel="00D85049" w:rsidRDefault="00370056" w:rsidP="00CA5FB3">
      <w:pPr>
        <w:pStyle w:val="DCSbodytext"/>
        <w:numPr>
          <w:ilvl w:val="0"/>
          <w:numId w:val="29"/>
        </w:numPr>
        <w:spacing w:after="120"/>
        <w:ind w:left="1228"/>
      </w:pPr>
      <w:r w:rsidRPr="00AC41E0" w:rsidDel="00D85049">
        <w:t>e</w:t>
      </w:r>
      <w:r w:rsidR="000D1082" w:rsidRPr="00AC41E0" w:rsidDel="00D85049">
        <w:t>nsur</w:t>
      </w:r>
      <w:r w:rsidR="00500F32" w:rsidRPr="00AC41E0" w:rsidDel="00D85049">
        <w:t>e</w:t>
      </w:r>
      <w:r w:rsidR="000D1082" w:rsidRPr="00AC41E0" w:rsidDel="00D85049">
        <w:t xml:space="preserve"> authorisation and access is revoked when users leave roles or change organisations or when business or </w:t>
      </w:r>
      <w:r w:rsidR="00536866" w:rsidRPr="00AC41E0" w:rsidDel="00D85049">
        <w:t xml:space="preserve">IoT service providers </w:t>
      </w:r>
      <w:r w:rsidR="000D1082" w:rsidRPr="00AC41E0" w:rsidDel="00D85049">
        <w:t xml:space="preserve">relationships are concluded. </w:t>
      </w:r>
    </w:p>
    <w:p w14:paraId="68DA2FA0" w14:textId="2D73817C" w:rsidR="00E33D61" w:rsidRPr="00AC41E0" w:rsidDel="00D85049" w:rsidRDefault="00500F32" w:rsidP="007E2600">
      <w:pPr>
        <w:pStyle w:val="DCSbodytext"/>
        <w:spacing w:after="120"/>
      </w:pPr>
      <w:r w:rsidRPr="00AC41E0" w:rsidDel="00D85049">
        <w:t xml:space="preserve">Answering the following questions can </w:t>
      </w:r>
      <w:r w:rsidR="00FA6C06" w:rsidRPr="00AC41E0" w:rsidDel="00D85049">
        <w:t xml:space="preserve">help you implement the above strategies: </w:t>
      </w:r>
      <w:r w:rsidR="00E33D61" w:rsidRPr="00AC41E0" w:rsidDel="00D85049">
        <w:t xml:space="preserve"> </w:t>
      </w:r>
    </w:p>
    <w:p w14:paraId="4303637B" w14:textId="549EB7DA" w:rsidR="0033789C" w:rsidRPr="00AC41E0" w:rsidDel="00D85049" w:rsidRDefault="0033789C" w:rsidP="00CA5FB3">
      <w:pPr>
        <w:pStyle w:val="DCSbodytext"/>
        <w:numPr>
          <w:ilvl w:val="0"/>
          <w:numId w:val="29"/>
        </w:numPr>
        <w:spacing w:after="120"/>
        <w:ind w:left="1228"/>
      </w:pPr>
      <w:r w:rsidRPr="00AC41E0" w:rsidDel="00D85049">
        <w:t>What processes require logging?</w:t>
      </w:r>
    </w:p>
    <w:p w14:paraId="740C48BC" w14:textId="6DE26D1F" w:rsidR="0033789C" w:rsidRPr="00AC41E0" w:rsidDel="00D85049" w:rsidRDefault="0033789C" w:rsidP="00CA5FB3">
      <w:pPr>
        <w:pStyle w:val="DCSbodytext"/>
        <w:numPr>
          <w:ilvl w:val="0"/>
          <w:numId w:val="29"/>
        </w:numPr>
        <w:spacing w:after="120"/>
        <w:ind w:left="1228"/>
      </w:pPr>
      <w:r w:rsidRPr="00AC41E0" w:rsidDel="00D85049">
        <w:t>Is any autocorrection or overriding of data logged?</w:t>
      </w:r>
    </w:p>
    <w:p w14:paraId="164F5973" w14:textId="4E6F44A4" w:rsidR="0033789C" w:rsidRPr="00AC41E0" w:rsidDel="00D85049" w:rsidRDefault="0033789C" w:rsidP="00CA5FB3">
      <w:pPr>
        <w:pStyle w:val="DCSbodytext"/>
        <w:numPr>
          <w:ilvl w:val="0"/>
          <w:numId w:val="29"/>
        </w:numPr>
        <w:spacing w:after="120"/>
        <w:ind w:left="1228"/>
      </w:pPr>
      <w:r w:rsidRPr="00AC41E0" w:rsidDel="00D85049">
        <w:t>How will logs be managed?</w:t>
      </w:r>
    </w:p>
    <w:p w14:paraId="7D273BB5" w14:textId="7E1A6487" w:rsidR="0033789C" w:rsidRPr="00AC41E0" w:rsidDel="00D85049" w:rsidRDefault="0033789C" w:rsidP="00CA5FB3">
      <w:pPr>
        <w:pStyle w:val="DCSbodytext"/>
        <w:numPr>
          <w:ilvl w:val="0"/>
          <w:numId w:val="29"/>
        </w:numPr>
        <w:spacing w:after="120"/>
        <w:ind w:left="1228"/>
      </w:pPr>
      <w:r w:rsidRPr="00AC41E0" w:rsidDel="00D85049">
        <w:t>Who has access to the data in logs?</w:t>
      </w:r>
    </w:p>
    <w:p w14:paraId="652A9207" w14:textId="00998880" w:rsidR="0033789C" w:rsidRPr="00AC41E0" w:rsidDel="00D85049" w:rsidRDefault="0033789C" w:rsidP="00CA5FB3">
      <w:pPr>
        <w:pStyle w:val="DCSbodytext"/>
        <w:numPr>
          <w:ilvl w:val="0"/>
          <w:numId w:val="29"/>
        </w:numPr>
        <w:spacing w:after="120"/>
        <w:ind w:left="1228"/>
      </w:pPr>
      <w:r w:rsidRPr="00AC41E0" w:rsidDel="00D85049">
        <w:t>How is access to logs managed?</w:t>
      </w:r>
    </w:p>
    <w:p w14:paraId="2D30F960" w14:textId="06179999" w:rsidR="0033789C" w:rsidRPr="00AC41E0" w:rsidDel="00D85049" w:rsidRDefault="0033789C" w:rsidP="00CA5FB3">
      <w:pPr>
        <w:pStyle w:val="DCSbodytext"/>
        <w:numPr>
          <w:ilvl w:val="0"/>
          <w:numId w:val="29"/>
        </w:numPr>
        <w:spacing w:after="120"/>
        <w:ind w:left="1228"/>
      </w:pPr>
      <w:r w:rsidRPr="00AC41E0" w:rsidDel="00D85049">
        <w:t xml:space="preserve">How is </w:t>
      </w:r>
      <w:r w:rsidR="002E1E65" w:rsidRPr="00AC41E0">
        <w:t xml:space="preserve">the </w:t>
      </w:r>
      <w:r w:rsidRPr="00AC41E0" w:rsidDel="00D85049">
        <w:t>reliability and accuracy of logs managed?</w:t>
      </w:r>
    </w:p>
    <w:p w14:paraId="4ADBA1C1" w14:textId="795FF326" w:rsidR="0033789C" w:rsidRPr="00AC41E0" w:rsidDel="00D85049" w:rsidRDefault="0033789C" w:rsidP="00CA5FB3">
      <w:pPr>
        <w:pStyle w:val="DCSbodytext"/>
        <w:numPr>
          <w:ilvl w:val="0"/>
          <w:numId w:val="29"/>
        </w:numPr>
        <w:spacing w:after="120"/>
        <w:ind w:left="1228"/>
      </w:pPr>
      <w:r w:rsidRPr="00AC41E0" w:rsidDel="00D85049">
        <w:t>Can logs be exported and managed as a record if needed for legal or audit processes?</w:t>
      </w:r>
    </w:p>
    <w:p w14:paraId="66D946B2" w14:textId="3F229801" w:rsidR="0033789C" w:rsidRPr="00AC41E0" w:rsidDel="00D85049" w:rsidRDefault="0033789C" w:rsidP="00CA5FB3">
      <w:pPr>
        <w:pStyle w:val="DCSbodytext"/>
        <w:numPr>
          <w:ilvl w:val="0"/>
          <w:numId w:val="29"/>
        </w:numPr>
        <w:spacing w:after="120"/>
        <w:ind w:left="1228"/>
      </w:pPr>
      <w:r w:rsidRPr="00AC41E0" w:rsidDel="00D85049">
        <w:t>What tools are necessary to analyse and interpret logs?</w:t>
      </w:r>
    </w:p>
    <w:p w14:paraId="3E038667" w14:textId="58E76699" w:rsidR="006733E2" w:rsidRPr="00AC41E0" w:rsidDel="00D85049" w:rsidRDefault="005B35AE" w:rsidP="008060F0">
      <w:pPr>
        <w:pStyle w:val="DCSbodytext"/>
      </w:pPr>
      <w:r w:rsidRPr="00AC41E0" w:rsidDel="00D85049">
        <w:t xml:space="preserve">See also </w:t>
      </w:r>
      <w:hyperlink w:anchor="_Privacy" w:history="1">
        <w:r w:rsidR="00E467FF" w:rsidRPr="00AC41E0">
          <w:rPr>
            <w:rStyle w:val="Hyperlink"/>
            <w:rFonts w:cs="Arial"/>
            <w:szCs w:val="22"/>
          </w:rPr>
          <w:t>3.5 Privacy</w:t>
        </w:r>
      </w:hyperlink>
      <w:r w:rsidRPr="00E46FB0" w:rsidDel="00D85049">
        <w:t xml:space="preserve"> for information about managing a privacy breach.</w:t>
      </w:r>
      <w:r w:rsidR="006733E2" w:rsidRPr="00AC41E0" w:rsidDel="00D85049">
        <w:t xml:space="preserve"> </w:t>
      </w:r>
    </w:p>
    <w:p w14:paraId="1C97FB52" w14:textId="4FB89208" w:rsidR="00AA6162" w:rsidRPr="00AC41E0" w:rsidRDefault="004F79C0" w:rsidP="00413664">
      <w:pPr>
        <w:pStyle w:val="Heading4"/>
        <w:rPr>
          <w:rFonts w:ascii="Arial" w:hAnsi="Arial"/>
        </w:rPr>
      </w:pPr>
      <w:bookmarkStart w:id="1234" w:name="_Addressing_Supply_Chain"/>
      <w:bookmarkStart w:id="1235" w:name="_Toc14341859"/>
      <w:bookmarkStart w:id="1236" w:name="_Toc14360667"/>
      <w:bookmarkEnd w:id="1234"/>
      <w:r w:rsidRPr="00AC41E0">
        <w:rPr>
          <w:rFonts w:ascii="Arial" w:hAnsi="Arial"/>
        </w:rPr>
        <w:t>Addressing s</w:t>
      </w:r>
      <w:r w:rsidR="00AA6162" w:rsidRPr="00AC41E0">
        <w:rPr>
          <w:rFonts w:ascii="Arial" w:hAnsi="Arial"/>
        </w:rPr>
        <w:t xml:space="preserve">upply </w:t>
      </w:r>
      <w:r w:rsidRPr="00AC41E0">
        <w:rPr>
          <w:rFonts w:ascii="Arial" w:hAnsi="Arial"/>
        </w:rPr>
        <w:t>c</w:t>
      </w:r>
      <w:r w:rsidR="00AA6162" w:rsidRPr="00AC41E0">
        <w:rPr>
          <w:rFonts w:ascii="Arial" w:hAnsi="Arial"/>
        </w:rPr>
        <w:t xml:space="preserve">hain </w:t>
      </w:r>
      <w:r w:rsidRPr="00AC41E0">
        <w:rPr>
          <w:rFonts w:ascii="Arial" w:hAnsi="Arial"/>
        </w:rPr>
        <w:t>r</w:t>
      </w:r>
      <w:r w:rsidR="00AA6162" w:rsidRPr="00AC41E0">
        <w:rPr>
          <w:rFonts w:ascii="Arial" w:hAnsi="Arial"/>
        </w:rPr>
        <w:t>isk</w:t>
      </w:r>
      <w:bookmarkEnd w:id="1235"/>
      <w:bookmarkEnd w:id="1236"/>
    </w:p>
    <w:p w14:paraId="0D914C7D" w14:textId="058C376F" w:rsidR="00AA6162" w:rsidRPr="00AC41E0" w:rsidRDefault="00B204C4" w:rsidP="00A87E12">
      <w:pPr>
        <w:pStyle w:val="DCSbodytext"/>
        <w:spacing w:after="120"/>
        <w:ind w:left="868"/>
      </w:pPr>
      <w:r w:rsidRPr="00AC41E0">
        <w:t>It is important to a</w:t>
      </w:r>
      <w:r w:rsidR="00AA6162" w:rsidRPr="00AC41E0">
        <w:t xml:space="preserve">ssess the security posture of </w:t>
      </w:r>
      <w:r w:rsidR="004F79C0" w:rsidRPr="00AC41E0">
        <w:t xml:space="preserve">the potential </w:t>
      </w:r>
      <w:r w:rsidR="005B2DB3" w:rsidRPr="00AC41E0">
        <w:t xml:space="preserve">IoT service provider </w:t>
      </w:r>
      <w:r w:rsidR="00CE5D16" w:rsidRPr="00AC41E0">
        <w:t xml:space="preserve">so </w:t>
      </w:r>
      <w:r w:rsidR="00AA6162" w:rsidRPr="00AC41E0">
        <w:t xml:space="preserve">that supply chains do not become the weak link in securing IoT systems. </w:t>
      </w:r>
      <w:r w:rsidR="004F79C0" w:rsidRPr="00AC41E0">
        <w:t>You can a</w:t>
      </w:r>
      <w:r w:rsidR="00AA6162" w:rsidRPr="00AC41E0">
        <w:t xml:space="preserve">sk </w:t>
      </w:r>
      <w:r w:rsidR="001D337A" w:rsidRPr="00AC41E0">
        <w:t xml:space="preserve">prospective </w:t>
      </w:r>
      <w:r w:rsidR="005B2DB3" w:rsidRPr="00AC41E0">
        <w:t xml:space="preserve">IoT service providers </w:t>
      </w:r>
      <w:r w:rsidR="00AA6162" w:rsidRPr="00AC41E0">
        <w:t xml:space="preserve">questions </w:t>
      </w:r>
      <w:r w:rsidR="0098544C" w:rsidRPr="00AC41E0">
        <w:t>to help</w:t>
      </w:r>
      <w:r w:rsidR="00AA6162" w:rsidRPr="00AC41E0">
        <w:t xml:space="preserve"> determine </w:t>
      </w:r>
      <w:r w:rsidR="00082DB1" w:rsidRPr="00AC41E0">
        <w:t>if they</w:t>
      </w:r>
      <w:r w:rsidR="005C3A1C" w:rsidRPr="00AC41E0">
        <w:t xml:space="preserve"> will </w:t>
      </w:r>
      <w:r w:rsidR="00AA6162" w:rsidRPr="00AC41E0">
        <w:t>protect your supply chain:</w:t>
      </w:r>
    </w:p>
    <w:p w14:paraId="3F805F40" w14:textId="47666AEC" w:rsidR="00AA6162" w:rsidRPr="00AC41E0" w:rsidRDefault="00AA6162" w:rsidP="00CA5FB3">
      <w:pPr>
        <w:pStyle w:val="DCSbodytext"/>
        <w:numPr>
          <w:ilvl w:val="0"/>
          <w:numId w:val="29"/>
        </w:numPr>
        <w:spacing w:after="120"/>
        <w:ind w:left="1228"/>
      </w:pPr>
      <w:r w:rsidRPr="00AC41E0">
        <w:t xml:space="preserve">Do they have an Information Security Management System? </w:t>
      </w:r>
      <w:r w:rsidR="009022A8" w:rsidRPr="00AC41E0">
        <w:t xml:space="preserve">If so, </w:t>
      </w:r>
      <w:r w:rsidRPr="00AC41E0">
        <w:t>is it ISO 27001 certified? Can a copy of the Statement of Applicability be provided on request along with a copy of the latest external auditor’s report, and the results of recent internal audits?</w:t>
      </w:r>
    </w:p>
    <w:p w14:paraId="3AD2F01E" w14:textId="77777777" w:rsidR="00AA6162" w:rsidRPr="00AC41E0" w:rsidRDefault="00AA6162" w:rsidP="00CA5FB3">
      <w:pPr>
        <w:pStyle w:val="DCSbodytext"/>
        <w:numPr>
          <w:ilvl w:val="0"/>
          <w:numId w:val="29"/>
        </w:numPr>
        <w:spacing w:after="120"/>
        <w:ind w:left="1228"/>
      </w:pPr>
      <w:r w:rsidRPr="00AC41E0">
        <w:lastRenderedPageBreak/>
        <w:t>Have they implemented the ACSC Essential 8 framework?</w:t>
      </w:r>
    </w:p>
    <w:p w14:paraId="49528EE2" w14:textId="77777777" w:rsidR="00AA6162" w:rsidRPr="00AC41E0" w:rsidRDefault="00AA6162" w:rsidP="00CA5FB3">
      <w:pPr>
        <w:pStyle w:val="DCSbodytext"/>
        <w:numPr>
          <w:ilvl w:val="0"/>
          <w:numId w:val="29"/>
        </w:numPr>
        <w:spacing w:after="120"/>
        <w:ind w:left="1228"/>
      </w:pPr>
      <w:r w:rsidRPr="00AC41E0">
        <w:t>Will they notify your organisation in the event of a security incident?</w:t>
      </w:r>
    </w:p>
    <w:p w14:paraId="7F4041B9" w14:textId="77777777" w:rsidR="00AA6162" w:rsidRPr="00AC41E0" w:rsidRDefault="00AA6162" w:rsidP="00CA5FB3">
      <w:pPr>
        <w:pStyle w:val="DCSbodytext"/>
        <w:numPr>
          <w:ilvl w:val="0"/>
          <w:numId w:val="29"/>
        </w:numPr>
        <w:spacing w:after="120"/>
        <w:ind w:left="1228"/>
      </w:pPr>
      <w:r w:rsidRPr="00AC41E0">
        <w:t>Do staff receive security awareness training and if so, how frequently?</w:t>
      </w:r>
    </w:p>
    <w:p w14:paraId="5F265D4D" w14:textId="77777777" w:rsidR="00AA6162" w:rsidRPr="00AC41E0" w:rsidRDefault="00AA6162" w:rsidP="00CA5FB3">
      <w:pPr>
        <w:pStyle w:val="DCSbodytext"/>
        <w:numPr>
          <w:ilvl w:val="0"/>
          <w:numId w:val="29"/>
        </w:numPr>
        <w:spacing w:after="120"/>
        <w:ind w:left="1228"/>
      </w:pPr>
      <w:r w:rsidRPr="00AC41E0">
        <w:t>Is there evidence of how cyber security risks are managed for operational technology such as building management systems and other control systems where IoT devices are developed and manufactured?</w:t>
      </w:r>
    </w:p>
    <w:p w14:paraId="5DD63FFE" w14:textId="178297BD" w:rsidR="00AA6162" w:rsidRPr="00AC41E0" w:rsidRDefault="00AA6162" w:rsidP="00CA5FB3">
      <w:pPr>
        <w:pStyle w:val="DCSbodytext"/>
        <w:numPr>
          <w:ilvl w:val="0"/>
          <w:numId w:val="29"/>
        </w:numPr>
        <w:spacing w:after="120"/>
        <w:ind w:left="1228"/>
      </w:pPr>
      <w:r w:rsidRPr="00AC41E0">
        <w:t xml:space="preserve">Does the </w:t>
      </w:r>
      <w:r w:rsidR="00536866" w:rsidRPr="00AC41E0">
        <w:t xml:space="preserve">IoT service provider </w:t>
      </w:r>
      <w:r w:rsidRPr="00AC41E0">
        <w:t>have a vulnerability disclosure process/policy?</w:t>
      </w:r>
    </w:p>
    <w:p w14:paraId="7F61D820" w14:textId="780CD06F" w:rsidR="00AA6162" w:rsidRPr="00AC41E0" w:rsidRDefault="00AA6162" w:rsidP="00CA5FB3">
      <w:pPr>
        <w:pStyle w:val="DCSbodytext"/>
        <w:numPr>
          <w:ilvl w:val="0"/>
          <w:numId w:val="29"/>
        </w:numPr>
        <w:spacing w:after="120"/>
        <w:ind w:left="1228"/>
      </w:pPr>
      <w:r w:rsidRPr="00AC41E0">
        <w:t xml:space="preserve">Does the </w:t>
      </w:r>
      <w:r w:rsidR="00536866" w:rsidRPr="00AC41E0">
        <w:t xml:space="preserve">IoT service provider </w:t>
      </w:r>
      <w:r w:rsidRPr="00AC41E0">
        <w:t>have a secure coding policy that must be adhered to by software developers?</w:t>
      </w:r>
    </w:p>
    <w:p w14:paraId="67AD3032" w14:textId="5F5896E2" w:rsidR="00AA6162" w:rsidRPr="00AC41E0" w:rsidRDefault="00AA6162" w:rsidP="00CA5FB3">
      <w:pPr>
        <w:pStyle w:val="DCSbodytext"/>
        <w:numPr>
          <w:ilvl w:val="0"/>
          <w:numId w:val="29"/>
        </w:numPr>
        <w:spacing w:after="120"/>
        <w:ind w:left="1228"/>
      </w:pPr>
      <w:r w:rsidRPr="00AC41E0">
        <w:t xml:space="preserve">Can the </w:t>
      </w:r>
      <w:r w:rsidR="00536866" w:rsidRPr="00AC41E0">
        <w:t xml:space="preserve">IoT service provider </w:t>
      </w:r>
      <w:r w:rsidRPr="00AC41E0">
        <w:t xml:space="preserve">provide references for other organisations that can attest to the </w:t>
      </w:r>
      <w:r w:rsidR="00536866" w:rsidRPr="00AC41E0">
        <w:t xml:space="preserve">service provider’s </w:t>
      </w:r>
      <w:r w:rsidRPr="00AC41E0">
        <w:t>commitment to security?</w:t>
      </w:r>
      <w:r w:rsidR="00D70FBB" w:rsidRPr="00AC41E0">
        <w:t xml:space="preserve"> Ha</w:t>
      </w:r>
      <w:r w:rsidR="00C25E41" w:rsidRPr="00AC41E0">
        <w:t>ve</w:t>
      </w:r>
      <w:r w:rsidR="00D70FBB" w:rsidRPr="00AC41E0">
        <w:t xml:space="preserve"> the organisation</w:t>
      </w:r>
      <w:r w:rsidR="00C25E41" w:rsidRPr="00AC41E0">
        <w:t>s</w:t>
      </w:r>
      <w:r w:rsidR="00D70FBB" w:rsidRPr="00AC41E0">
        <w:t xml:space="preserve"> previously suffered a data breach? If so, how was </w:t>
      </w:r>
      <w:r w:rsidR="008A3ED1" w:rsidRPr="00AC41E0">
        <w:t>a</w:t>
      </w:r>
      <w:r w:rsidR="00D70FBB" w:rsidRPr="00AC41E0">
        <w:t xml:space="preserve"> breach handled?</w:t>
      </w:r>
    </w:p>
    <w:p w14:paraId="14F1A459" w14:textId="142E7E8E" w:rsidR="008321D4" w:rsidRPr="00AC41E0" w:rsidRDefault="00AA6162" w:rsidP="00CA5FB3">
      <w:pPr>
        <w:pStyle w:val="DCSbodytext"/>
        <w:numPr>
          <w:ilvl w:val="0"/>
          <w:numId w:val="29"/>
        </w:numPr>
        <w:spacing w:after="120"/>
        <w:ind w:left="1228"/>
      </w:pPr>
      <w:r w:rsidRPr="00AC41E0">
        <w:t>What relevant certifications or qualifications do staff possess to ensure quality of work? Can evidence of certifications be provided?</w:t>
      </w:r>
      <w:bookmarkEnd w:id="1217"/>
    </w:p>
    <w:p w14:paraId="1AEFD0FD" w14:textId="4AADCB6C" w:rsidR="00B13F0A" w:rsidRPr="00AC41E0" w:rsidRDefault="001C7E88" w:rsidP="009C2BF6">
      <w:pPr>
        <w:pStyle w:val="Heading2"/>
        <w:tabs>
          <w:tab w:val="clear" w:pos="5188"/>
          <w:tab w:val="num" w:pos="794"/>
        </w:tabs>
        <w:ind w:left="851"/>
        <w:rPr>
          <w:rFonts w:ascii="Arial" w:hAnsi="Arial"/>
        </w:rPr>
      </w:pPr>
      <w:bookmarkStart w:id="1237" w:name="_Data_obligations"/>
      <w:bookmarkStart w:id="1238" w:name="_Toc65760525"/>
      <w:bookmarkEnd w:id="1237"/>
      <w:r w:rsidRPr="00AC41E0">
        <w:rPr>
          <w:rFonts w:ascii="Arial" w:hAnsi="Arial"/>
        </w:rPr>
        <w:t xml:space="preserve">Data obligations </w:t>
      </w:r>
      <w:r w:rsidR="00BA2CE8" w:rsidRPr="00AC41E0">
        <w:rPr>
          <w:rFonts w:ascii="Arial" w:hAnsi="Arial"/>
        </w:rPr>
        <w:t>– open, shared and closed data</w:t>
      </w:r>
      <w:bookmarkEnd w:id="1238"/>
    </w:p>
    <w:p w14:paraId="2DEFE94F" w14:textId="77777777" w:rsidR="00572BD7" w:rsidRPr="00AC41E0" w:rsidRDefault="00572BD7" w:rsidP="009A41BE">
      <w:pPr>
        <w:pStyle w:val="Heading3"/>
        <w:rPr>
          <w:rFonts w:ascii="Arial" w:hAnsi="Arial"/>
        </w:rPr>
      </w:pPr>
      <w:bookmarkStart w:id="1239" w:name="_Designing_your_data"/>
      <w:bookmarkStart w:id="1240" w:name="_Open_data"/>
      <w:bookmarkStart w:id="1241" w:name="_Toc65760526"/>
      <w:bookmarkStart w:id="1242" w:name="_Toc14446048"/>
      <w:bookmarkEnd w:id="1239"/>
      <w:bookmarkEnd w:id="1240"/>
      <w:r w:rsidRPr="00AC41E0">
        <w:rPr>
          <w:rFonts w:ascii="Arial" w:hAnsi="Arial"/>
        </w:rPr>
        <w:t>Open data</w:t>
      </w:r>
      <w:bookmarkEnd w:id="1241"/>
    </w:p>
    <w:p w14:paraId="67D643C8" w14:textId="526C4425" w:rsidR="00572BD7" w:rsidRPr="00AC41E0" w:rsidRDefault="009F0ECA" w:rsidP="00572BD7">
      <w:pPr>
        <w:pStyle w:val="DCSbodytext"/>
        <w:rPr>
          <w:rFonts w:cs="Arial"/>
        </w:rPr>
      </w:pPr>
      <w:r w:rsidRPr="00AC41E0">
        <w:rPr>
          <w:shd w:val="clear" w:color="auto" w:fill="FFFFFF"/>
        </w:rPr>
        <w:t xml:space="preserve">Data generated by </w:t>
      </w:r>
      <w:r w:rsidR="002E1E65" w:rsidRPr="00AC41E0">
        <w:rPr>
          <w:shd w:val="clear" w:color="auto" w:fill="FFFFFF"/>
        </w:rPr>
        <w:t xml:space="preserve">the </w:t>
      </w:r>
      <w:r w:rsidRPr="00AC41E0">
        <w:rPr>
          <w:shd w:val="clear" w:color="auto" w:fill="FFFFFF"/>
        </w:rPr>
        <w:t>g</w:t>
      </w:r>
      <w:r w:rsidR="004F79C0" w:rsidRPr="00AC41E0">
        <w:t>overnment</w:t>
      </w:r>
      <w:r w:rsidRPr="00AC41E0">
        <w:t xml:space="preserve"> </w:t>
      </w:r>
      <w:r w:rsidR="004F79C0" w:rsidRPr="00AC41E0">
        <w:t>needs to</w:t>
      </w:r>
      <w:r w:rsidR="00572BD7" w:rsidRPr="00AC41E0">
        <w:t xml:space="preserve"> be treated as a public asset and made available as widely as possible. </w:t>
      </w:r>
      <w:r w:rsidR="005C4B3F" w:rsidRPr="00AC41E0">
        <w:rPr>
          <w:rFonts w:cs="Arial"/>
        </w:rPr>
        <w:t xml:space="preserve">All organisations have the potential to transform customer and service outcomes through the better use of data. </w:t>
      </w:r>
      <w:r w:rsidR="00572BD7" w:rsidRPr="00AC41E0">
        <w:rPr>
          <w:shd w:val="clear" w:color="auto" w:fill="FFFFFF"/>
        </w:rPr>
        <w:t xml:space="preserve">Making IoT data from your project open </w:t>
      </w:r>
      <w:r w:rsidR="004F79C0" w:rsidRPr="00AC41E0">
        <w:rPr>
          <w:shd w:val="clear" w:color="auto" w:fill="FFFFFF"/>
        </w:rPr>
        <w:t>allows</w:t>
      </w:r>
      <w:r w:rsidR="00572BD7" w:rsidRPr="00AC41E0">
        <w:rPr>
          <w:shd w:val="clear" w:color="auto" w:fill="FFFFFF"/>
        </w:rPr>
        <w:t xml:space="preserve"> other organisations to benefit from</w:t>
      </w:r>
      <w:r w:rsidR="004F79C0" w:rsidRPr="00AC41E0">
        <w:rPr>
          <w:shd w:val="clear" w:color="auto" w:fill="FFFFFF"/>
        </w:rPr>
        <w:t>,</w:t>
      </w:r>
      <w:r w:rsidR="00572BD7" w:rsidRPr="00AC41E0">
        <w:rPr>
          <w:shd w:val="clear" w:color="auto" w:fill="FFFFFF"/>
        </w:rPr>
        <w:t xml:space="preserve"> and innovate using</w:t>
      </w:r>
      <w:r w:rsidR="004F79C0" w:rsidRPr="00AC41E0">
        <w:rPr>
          <w:shd w:val="clear" w:color="auto" w:fill="FFFFFF"/>
        </w:rPr>
        <w:t>,</w:t>
      </w:r>
      <w:r w:rsidR="00572BD7" w:rsidRPr="00AC41E0">
        <w:rPr>
          <w:shd w:val="clear" w:color="auto" w:fill="FFFFFF"/>
        </w:rPr>
        <w:t xml:space="preserve"> the data you have generated. </w:t>
      </w:r>
      <w:r w:rsidR="00BF0CE9" w:rsidRPr="00AC41E0">
        <w:rPr>
          <w:shd w:val="clear" w:color="auto" w:fill="FFFFFF"/>
        </w:rPr>
        <w:t>Making</w:t>
      </w:r>
      <w:r w:rsidR="00572B0B" w:rsidRPr="00AC41E0">
        <w:rPr>
          <w:shd w:val="clear" w:color="auto" w:fill="FFFFFF"/>
        </w:rPr>
        <w:t xml:space="preserve"> data publicly available in </w:t>
      </w:r>
      <w:r w:rsidR="00BF0CE9" w:rsidRPr="00AC41E0">
        <w:rPr>
          <w:shd w:val="clear" w:color="auto" w:fill="FFFFFF"/>
        </w:rPr>
        <w:t xml:space="preserve">a </w:t>
      </w:r>
      <w:r w:rsidR="00572B0B" w:rsidRPr="00AC41E0">
        <w:rPr>
          <w:shd w:val="clear" w:color="auto" w:fill="FFFFFF"/>
        </w:rPr>
        <w:t xml:space="preserve">way </w:t>
      </w:r>
      <w:r w:rsidR="005C4B3F" w:rsidRPr="00AC41E0">
        <w:rPr>
          <w:shd w:val="clear" w:color="auto" w:fill="FFFFFF"/>
        </w:rPr>
        <w:t>that c</w:t>
      </w:r>
      <w:r w:rsidR="00572B0B" w:rsidRPr="00AC41E0">
        <w:rPr>
          <w:shd w:val="clear" w:color="auto" w:fill="FFFFFF"/>
        </w:rPr>
        <w:t>reates access for private and community use</w:t>
      </w:r>
      <w:r w:rsidR="00BF0CE9" w:rsidRPr="00AC41E0">
        <w:rPr>
          <w:shd w:val="clear" w:color="auto" w:fill="FFFFFF"/>
        </w:rPr>
        <w:t xml:space="preserve"> can </w:t>
      </w:r>
      <w:r w:rsidR="00572B0B" w:rsidRPr="00AC41E0">
        <w:rPr>
          <w:shd w:val="clear" w:color="auto" w:fill="FFFFFF"/>
        </w:rPr>
        <w:t>increase transparency</w:t>
      </w:r>
      <w:r w:rsidR="005C4B3F" w:rsidRPr="00AC41E0">
        <w:rPr>
          <w:shd w:val="clear" w:color="auto" w:fill="FFFFFF"/>
        </w:rPr>
        <w:t xml:space="preserve">, </w:t>
      </w:r>
      <w:r w:rsidR="00572B0B" w:rsidRPr="00AC41E0">
        <w:rPr>
          <w:shd w:val="clear" w:color="auto" w:fill="FFFFFF"/>
        </w:rPr>
        <w:t>build trust</w:t>
      </w:r>
      <w:r w:rsidR="005C4B3F" w:rsidRPr="00AC41E0">
        <w:rPr>
          <w:shd w:val="clear" w:color="auto" w:fill="FFFFFF"/>
        </w:rPr>
        <w:t xml:space="preserve"> </w:t>
      </w:r>
      <w:r w:rsidR="00572B0B" w:rsidRPr="00AC41E0">
        <w:rPr>
          <w:shd w:val="clear" w:color="auto" w:fill="FFFFFF"/>
        </w:rPr>
        <w:t>and reduce the number</w:t>
      </w:r>
      <w:r w:rsidR="005C4B3F" w:rsidRPr="00AC41E0">
        <w:rPr>
          <w:shd w:val="clear" w:color="auto" w:fill="FFFFFF"/>
        </w:rPr>
        <w:t xml:space="preserve"> of information requests and costs of </w:t>
      </w:r>
      <w:r w:rsidR="00572B0B" w:rsidRPr="00AC41E0">
        <w:rPr>
          <w:shd w:val="clear" w:color="auto" w:fill="FFFFFF"/>
        </w:rPr>
        <w:t xml:space="preserve">responding to </w:t>
      </w:r>
      <w:r w:rsidR="005C4B3F" w:rsidRPr="00AC41E0">
        <w:rPr>
          <w:shd w:val="clear" w:color="auto" w:fill="FFFFFF"/>
        </w:rPr>
        <w:t>these</w:t>
      </w:r>
      <w:r w:rsidR="00572B0B" w:rsidRPr="00AC41E0">
        <w:rPr>
          <w:shd w:val="clear" w:color="auto" w:fill="FFFFFF"/>
        </w:rPr>
        <w:t xml:space="preserve"> requests.  </w:t>
      </w:r>
    </w:p>
    <w:p w14:paraId="06655874" w14:textId="3542C2CA" w:rsidR="00195741" w:rsidRPr="00AC41E0" w:rsidRDefault="00572BD7" w:rsidP="00195741">
      <w:pPr>
        <w:pStyle w:val="DCSbodytext"/>
      </w:pPr>
      <w:r w:rsidRPr="00AC41E0">
        <w:rPr>
          <w:shd w:val="clear" w:color="auto" w:fill="FFFFFF"/>
        </w:rPr>
        <w:t xml:space="preserve">The </w:t>
      </w:r>
      <w:hyperlink r:id="rId170" w:history="1">
        <w:r w:rsidRPr="00AC41E0">
          <w:rPr>
            <w:rStyle w:val="Hyperlink"/>
            <w:rFonts w:cs="Arial"/>
            <w:shd w:val="clear" w:color="auto" w:fill="FFFFFF"/>
          </w:rPr>
          <w:t>NSW Open Data Policy</w:t>
        </w:r>
      </w:hyperlink>
      <w:r w:rsidRPr="00E46FB0">
        <w:rPr>
          <w:shd w:val="clear" w:color="auto" w:fill="FFFFFF"/>
        </w:rPr>
        <w:t xml:space="preserve"> states that government data should be open by </w:t>
      </w:r>
      <w:r w:rsidRPr="00AC41E0">
        <w:rPr>
          <w:shd w:val="clear" w:color="auto" w:fill="FFFFFF"/>
        </w:rPr>
        <w:t xml:space="preserve">default and protected as required. Further information on making government data open is available from </w:t>
      </w:r>
      <w:hyperlink r:id="rId171" w:history="1">
        <w:r w:rsidRPr="00AC41E0">
          <w:rPr>
            <w:rStyle w:val="Hyperlink"/>
            <w:shd w:val="clear" w:color="auto" w:fill="FFFFFF"/>
          </w:rPr>
          <w:t>Data.NSW</w:t>
        </w:r>
      </w:hyperlink>
      <w:r w:rsidRPr="00E46FB0">
        <w:rPr>
          <w:shd w:val="clear" w:color="auto" w:fill="FFFFFF"/>
        </w:rPr>
        <w:t xml:space="preserve">. </w:t>
      </w:r>
    </w:p>
    <w:p w14:paraId="21F33676" w14:textId="093BB6F6" w:rsidR="00572BD7" w:rsidRPr="00AC41E0" w:rsidRDefault="00572BD7" w:rsidP="0022369F">
      <w:pPr>
        <w:pStyle w:val="DCSbodytext"/>
        <w:spacing w:after="120"/>
        <w:rPr>
          <w:shd w:val="clear" w:color="auto" w:fill="FFFFFF"/>
        </w:rPr>
      </w:pPr>
      <w:r w:rsidRPr="00AC41E0">
        <w:t xml:space="preserve">You </w:t>
      </w:r>
      <w:r w:rsidR="004F79C0" w:rsidRPr="00AC41E0">
        <w:t>a</w:t>
      </w:r>
      <w:r w:rsidRPr="00AC41E0">
        <w:t xml:space="preserve">lso </w:t>
      </w:r>
      <w:r w:rsidR="004F79C0" w:rsidRPr="00AC41E0">
        <w:t xml:space="preserve">need to </w:t>
      </w:r>
      <w:r w:rsidRPr="00AC41E0">
        <w:t>consider</w:t>
      </w:r>
      <w:r w:rsidR="004F79C0" w:rsidRPr="00AC41E0">
        <w:t xml:space="preserve"> the</w:t>
      </w:r>
      <w:r w:rsidRPr="00AC41E0">
        <w:t xml:space="preserve"> relevant legislation and guidelines </w:t>
      </w:r>
      <w:r w:rsidR="004F79C0" w:rsidRPr="00AC41E0">
        <w:t>when deciding</w:t>
      </w:r>
      <w:r w:rsidRPr="00AC41E0">
        <w:t xml:space="preserve"> whether to ma</w:t>
      </w:r>
      <w:r w:rsidRPr="00AC41E0">
        <w:rPr>
          <w:shd w:val="clear" w:color="auto" w:fill="FFFFFF"/>
        </w:rPr>
        <w:t xml:space="preserve">ke data open:  </w:t>
      </w:r>
    </w:p>
    <w:p w14:paraId="0A7D0870" w14:textId="77777777" w:rsidR="00572BD7" w:rsidRPr="00AC41E0" w:rsidRDefault="00084371" w:rsidP="00D978A4">
      <w:pPr>
        <w:pStyle w:val="DCSbodytext"/>
        <w:numPr>
          <w:ilvl w:val="0"/>
          <w:numId w:val="88"/>
        </w:numPr>
        <w:spacing w:after="120"/>
        <w:rPr>
          <w:shd w:val="clear" w:color="auto" w:fill="FFFFFF"/>
        </w:rPr>
      </w:pPr>
      <w:hyperlink r:id="rId172" w:anchor="/view/act/2009/52" w:history="1">
        <w:r w:rsidR="00572BD7" w:rsidRPr="00AC41E0">
          <w:rPr>
            <w:rStyle w:val="Hyperlink"/>
            <w:i/>
            <w:shd w:val="clear" w:color="auto" w:fill="FFFFFF"/>
          </w:rPr>
          <w:t xml:space="preserve">Government Information (Public Access) Act 2009 </w:t>
        </w:r>
        <w:r w:rsidR="00572BD7" w:rsidRPr="00AC41E0">
          <w:rPr>
            <w:rStyle w:val="Hyperlink"/>
            <w:shd w:val="clear" w:color="auto" w:fill="FFFFFF"/>
          </w:rPr>
          <w:t>(NSW)</w:t>
        </w:r>
      </w:hyperlink>
      <w:r w:rsidR="00572BD7" w:rsidRPr="00E46FB0">
        <w:rPr>
          <w:shd w:val="clear" w:color="auto" w:fill="FFFFFF"/>
        </w:rPr>
        <w:t xml:space="preserve"> </w:t>
      </w:r>
    </w:p>
    <w:p w14:paraId="79B973AC" w14:textId="77777777" w:rsidR="00572BD7" w:rsidRPr="00AC41E0" w:rsidRDefault="00084371" w:rsidP="00D978A4">
      <w:pPr>
        <w:pStyle w:val="DCSbodytext"/>
        <w:numPr>
          <w:ilvl w:val="0"/>
          <w:numId w:val="88"/>
        </w:numPr>
        <w:spacing w:after="120"/>
        <w:rPr>
          <w:shd w:val="clear" w:color="auto" w:fill="FFFFFF"/>
        </w:rPr>
      </w:pPr>
      <w:hyperlink r:id="rId173" w:anchor="/view/act/1998/133" w:history="1">
        <w:r w:rsidR="00572BD7" w:rsidRPr="00AC41E0">
          <w:rPr>
            <w:rStyle w:val="Hyperlink"/>
            <w:i/>
            <w:shd w:val="clear" w:color="auto" w:fill="FFFFFF"/>
          </w:rPr>
          <w:t xml:space="preserve">Privacy and Personal Information Protection Act 1998 </w:t>
        </w:r>
        <w:r w:rsidR="00572BD7" w:rsidRPr="00AC41E0">
          <w:rPr>
            <w:rStyle w:val="Hyperlink"/>
            <w:shd w:val="clear" w:color="auto" w:fill="FFFFFF"/>
          </w:rPr>
          <w:t>(NSW)</w:t>
        </w:r>
      </w:hyperlink>
      <w:r w:rsidR="00572BD7" w:rsidRPr="00E46FB0">
        <w:rPr>
          <w:shd w:val="clear" w:color="auto" w:fill="FFFFFF"/>
        </w:rPr>
        <w:t xml:space="preserve"> </w:t>
      </w:r>
    </w:p>
    <w:p w14:paraId="5A977628" w14:textId="77777777" w:rsidR="00572BD7" w:rsidRPr="00E46FB0" w:rsidRDefault="00084371" w:rsidP="00D978A4">
      <w:pPr>
        <w:pStyle w:val="DCSbodytext"/>
        <w:numPr>
          <w:ilvl w:val="0"/>
          <w:numId w:val="88"/>
        </w:numPr>
        <w:spacing w:after="120"/>
        <w:rPr>
          <w:shd w:val="clear" w:color="auto" w:fill="FFFFFF"/>
        </w:rPr>
      </w:pPr>
      <w:hyperlink r:id="rId174" w:anchor="/view/act/2002/71" w:history="1">
        <w:r w:rsidR="00572BD7" w:rsidRPr="00AC41E0">
          <w:rPr>
            <w:rStyle w:val="Hyperlink"/>
            <w:i/>
            <w:shd w:val="clear" w:color="auto" w:fill="FFFFFF"/>
          </w:rPr>
          <w:t>Health Records and Information Privacy Act 2002</w:t>
        </w:r>
        <w:r w:rsidR="00572BD7" w:rsidRPr="00AC41E0">
          <w:rPr>
            <w:rStyle w:val="Hyperlink"/>
            <w:shd w:val="clear" w:color="auto" w:fill="FFFFFF"/>
          </w:rPr>
          <w:t xml:space="preserve"> (NSW)</w:t>
        </w:r>
      </w:hyperlink>
    </w:p>
    <w:p w14:paraId="7F9CD34A" w14:textId="77777777" w:rsidR="00572BD7" w:rsidRPr="00E46FB0" w:rsidRDefault="00084371" w:rsidP="00D978A4">
      <w:pPr>
        <w:pStyle w:val="DCSbodytext"/>
        <w:numPr>
          <w:ilvl w:val="0"/>
          <w:numId w:val="88"/>
        </w:numPr>
        <w:spacing w:after="120"/>
        <w:rPr>
          <w:shd w:val="clear" w:color="auto" w:fill="FFFFFF"/>
        </w:rPr>
      </w:pPr>
      <w:hyperlink r:id="rId175" w:anchor="/view/act/1998/17" w:history="1">
        <w:r w:rsidR="00572BD7" w:rsidRPr="00AC41E0">
          <w:rPr>
            <w:rStyle w:val="Hyperlink"/>
            <w:i/>
            <w:shd w:val="clear" w:color="auto" w:fill="FFFFFF"/>
          </w:rPr>
          <w:t>State Records Act 1998</w:t>
        </w:r>
        <w:r w:rsidR="00572BD7" w:rsidRPr="00AC41E0">
          <w:rPr>
            <w:rStyle w:val="Hyperlink"/>
            <w:shd w:val="clear" w:color="auto" w:fill="FFFFFF"/>
          </w:rPr>
          <w:t xml:space="preserve"> (NSW)</w:t>
        </w:r>
      </w:hyperlink>
    </w:p>
    <w:p w14:paraId="3E62BA44" w14:textId="598E4E2D" w:rsidR="00572BD7" w:rsidRPr="00AC41E0" w:rsidRDefault="00084371" w:rsidP="00D978A4">
      <w:pPr>
        <w:pStyle w:val="DCSbodytext"/>
        <w:numPr>
          <w:ilvl w:val="0"/>
          <w:numId w:val="88"/>
        </w:numPr>
        <w:rPr>
          <w:shd w:val="clear" w:color="auto" w:fill="FFFFFF"/>
        </w:rPr>
      </w:pPr>
      <w:hyperlink r:id="rId176" w:history="1">
        <w:r w:rsidR="00572BD7" w:rsidRPr="00AC41E0">
          <w:rPr>
            <w:rStyle w:val="Hyperlink"/>
            <w:shd w:val="clear" w:color="auto" w:fill="FFFFFF"/>
          </w:rPr>
          <w:t>NSW Government Information Classification, Labelling and Handling Guidelines</w:t>
        </w:r>
      </w:hyperlink>
      <w:r w:rsidR="00572BD7" w:rsidRPr="00E46FB0">
        <w:rPr>
          <w:shd w:val="clear" w:color="auto" w:fill="FFFFFF"/>
        </w:rPr>
        <w:t xml:space="preserve">. </w:t>
      </w:r>
    </w:p>
    <w:p w14:paraId="205D6CEE" w14:textId="184FC317" w:rsidR="00A54109" w:rsidRPr="00AC41E0" w:rsidRDefault="00314143" w:rsidP="009A41BE">
      <w:pPr>
        <w:pStyle w:val="DCSbodytext"/>
        <w:rPr>
          <w:shd w:val="clear" w:color="auto" w:fill="FFFFFF"/>
        </w:rPr>
      </w:pPr>
      <w:r w:rsidRPr="00AC41E0">
        <w:rPr>
          <w:shd w:val="clear" w:color="auto" w:fill="FFFFFF"/>
        </w:rPr>
        <w:t xml:space="preserve">If you make the </w:t>
      </w:r>
      <w:r w:rsidR="00A54109" w:rsidRPr="00AC41E0">
        <w:rPr>
          <w:shd w:val="clear" w:color="auto" w:fill="FFFFFF"/>
        </w:rPr>
        <w:t>data or insights generated from your IoT-enabled project open</w:t>
      </w:r>
      <w:r w:rsidRPr="00AC41E0">
        <w:rPr>
          <w:shd w:val="clear" w:color="auto" w:fill="FFFFFF"/>
        </w:rPr>
        <w:t xml:space="preserve">, </w:t>
      </w:r>
      <w:r w:rsidR="00BB2827" w:rsidRPr="00AC41E0">
        <w:rPr>
          <w:shd w:val="clear" w:color="auto" w:fill="FFFFFF"/>
        </w:rPr>
        <w:t>y</w:t>
      </w:r>
      <w:r w:rsidRPr="00AC41E0">
        <w:rPr>
          <w:shd w:val="clear" w:color="auto" w:fill="FFFFFF"/>
        </w:rPr>
        <w:t>ou must</w:t>
      </w:r>
      <w:r w:rsidR="00A54109" w:rsidRPr="00AC41E0">
        <w:rPr>
          <w:shd w:val="clear" w:color="auto" w:fill="FFFFFF"/>
        </w:rPr>
        <w:t xml:space="preserve"> specify the necessary data standards and data quality to enable </w:t>
      </w:r>
      <w:hyperlink w:anchor="_Useful_International_Standards" w:history="1">
        <w:r w:rsidR="00A54109" w:rsidRPr="00AC41E0">
          <w:rPr>
            <w:rStyle w:val="Hyperlink"/>
            <w:shd w:val="clear" w:color="auto" w:fill="FFFFFF"/>
          </w:rPr>
          <w:t>interoperability</w:t>
        </w:r>
      </w:hyperlink>
      <w:r w:rsidR="00A54109" w:rsidRPr="00E46FB0">
        <w:rPr>
          <w:shd w:val="clear" w:color="auto" w:fill="FFFFFF"/>
        </w:rPr>
        <w:t>.</w:t>
      </w:r>
    </w:p>
    <w:p w14:paraId="50009395" w14:textId="3F2B8E78" w:rsidR="00D56EB3" w:rsidRPr="00AC41E0" w:rsidRDefault="00A12AA6" w:rsidP="00D56EB3">
      <w:pPr>
        <w:pStyle w:val="Heading3"/>
        <w:rPr>
          <w:rFonts w:ascii="Arial" w:hAnsi="Arial"/>
        </w:rPr>
      </w:pPr>
      <w:bookmarkStart w:id="1243" w:name="_Toc65760527"/>
      <w:bookmarkEnd w:id="1242"/>
      <w:r w:rsidRPr="00AC41E0">
        <w:rPr>
          <w:rFonts w:ascii="Arial" w:hAnsi="Arial"/>
        </w:rPr>
        <w:t>Shared</w:t>
      </w:r>
      <w:r w:rsidR="00D56EB3" w:rsidRPr="00AC41E0">
        <w:rPr>
          <w:rFonts w:ascii="Arial" w:hAnsi="Arial"/>
        </w:rPr>
        <w:t xml:space="preserve"> data</w:t>
      </w:r>
      <w:bookmarkEnd w:id="1243"/>
    </w:p>
    <w:p w14:paraId="715FDD53" w14:textId="77777777" w:rsidR="00D56EB3" w:rsidRPr="00AC41E0" w:rsidRDefault="005B2DFA" w:rsidP="0001742D">
      <w:pPr>
        <w:pStyle w:val="DCSbodytext"/>
        <w:rPr>
          <w:shd w:val="clear" w:color="auto" w:fill="FFFFFF"/>
        </w:rPr>
      </w:pPr>
      <w:r w:rsidRPr="00AC41E0">
        <w:br w:type="page"/>
      </w:r>
      <w:r w:rsidR="00D56EB3" w:rsidRPr="00AC41E0">
        <w:rPr>
          <w:shd w:val="clear" w:color="auto" w:fill="FFFFFF"/>
        </w:rPr>
        <w:lastRenderedPageBreak/>
        <w:t>Shared data is data that is shared with a specific organisation, or group of organisations or people, for a specific purpose. Data sharing is how NSW government agencies can provide authorised access to the data they hold in a controlled manner, to help deliver better outcomes to the people of NSW.</w:t>
      </w:r>
    </w:p>
    <w:p w14:paraId="05BAA9D9" w14:textId="0640D517" w:rsidR="00D56EB3" w:rsidRPr="00AC41E0" w:rsidRDefault="00D56EB3" w:rsidP="0001742D">
      <w:pPr>
        <w:pStyle w:val="DCSbodytext"/>
        <w:rPr>
          <w:shd w:val="clear" w:color="auto" w:fill="FFFFFF"/>
        </w:rPr>
      </w:pPr>
      <w:r w:rsidRPr="00AC41E0">
        <w:rPr>
          <w:shd w:val="clear" w:color="auto" w:fill="FFFFFF"/>
        </w:rPr>
        <w:t>Guidance on sharing of data is provided by Data.NSW, including the Five Safes</w:t>
      </w:r>
      <w:r w:rsidR="00316BD2" w:rsidRPr="00AC41E0">
        <w:rPr>
          <w:shd w:val="clear" w:color="auto" w:fill="FFFFFF"/>
        </w:rPr>
        <w:t xml:space="preserve"> (see Appendix E</w:t>
      </w:r>
      <w:r w:rsidR="008301F6" w:rsidRPr="00AC41E0">
        <w:rPr>
          <w:shd w:val="clear" w:color="auto" w:fill="FFFFFF"/>
        </w:rPr>
        <w:t xml:space="preserve"> -</w:t>
      </w:r>
      <w:r w:rsidRPr="00AC41E0">
        <w:rPr>
          <w:shd w:val="clear" w:color="auto" w:fill="FFFFFF"/>
        </w:rPr>
        <w:t xml:space="preserve"> also referred to as </w:t>
      </w:r>
      <w:hyperlink r:id="rId177" w:history="1">
        <w:r w:rsidRPr="00AC41E0">
          <w:rPr>
            <w:shd w:val="clear" w:color="auto" w:fill="FFFFFF"/>
          </w:rPr>
          <w:t>data sharing principles</w:t>
        </w:r>
      </w:hyperlink>
      <w:r w:rsidR="008301F6" w:rsidRPr="00E46FB0">
        <w:rPr>
          <w:shd w:val="clear" w:color="auto" w:fill="FFFFFF"/>
        </w:rPr>
        <w:t>)</w:t>
      </w:r>
      <w:r w:rsidRPr="00AC41E0">
        <w:rPr>
          <w:shd w:val="clear" w:color="auto" w:fill="FFFFFF"/>
        </w:rPr>
        <w:t>.</w:t>
      </w:r>
    </w:p>
    <w:p w14:paraId="173DA4F5" w14:textId="77777777" w:rsidR="00D56EB3" w:rsidRPr="00AC41E0" w:rsidRDefault="00D56EB3" w:rsidP="009C2BF6">
      <w:pPr>
        <w:pStyle w:val="DCSbodytext"/>
        <w:rPr>
          <w:shd w:val="clear" w:color="auto" w:fill="FFFFFF"/>
        </w:rPr>
      </w:pPr>
      <w:r w:rsidRPr="00AC41E0">
        <w:rPr>
          <w:shd w:val="clear" w:color="auto" w:fill="FFFFFF"/>
        </w:rPr>
        <w:t>The five Data Sharing Principles (‘The Principles’) provide a framework for government agencies to share data safely:</w:t>
      </w:r>
    </w:p>
    <w:p w14:paraId="32EE1868" w14:textId="77777777" w:rsidR="00D56EB3" w:rsidRPr="00AC41E0" w:rsidRDefault="00D56EB3" w:rsidP="00CE1E8F">
      <w:pPr>
        <w:pStyle w:val="DCSbodytext"/>
        <w:numPr>
          <w:ilvl w:val="0"/>
          <w:numId w:val="88"/>
        </w:numPr>
        <w:spacing w:after="120"/>
        <w:rPr>
          <w:rStyle w:val="Hyperlink"/>
          <w:iCs/>
          <w:shd w:val="clear" w:color="auto" w:fill="FFFFFF"/>
        </w:rPr>
      </w:pPr>
      <w:r w:rsidRPr="00AC41E0">
        <w:rPr>
          <w:rStyle w:val="Hyperlink"/>
          <w:iCs/>
          <w:shd w:val="clear" w:color="auto" w:fill="FFFFFF"/>
        </w:rPr>
        <w:t>Share data for appropriate and authorised purposes</w:t>
      </w:r>
    </w:p>
    <w:p w14:paraId="732B199B" w14:textId="77777777" w:rsidR="00D56EB3" w:rsidRPr="00AC41E0" w:rsidRDefault="00D56EB3" w:rsidP="00CE1E8F">
      <w:pPr>
        <w:pStyle w:val="DCSbodytext"/>
        <w:numPr>
          <w:ilvl w:val="0"/>
          <w:numId w:val="88"/>
        </w:numPr>
        <w:spacing w:after="120"/>
        <w:rPr>
          <w:rStyle w:val="Hyperlink"/>
          <w:iCs/>
          <w:shd w:val="clear" w:color="auto" w:fill="FFFFFF"/>
        </w:rPr>
      </w:pPr>
      <w:r w:rsidRPr="00AC41E0">
        <w:rPr>
          <w:rStyle w:val="Hyperlink"/>
          <w:iCs/>
          <w:shd w:val="clear" w:color="auto" w:fill="FFFFFF"/>
        </w:rPr>
        <w:t>Share data only with authorised users</w:t>
      </w:r>
    </w:p>
    <w:p w14:paraId="5782489E" w14:textId="77777777" w:rsidR="00D56EB3" w:rsidRPr="00AC41E0" w:rsidRDefault="00D56EB3" w:rsidP="00CE1E8F">
      <w:pPr>
        <w:pStyle w:val="DCSbodytext"/>
        <w:numPr>
          <w:ilvl w:val="0"/>
          <w:numId w:val="88"/>
        </w:numPr>
        <w:spacing w:after="120"/>
        <w:rPr>
          <w:rStyle w:val="Hyperlink"/>
          <w:iCs/>
          <w:shd w:val="clear" w:color="auto" w:fill="FFFFFF"/>
        </w:rPr>
      </w:pPr>
      <w:r w:rsidRPr="00AC41E0">
        <w:rPr>
          <w:rStyle w:val="Hyperlink"/>
          <w:iCs/>
          <w:shd w:val="clear" w:color="auto" w:fill="FFFFFF"/>
        </w:rPr>
        <w:t>Use data in a safe and secure environment</w:t>
      </w:r>
    </w:p>
    <w:p w14:paraId="3C28B23C" w14:textId="77777777" w:rsidR="00D56EB3" w:rsidRPr="00AC41E0" w:rsidRDefault="00D56EB3" w:rsidP="00CE1E8F">
      <w:pPr>
        <w:pStyle w:val="DCSbodytext"/>
        <w:numPr>
          <w:ilvl w:val="0"/>
          <w:numId w:val="88"/>
        </w:numPr>
        <w:spacing w:after="120"/>
        <w:rPr>
          <w:rStyle w:val="Hyperlink"/>
          <w:iCs/>
          <w:shd w:val="clear" w:color="auto" w:fill="FFFFFF"/>
        </w:rPr>
      </w:pPr>
      <w:r w:rsidRPr="00AC41E0">
        <w:rPr>
          <w:rStyle w:val="Hyperlink"/>
          <w:iCs/>
          <w:shd w:val="clear" w:color="auto" w:fill="FFFFFF"/>
        </w:rPr>
        <w:t>Apply appropriate protections to the data</w:t>
      </w:r>
    </w:p>
    <w:p w14:paraId="004A83AA" w14:textId="77777777" w:rsidR="00D56EB3" w:rsidRPr="00AC41E0" w:rsidRDefault="00D56EB3" w:rsidP="00CE1E8F">
      <w:pPr>
        <w:pStyle w:val="DCSbodytext"/>
        <w:numPr>
          <w:ilvl w:val="0"/>
          <w:numId w:val="88"/>
        </w:numPr>
        <w:spacing w:after="120"/>
        <w:rPr>
          <w:rStyle w:val="Hyperlink"/>
          <w:iCs/>
          <w:shd w:val="clear" w:color="auto" w:fill="FFFFFF"/>
        </w:rPr>
      </w:pPr>
      <w:r w:rsidRPr="00AC41E0">
        <w:rPr>
          <w:rStyle w:val="Hyperlink"/>
          <w:iCs/>
          <w:shd w:val="clear" w:color="auto" w:fill="FFFFFF"/>
        </w:rPr>
        <w:t>Ensure public outputs from data sharing projects do not identify the people or organisations in the data</w:t>
      </w:r>
    </w:p>
    <w:p w14:paraId="45A9B865" w14:textId="286C073B" w:rsidR="00D56EB3" w:rsidRPr="00AC41E0" w:rsidRDefault="00D56EB3" w:rsidP="009C2BF6">
      <w:pPr>
        <w:pStyle w:val="DCSbodytext"/>
        <w:rPr>
          <w:shd w:val="clear" w:color="auto" w:fill="FFFFFF"/>
        </w:rPr>
      </w:pPr>
      <w:r w:rsidRPr="00AC41E0">
        <w:rPr>
          <w:shd w:val="clear" w:color="auto" w:fill="FFFFFF"/>
        </w:rPr>
        <w:t>If the joint protections offered by the Principles are not sufficient to protect against the risk of data breaches or data re-identification, then the data should not be shared.</w:t>
      </w:r>
    </w:p>
    <w:p w14:paraId="5E1EDEEC" w14:textId="4BEFA00A" w:rsidR="008301F6" w:rsidRPr="00AC41E0" w:rsidRDefault="008301F6" w:rsidP="008301F6">
      <w:pPr>
        <w:pStyle w:val="DCSbodytext"/>
        <w:rPr>
          <w:shd w:val="clear" w:color="auto" w:fill="FFFFFF"/>
        </w:rPr>
      </w:pPr>
      <w:r w:rsidRPr="00AC41E0">
        <w:rPr>
          <w:shd w:val="clear" w:color="auto" w:fill="FFFFFF"/>
        </w:rPr>
        <w:t>The Commonwealth </w:t>
      </w:r>
      <w:hyperlink r:id="rId178" w:history="1">
        <w:r w:rsidRPr="00AC41E0">
          <w:rPr>
            <w:shd w:val="clear" w:color="auto" w:fill="FFFFFF"/>
          </w:rPr>
          <w:t>Data Sharing Principles also </w:t>
        </w:r>
      </w:hyperlink>
      <w:r w:rsidRPr="00E46FB0">
        <w:rPr>
          <w:shd w:val="clear" w:color="auto" w:fill="FFFFFF"/>
        </w:rPr>
        <w:t>help agencies to think about all of these factors together and better manage any risks associated with data sharing.</w:t>
      </w:r>
    </w:p>
    <w:p w14:paraId="2BD3528F" w14:textId="10CF827A" w:rsidR="00E07F18" w:rsidRPr="00AC41E0" w:rsidRDefault="00E07F18" w:rsidP="00E07F18">
      <w:pPr>
        <w:pStyle w:val="Heading3"/>
        <w:rPr>
          <w:rFonts w:ascii="Arial" w:hAnsi="Arial"/>
        </w:rPr>
      </w:pPr>
      <w:bookmarkStart w:id="1244" w:name="_Toc65760528"/>
      <w:r w:rsidRPr="00AC41E0">
        <w:rPr>
          <w:rFonts w:ascii="Arial" w:hAnsi="Arial"/>
        </w:rPr>
        <w:t>Closed data</w:t>
      </w:r>
      <w:bookmarkEnd w:id="1244"/>
    </w:p>
    <w:p w14:paraId="041B6EF2" w14:textId="25B3A822" w:rsidR="00E07F18" w:rsidRPr="00AC41E0" w:rsidRDefault="00E07F18" w:rsidP="00B9636A">
      <w:pPr>
        <w:pStyle w:val="DCSbodytext"/>
        <w:rPr>
          <w:shd w:val="clear" w:color="auto" w:fill="FFFFFF"/>
        </w:rPr>
      </w:pPr>
      <w:r w:rsidRPr="00E46FB0">
        <w:rPr>
          <w:shd w:val="clear" w:color="auto" w:fill="FFFFFF"/>
        </w:rPr>
        <w:t xml:space="preserve">From an IoT perspective closed data is generally associated with sensitive or critical infrastructure or operations. The </w:t>
      </w:r>
      <w:r w:rsidRPr="00AC41E0">
        <w:rPr>
          <w:shd w:val="clear" w:color="auto" w:fill="FFFFFF"/>
        </w:rPr>
        <w:t>following references provide guidance on the ability to share (internally or externally to Government) infrastructure data:</w:t>
      </w:r>
    </w:p>
    <w:p w14:paraId="2B7BE0BA" w14:textId="77777777" w:rsidR="00E07F18" w:rsidRPr="00E46FB0" w:rsidRDefault="00E07F18" w:rsidP="00B9636A">
      <w:pPr>
        <w:pStyle w:val="DCSbodytext"/>
        <w:numPr>
          <w:ilvl w:val="0"/>
          <w:numId w:val="88"/>
        </w:numPr>
        <w:spacing w:after="120"/>
        <w:rPr>
          <w:rStyle w:val="Hyperlink"/>
          <w:iCs/>
          <w:shd w:val="clear" w:color="auto" w:fill="FFFFFF"/>
        </w:rPr>
      </w:pPr>
      <w:r w:rsidRPr="00AC41E0">
        <w:rPr>
          <w:rStyle w:val="Hyperlink"/>
          <w:iCs/>
          <w:shd w:val="clear" w:color="auto" w:fill="FFFFFF"/>
        </w:rPr>
        <w:t>Federal government requirements on critical infrastructure assets in the </w:t>
      </w:r>
      <w:hyperlink r:id="rId179" w:history="1">
        <w:r w:rsidRPr="00AC41E0">
          <w:rPr>
            <w:rStyle w:val="Hyperlink"/>
            <w:i/>
            <w:iCs/>
            <w:shd w:val="clear" w:color="auto" w:fill="FFFFFF"/>
          </w:rPr>
          <w:t>Security of Critical Infrastructure Act 2018</w:t>
        </w:r>
      </w:hyperlink>
    </w:p>
    <w:p w14:paraId="4A691CDB" w14:textId="0EA1933C" w:rsidR="00E07F18" w:rsidRPr="00AC41E0" w:rsidRDefault="00E07F18" w:rsidP="00B9636A">
      <w:pPr>
        <w:pStyle w:val="DCSbodytext"/>
        <w:numPr>
          <w:ilvl w:val="0"/>
          <w:numId w:val="88"/>
        </w:numPr>
        <w:spacing w:after="120"/>
        <w:rPr>
          <w:rStyle w:val="Hyperlink"/>
          <w:iCs/>
          <w:shd w:val="clear" w:color="auto" w:fill="FFFFFF"/>
        </w:rPr>
      </w:pPr>
      <w:r w:rsidRPr="00AC41E0">
        <w:rPr>
          <w:rStyle w:val="Hyperlink"/>
          <w:iCs/>
          <w:shd w:val="clear" w:color="auto" w:fill="FFFFFF"/>
        </w:rPr>
        <w:t>NSW critical infrastructure, including the ability to improve data sharing through the </w:t>
      </w:r>
      <w:hyperlink r:id="rId180" w:history="1">
        <w:r w:rsidRPr="00AC41E0">
          <w:rPr>
            <w:rStyle w:val="Hyperlink"/>
            <w:iCs/>
            <w:shd w:val="clear" w:color="auto" w:fill="FFFFFF"/>
          </w:rPr>
          <w:t>Trusted Information Sharing Network (TISN)</w:t>
        </w:r>
      </w:hyperlink>
      <w:r w:rsidRPr="00E46FB0">
        <w:rPr>
          <w:rStyle w:val="Hyperlink"/>
          <w:iCs/>
          <w:shd w:val="clear" w:color="auto" w:fill="FFFFFF"/>
        </w:rPr>
        <w:t> for critical infrastructure resilience</w:t>
      </w:r>
      <w:r w:rsidR="00BA2CE8" w:rsidRPr="00AC41E0">
        <w:rPr>
          <w:rStyle w:val="Hyperlink"/>
          <w:iCs/>
          <w:shd w:val="clear" w:color="auto" w:fill="FFFFFF"/>
        </w:rPr>
        <w:t>.</w:t>
      </w:r>
    </w:p>
    <w:p w14:paraId="197D44D7" w14:textId="77777777" w:rsidR="00E07F18" w:rsidRPr="00AC41E0" w:rsidRDefault="00E07F18">
      <w:pPr>
        <w:rPr>
          <w:rFonts w:ascii="Arial" w:hAnsi="Arial"/>
          <w:sz w:val="22"/>
          <w:lang w:eastAsia="en-US"/>
        </w:rPr>
      </w:pPr>
    </w:p>
    <w:p w14:paraId="6423CCC7" w14:textId="3C69D693" w:rsidR="005B2DFA" w:rsidRPr="00AC41E0" w:rsidRDefault="005B2DFA" w:rsidP="00D4137E">
      <w:pPr>
        <w:pStyle w:val="DCSbodytext"/>
        <w:ind w:left="868"/>
      </w:pPr>
    </w:p>
    <w:p w14:paraId="49C056AF" w14:textId="77777777" w:rsidR="005B2DFA" w:rsidRPr="00AC41E0" w:rsidRDefault="005B2DFA" w:rsidP="00D4137E">
      <w:pPr>
        <w:pStyle w:val="DCSbodytext"/>
        <w:ind w:left="868"/>
      </w:pPr>
    </w:p>
    <w:p w14:paraId="549F9854" w14:textId="77777777" w:rsidR="005B2DFA" w:rsidRPr="00AC41E0" w:rsidRDefault="005B2DFA" w:rsidP="00D4137E">
      <w:pPr>
        <w:pStyle w:val="DCSbodytext"/>
        <w:ind w:left="868"/>
      </w:pPr>
    </w:p>
    <w:p w14:paraId="67C06E3E" w14:textId="77777777" w:rsidR="005B2DFA" w:rsidRPr="00AC41E0" w:rsidRDefault="005B2DFA" w:rsidP="00D4137E">
      <w:pPr>
        <w:pStyle w:val="DCSbodytext"/>
        <w:ind w:left="868"/>
      </w:pPr>
    </w:p>
    <w:p w14:paraId="5A4AB416" w14:textId="77777777" w:rsidR="005B2DFA" w:rsidRPr="00AC41E0" w:rsidRDefault="005B2DFA" w:rsidP="00D4137E">
      <w:pPr>
        <w:pStyle w:val="DCSbodytext"/>
        <w:ind w:left="868"/>
      </w:pPr>
    </w:p>
    <w:p w14:paraId="2F18EAC6" w14:textId="77777777" w:rsidR="005B2DFA" w:rsidRPr="00AC41E0" w:rsidRDefault="005B2DFA" w:rsidP="00D4137E">
      <w:pPr>
        <w:pStyle w:val="DCSbodytext"/>
        <w:ind w:left="868"/>
      </w:pPr>
    </w:p>
    <w:p w14:paraId="037FBC88" w14:textId="77777777" w:rsidR="00FA0FAF" w:rsidRPr="00AC41E0" w:rsidRDefault="00FA0FAF" w:rsidP="00D4137E">
      <w:pPr>
        <w:pStyle w:val="DCSbodytext"/>
        <w:ind w:left="868"/>
      </w:pPr>
    </w:p>
    <w:p w14:paraId="303BD009" w14:textId="71BF1556" w:rsidR="00FA0FAF" w:rsidRPr="00AC41E0" w:rsidRDefault="00FA0FAF" w:rsidP="00D4137E">
      <w:pPr>
        <w:pStyle w:val="DCSbodytext"/>
        <w:ind w:left="868"/>
      </w:pPr>
    </w:p>
    <w:p w14:paraId="4AA2754F" w14:textId="766CB897" w:rsidR="00BA2CE8" w:rsidRPr="00AC41E0" w:rsidRDefault="00BA2CE8" w:rsidP="00D4137E">
      <w:pPr>
        <w:pStyle w:val="DCSbodytext"/>
        <w:ind w:left="868"/>
      </w:pPr>
    </w:p>
    <w:p w14:paraId="72B80656" w14:textId="18D802C3" w:rsidR="00BA2CE8" w:rsidRPr="00AC41E0" w:rsidRDefault="00BA2CE8" w:rsidP="00D4137E">
      <w:pPr>
        <w:pStyle w:val="DCSbodytext"/>
        <w:ind w:left="868"/>
      </w:pPr>
    </w:p>
    <w:p w14:paraId="31EEAD83" w14:textId="2C8336AF" w:rsidR="00BA2CE8" w:rsidRPr="00AC41E0" w:rsidRDefault="00BA2CE8" w:rsidP="00D4137E">
      <w:pPr>
        <w:pStyle w:val="DCSbodytext"/>
        <w:ind w:left="868"/>
      </w:pPr>
    </w:p>
    <w:p w14:paraId="40D5A4FA" w14:textId="5F26D6A5" w:rsidR="00BA2CE8" w:rsidRPr="00AC41E0" w:rsidRDefault="00BA2CE8" w:rsidP="00D4137E">
      <w:pPr>
        <w:pStyle w:val="DCSbodytext"/>
        <w:ind w:left="868"/>
      </w:pPr>
    </w:p>
    <w:p w14:paraId="7005713F" w14:textId="31911F9F" w:rsidR="00BA2CE8" w:rsidRPr="00AC41E0" w:rsidRDefault="00BA2CE8" w:rsidP="00D4137E">
      <w:pPr>
        <w:pStyle w:val="DCSbodytext"/>
        <w:ind w:left="868"/>
      </w:pPr>
    </w:p>
    <w:p w14:paraId="0F202523" w14:textId="5F3D6968" w:rsidR="00BA2CE8" w:rsidRPr="00AC41E0" w:rsidRDefault="00BA2CE8" w:rsidP="00D4137E">
      <w:pPr>
        <w:pStyle w:val="DCSbodytext"/>
        <w:ind w:left="868"/>
      </w:pPr>
    </w:p>
    <w:p w14:paraId="5201B5BD" w14:textId="77777777" w:rsidR="00BA2CE8" w:rsidRPr="00AC41E0" w:rsidRDefault="00BA2CE8" w:rsidP="00D4137E">
      <w:pPr>
        <w:pStyle w:val="DCSbodytext"/>
        <w:ind w:left="868"/>
      </w:pPr>
    </w:p>
    <w:p w14:paraId="3DBD0F9C" w14:textId="77777777" w:rsidR="00FA0FAF" w:rsidRPr="00AC41E0" w:rsidRDefault="00FA0FAF" w:rsidP="00D4137E">
      <w:pPr>
        <w:pStyle w:val="DCSbodytext"/>
        <w:ind w:left="868"/>
      </w:pPr>
    </w:p>
    <w:p w14:paraId="720D6764" w14:textId="312D0C85" w:rsidR="00511470" w:rsidRPr="00AC41E0" w:rsidRDefault="00511470" w:rsidP="007F6527">
      <w:pPr>
        <w:pStyle w:val="DCSbodytext"/>
        <w:ind w:left="868"/>
        <w:sectPr w:rsidR="00511470" w:rsidRPr="00AC41E0" w:rsidSect="002771AA">
          <w:pgSz w:w="11906" w:h="16838"/>
          <w:pgMar w:top="1418" w:right="1134" w:bottom="1134" w:left="1134" w:header="851" w:footer="425" w:gutter="0"/>
          <w:cols w:space="708"/>
          <w:titlePg/>
          <w:docGrid w:linePitch="360"/>
        </w:sectPr>
      </w:pPr>
    </w:p>
    <w:p w14:paraId="1E3706C6" w14:textId="1204F52C" w:rsidR="000B149D" w:rsidRPr="00E46FB0" w:rsidRDefault="00BA2CE8" w:rsidP="007F6527">
      <w:pPr>
        <w:pStyle w:val="DCSbodytext"/>
        <w:ind w:left="868"/>
        <w:sectPr w:rsidR="000B149D" w:rsidRPr="00E46FB0" w:rsidSect="00511470">
          <w:type w:val="continuous"/>
          <w:pgSz w:w="11906" w:h="16838"/>
          <w:pgMar w:top="1418" w:right="1134" w:bottom="1134" w:left="1134" w:header="851" w:footer="425" w:gutter="0"/>
          <w:cols w:space="708"/>
          <w:titlePg/>
          <w:docGrid w:linePitch="360"/>
        </w:sectPr>
      </w:pPr>
      <w:r w:rsidRPr="00E46FB0">
        <w:rPr>
          <w:noProof/>
        </w:rPr>
        <mc:AlternateContent>
          <mc:Choice Requires="wps">
            <w:drawing>
              <wp:inline distT="0" distB="0" distL="0" distR="0" wp14:anchorId="633E5CA5" wp14:editId="6A75009A">
                <wp:extent cx="5567680" cy="3039745"/>
                <wp:effectExtent l="0" t="0" r="13970" b="27305"/>
                <wp:docPr id="531754512" name="Text Box 531754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3040083"/>
                        </a:xfrm>
                        <a:prstGeom prst="rect">
                          <a:avLst/>
                        </a:prstGeom>
                        <a:solidFill>
                          <a:schemeClr val="accent1">
                            <a:lumMod val="20000"/>
                            <a:lumOff val="80000"/>
                          </a:schemeClr>
                        </a:solidFill>
                        <a:ln w="9525">
                          <a:solidFill>
                            <a:srgbClr val="000000"/>
                          </a:solidFill>
                          <a:miter lim="800000"/>
                          <a:headEnd/>
                          <a:tailEnd/>
                        </a:ln>
                      </wps:spPr>
                      <wps:txbx>
                        <w:txbxContent>
                          <w:p w14:paraId="082EEE10" w14:textId="77777777" w:rsidR="00BA2CE8" w:rsidRPr="00326F1D" w:rsidRDefault="00BA2CE8" w:rsidP="00BA2CE8">
                            <w:pPr>
                              <w:pStyle w:val="DCSbodytext"/>
                              <w:ind w:left="0"/>
                              <w:jc w:val="center"/>
                              <w:rPr>
                                <w:b/>
                              </w:rPr>
                            </w:pPr>
                            <w:r>
                              <w:rPr>
                                <w:b/>
                              </w:rPr>
                              <w:t>Case Study – ‘S</w:t>
                            </w:r>
                            <w:r w:rsidRPr="00326F1D">
                              <w:rPr>
                                <w:b/>
                              </w:rPr>
                              <w:t>witch Your Thinking</w:t>
                            </w:r>
                            <w:r>
                              <w:rPr>
                                <w:b/>
                              </w:rPr>
                              <w:t>’ in Western Australia</w:t>
                            </w:r>
                          </w:p>
                          <w:p w14:paraId="0B6F8267" w14:textId="77777777" w:rsidR="00BA2CE8" w:rsidRDefault="00BA2CE8" w:rsidP="00BA2CE8">
                            <w:pPr>
                              <w:pStyle w:val="DCSbodytext"/>
                              <w:ind w:left="0"/>
                            </w:pPr>
                            <w:r w:rsidRPr="009B224A">
                              <w:t>A consortium of councils in W</w:t>
                            </w:r>
                            <w:r>
                              <w:t xml:space="preserve">estern Australian </w:t>
                            </w:r>
                            <w:r w:rsidRPr="009B224A">
                              <w:t xml:space="preserve">developed the </w:t>
                            </w:r>
                            <w:hyperlink r:id="rId181" w:history="1">
                              <w:r w:rsidRPr="00326F1D">
                                <w:rPr>
                                  <w:rStyle w:val="Hyperlink"/>
                                </w:rPr>
                                <w:t>Switch Your Thinking project</w:t>
                              </w:r>
                            </w:hyperlink>
                            <w:r w:rsidRPr="009B224A">
                              <w:t xml:space="preserve"> to promote smarter selection of design options in new housing developmen</w:t>
                            </w:r>
                            <w:r>
                              <w:t xml:space="preserve">ts. One of the initiatives the councils </w:t>
                            </w:r>
                            <w:r w:rsidRPr="009B224A">
                              <w:t>promoted is a research study on roof colour selection</w:t>
                            </w:r>
                            <w:r>
                              <w:t xml:space="preserve"> and its impact on house temperatures and therefore energy efficiency</w:t>
                            </w:r>
                            <w:r w:rsidRPr="009B224A">
                              <w:t xml:space="preserve">. </w:t>
                            </w:r>
                          </w:p>
                          <w:p w14:paraId="4FEA71CC" w14:textId="77777777" w:rsidR="00BA2CE8" w:rsidRPr="009B224A" w:rsidRDefault="00BA2CE8" w:rsidP="00BA2CE8">
                            <w:pPr>
                              <w:pStyle w:val="DCSbodytext"/>
                              <w:ind w:left="0"/>
                            </w:pPr>
                            <w:r w:rsidRPr="009B224A">
                              <w:t>Using two properties fitted with 36 IoT enabled temperature and humidity sensors</w:t>
                            </w:r>
                            <w:r>
                              <w:t xml:space="preserve"> on the rooves and inside the house</w:t>
                            </w:r>
                            <w:r w:rsidRPr="009B224A">
                              <w:t xml:space="preserve">, </w:t>
                            </w:r>
                            <w:r>
                              <w:t>the councils</w:t>
                            </w:r>
                            <w:r w:rsidRPr="009B224A">
                              <w:t xml:space="preserve"> generated significant longitudinal data sets from regular observations</w:t>
                            </w:r>
                            <w:r>
                              <w:t xml:space="preserve"> </w:t>
                            </w:r>
                            <w:r w:rsidRPr="009B224A">
                              <w:t>– over 400</w:t>
                            </w:r>
                            <w:r>
                              <w:t>,</w:t>
                            </w:r>
                            <w:r w:rsidRPr="009B224A">
                              <w:t>000 data points per month.</w:t>
                            </w:r>
                            <w:r>
                              <w:t xml:space="preserve"> </w:t>
                            </w:r>
                          </w:p>
                          <w:p w14:paraId="701C8AC7" w14:textId="77777777" w:rsidR="00BA2CE8" w:rsidRPr="009B224A" w:rsidRDefault="00BA2CE8" w:rsidP="00BA2CE8">
                            <w:pPr>
                              <w:pStyle w:val="DCSbodytext"/>
                              <w:ind w:left="0"/>
                            </w:pPr>
                            <w:r>
                              <w:t>The data collected from the two properties is open and available online. The project is using this data to raise awareness of the importance of material selection during construction, the impact on building performance and potential costs and savings during operation of the building.</w:t>
                            </w:r>
                          </w:p>
                        </w:txbxContent>
                      </wps:txbx>
                      <wps:bodyPr rot="0" vert="horz" wrap="square" lIns="91440" tIns="45720" rIns="91440" bIns="45720" anchor="t" anchorCtr="0">
                        <a:noAutofit/>
                      </wps:bodyPr>
                    </wps:wsp>
                  </a:graphicData>
                </a:graphic>
              </wp:inline>
            </w:drawing>
          </mc:Choice>
          <mc:Fallback>
            <w:pict>
              <v:shape w14:anchorId="633E5CA5" id="Text Box 531754512" o:spid="_x0000_s1036" type="#_x0000_t202" style="width:438.4pt;height:2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" fillcolor="#dbe5f1 [660]">
                <v:textbox>
                  <w:txbxContent>
                    <w:p w14:paraId="082EEE10" w14:textId="77777777" w:rsidR="00BA2CE8" w:rsidRPr="00326F1D" w:rsidRDefault="00BA2CE8" w:rsidP="00BA2CE8">
                      <w:pPr>
                        <w:pStyle w:val="DCSbodytext"/>
                        <w:ind w:left="0"/>
                        <w:jc w:val="center"/>
                        <w:rPr>
                          <w:b/>
                        </w:rPr>
                      </w:pPr>
                      <w:r>
                        <w:rPr>
                          <w:b/>
                        </w:rPr>
                        <w:t>Case Study – ‘S</w:t>
                      </w:r>
                      <w:r w:rsidRPr="00326F1D">
                        <w:rPr>
                          <w:b/>
                        </w:rPr>
                        <w:t>witch Your Thinking</w:t>
                      </w:r>
                      <w:r>
                        <w:rPr>
                          <w:b/>
                        </w:rPr>
                        <w:t>’ in Western Australia</w:t>
                      </w:r>
                    </w:p>
                    <w:p w14:paraId="0B6F8267" w14:textId="77777777" w:rsidR="00BA2CE8" w:rsidRDefault="00BA2CE8" w:rsidP="00BA2CE8">
                      <w:pPr>
                        <w:pStyle w:val="DCSbodytext"/>
                        <w:ind w:left="0"/>
                      </w:pPr>
                      <w:r w:rsidRPr="009B224A">
                        <w:t>A consortium of councils in W</w:t>
                      </w:r>
                      <w:r>
                        <w:t xml:space="preserve">estern Australian </w:t>
                      </w:r>
                      <w:r w:rsidRPr="009B224A">
                        <w:t xml:space="preserve">developed the </w:t>
                      </w:r>
                      <w:hyperlink r:id="rId182" w:history="1">
                        <w:r w:rsidRPr="00326F1D">
                          <w:rPr>
                            <w:rStyle w:val="Hyperlink"/>
                          </w:rPr>
                          <w:t>Switch Your Thinking project</w:t>
                        </w:r>
                      </w:hyperlink>
                      <w:r w:rsidRPr="009B224A">
                        <w:t xml:space="preserve"> to promote smarter selection of design options in new housing developmen</w:t>
                      </w:r>
                      <w:r>
                        <w:t xml:space="preserve">ts. One of the initiatives the councils </w:t>
                      </w:r>
                      <w:r w:rsidRPr="009B224A">
                        <w:t>promoted is a research study on roof colour selection</w:t>
                      </w:r>
                      <w:r>
                        <w:t xml:space="preserve"> and its impact on house temperatures and therefore energy efficiency</w:t>
                      </w:r>
                      <w:r w:rsidRPr="009B224A">
                        <w:t xml:space="preserve">. </w:t>
                      </w:r>
                    </w:p>
                    <w:p w14:paraId="4FEA71CC" w14:textId="77777777" w:rsidR="00BA2CE8" w:rsidRPr="009B224A" w:rsidRDefault="00BA2CE8" w:rsidP="00BA2CE8">
                      <w:pPr>
                        <w:pStyle w:val="DCSbodytext"/>
                        <w:ind w:left="0"/>
                      </w:pPr>
                      <w:r w:rsidRPr="009B224A">
                        <w:t>Using two properties fitted with 36 IoT enabled temperature and humidity sensors</w:t>
                      </w:r>
                      <w:r>
                        <w:t xml:space="preserve"> on the rooves and inside the house</w:t>
                      </w:r>
                      <w:r w:rsidRPr="009B224A">
                        <w:t xml:space="preserve">, </w:t>
                      </w:r>
                      <w:r>
                        <w:t>the councils</w:t>
                      </w:r>
                      <w:r w:rsidRPr="009B224A">
                        <w:t xml:space="preserve"> generated significant longitudinal data sets from regular observations</w:t>
                      </w:r>
                      <w:r>
                        <w:t xml:space="preserve"> </w:t>
                      </w:r>
                      <w:r w:rsidRPr="009B224A">
                        <w:t>– over 400</w:t>
                      </w:r>
                      <w:r>
                        <w:t>,</w:t>
                      </w:r>
                      <w:r w:rsidRPr="009B224A">
                        <w:t>000 data points per month.</w:t>
                      </w:r>
                      <w:r>
                        <w:t xml:space="preserve"> </w:t>
                      </w:r>
                    </w:p>
                    <w:p w14:paraId="701C8AC7" w14:textId="77777777" w:rsidR="00BA2CE8" w:rsidRPr="009B224A" w:rsidRDefault="00BA2CE8" w:rsidP="00BA2CE8">
                      <w:pPr>
                        <w:pStyle w:val="DCSbodytext"/>
                        <w:ind w:left="0"/>
                      </w:pPr>
                      <w:r>
                        <w:t>The data collected from the two properties is open and available online. The project is using this data to raise awareness of the importance of material selection during construction, the impact on building performance and potential costs and savings during operation of the building.</w:t>
                      </w:r>
                    </w:p>
                  </w:txbxContent>
                </v:textbox>
                <w10:anchorlock/>
              </v:shape>
            </w:pict>
          </mc:Fallback>
        </mc:AlternateContent>
      </w:r>
    </w:p>
    <w:p w14:paraId="59A1456C" w14:textId="6486B0BC" w:rsidR="00BE5989" w:rsidRPr="00E46FB0" w:rsidRDefault="00BE5989" w:rsidP="007F6527">
      <w:pPr>
        <w:pStyle w:val="DCSbodytext"/>
        <w:ind w:left="868"/>
      </w:pPr>
    </w:p>
    <w:p w14:paraId="3ACA0AF6" w14:textId="77777777" w:rsidR="000B149D" w:rsidRPr="00AC41E0" w:rsidRDefault="000B149D" w:rsidP="007F6527">
      <w:pPr>
        <w:pStyle w:val="DCSbodytext"/>
        <w:ind w:left="868"/>
      </w:pPr>
    </w:p>
    <w:p w14:paraId="22F39337" w14:textId="77777777" w:rsidR="000B149D" w:rsidRPr="00AC41E0" w:rsidRDefault="000B149D" w:rsidP="007F6527">
      <w:pPr>
        <w:pStyle w:val="DCSbodytext"/>
        <w:ind w:left="868"/>
      </w:pPr>
    </w:p>
    <w:p w14:paraId="030B26BA" w14:textId="77777777" w:rsidR="000B149D" w:rsidRPr="00AC41E0" w:rsidRDefault="000B149D" w:rsidP="007F6527">
      <w:pPr>
        <w:pStyle w:val="DCSbodytext"/>
        <w:ind w:left="868"/>
      </w:pPr>
    </w:p>
    <w:p w14:paraId="76D761C1" w14:textId="77777777" w:rsidR="000B149D" w:rsidRPr="00AC41E0" w:rsidRDefault="000B149D" w:rsidP="007F6527">
      <w:pPr>
        <w:pStyle w:val="DCSbodytext"/>
        <w:ind w:left="868"/>
      </w:pPr>
    </w:p>
    <w:p w14:paraId="6413AE96" w14:textId="77777777" w:rsidR="000B149D" w:rsidRPr="00AC41E0" w:rsidRDefault="000B149D" w:rsidP="007F6527">
      <w:pPr>
        <w:pStyle w:val="DCSbodytext"/>
        <w:ind w:left="868"/>
      </w:pPr>
    </w:p>
    <w:p w14:paraId="24C6343B" w14:textId="77777777" w:rsidR="000B149D" w:rsidRPr="00AC41E0" w:rsidRDefault="000B149D" w:rsidP="007F6527">
      <w:pPr>
        <w:pStyle w:val="DCSbodytext"/>
        <w:ind w:left="868"/>
      </w:pPr>
    </w:p>
    <w:p w14:paraId="079A402E" w14:textId="2C797DFF" w:rsidR="00511470" w:rsidRPr="00AC41E0" w:rsidRDefault="00511470" w:rsidP="0000207B">
      <w:pPr>
        <w:pStyle w:val="DCSbodytext"/>
        <w:ind w:left="868"/>
        <w:jc w:val="center"/>
      </w:pPr>
    </w:p>
    <w:p w14:paraId="01E3D369" w14:textId="4E9A1892" w:rsidR="00ED48B0" w:rsidRPr="00AC41E0" w:rsidRDefault="00ED48B0" w:rsidP="0000207B">
      <w:pPr>
        <w:pStyle w:val="DCSbodytext"/>
        <w:ind w:left="868"/>
        <w:jc w:val="center"/>
      </w:pPr>
    </w:p>
    <w:p w14:paraId="64B9EA3F" w14:textId="6D4D5308" w:rsidR="00511470" w:rsidRPr="00AC41E0" w:rsidRDefault="00BA2CE8" w:rsidP="0000207B">
      <w:pPr>
        <w:pStyle w:val="DCSbodytext"/>
        <w:ind w:left="868"/>
        <w:jc w:val="center"/>
      </w:pPr>
      <w:r w:rsidRPr="00E46FB0">
        <w:rPr>
          <w:noProof/>
        </w:rPr>
        <mc:AlternateContent>
          <mc:Choice Requires="wps">
            <w:drawing>
              <wp:inline distT="0" distB="0" distL="0" distR="0" wp14:anchorId="4A773B8A" wp14:editId="3FD08A98">
                <wp:extent cx="5526405" cy="2705100"/>
                <wp:effectExtent l="0" t="0" r="17145" b="19050"/>
                <wp:docPr id="531754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405" cy="2705100"/>
                        </a:xfrm>
                        <a:prstGeom prst="rect">
                          <a:avLst/>
                        </a:prstGeom>
                        <a:solidFill>
                          <a:schemeClr val="accent1">
                            <a:lumMod val="20000"/>
                            <a:lumOff val="80000"/>
                          </a:schemeClr>
                        </a:solidFill>
                        <a:ln w="9525">
                          <a:solidFill>
                            <a:srgbClr val="000000"/>
                          </a:solidFill>
                          <a:miter lim="800000"/>
                          <a:headEnd/>
                          <a:tailEnd/>
                        </a:ln>
                      </wps:spPr>
                      <wps:txbx>
                        <w:txbxContent>
                          <w:p w14:paraId="651A1898" w14:textId="77777777" w:rsidR="00BA2CE8" w:rsidRPr="006E76BA" w:rsidRDefault="00BA2CE8" w:rsidP="00BA2CE8">
                            <w:pPr>
                              <w:pStyle w:val="DCSbodytext"/>
                              <w:ind w:left="0"/>
                              <w:jc w:val="center"/>
                              <w:rPr>
                                <w:b/>
                              </w:rPr>
                            </w:pPr>
                            <w:r>
                              <w:rPr>
                                <w:b/>
                              </w:rPr>
                              <w:t>Case study – U</w:t>
                            </w:r>
                            <w:r w:rsidRPr="006E76BA">
                              <w:rPr>
                                <w:b/>
                              </w:rPr>
                              <w:t xml:space="preserve">sing </w:t>
                            </w:r>
                            <w:r>
                              <w:rPr>
                                <w:b/>
                              </w:rPr>
                              <w:t xml:space="preserve">Transport for NSW </w:t>
                            </w:r>
                            <w:r w:rsidRPr="006E76BA">
                              <w:rPr>
                                <w:b/>
                              </w:rPr>
                              <w:t>open data for better customer service</w:t>
                            </w:r>
                          </w:p>
                          <w:p w14:paraId="352E7D53" w14:textId="77777777" w:rsidR="00BA2CE8" w:rsidRDefault="00BA2CE8" w:rsidP="00BA2CE8">
                            <w:pPr>
                              <w:pStyle w:val="DCSbodytext"/>
                              <w:ind w:left="0"/>
                            </w:pPr>
                            <w:r>
                              <w:t xml:space="preserve">Transport for NSW has installed IoT sensors on buses and trains around Sydney to track vehicle location and capacity and provide real-time information. This data has been made available as open data along with timetable information, and Transport for NSW has encouraged the development of apps to enhance customer experience.  </w:t>
                            </w:r>
                          </w:p>
                          <w:p w14:paraId="538AA787" w14:textId="77777777" w:rsidR="00BA2CE8" w:rsidRDefault="00BA2CE8" w:rsidP="00BA2CE8">
                            <w:pPr>
                              <w:pStyle w:val="DCSbodytext"/>
                              <w:ind w:left="0"/>
                            </w:pPr>
                            <w:r>
                              <w:t xml:space="preserve">Many of these apps also combine NSW government data with other publicly available data to enhance usability and utility, such as plotting live vehicle feeds on Google maps. </w:t>
                            </w:r>
                          </w:p>
                          <w:p w14:paraId="0949BFBC" w14:textId="77777777" w:rsidR="00BA2CE8" w:rsidRDefault="00BA2CE8" w:rsidP="00BA2CE8">
                            <w:pPr>
                              <w:pStyle w:val="DCSbodytext"/>
                              <w:ind w:left="0"/>
                            </w:pPr>
                            <w:r>
                              <w:t>By collecting data and making it open for app developers, Transport for NSW have enabled services that allows citizens to make informed choices about how and when they will travel.</w:t>
                            </w:r>
                          </w:p>
                        </w:txbxContent>
                      </wps:txbx>
                      <wps:bodyPr rot="0" vert="horz" wrap="square" lIns="91440" tIns="45720" rIns="91440" bIns="45720" anchor="t" anchorCtr="0">
                        <a:noAutofit/>
                      </wps:bodyPr>
                    </wps:wsp>
                  </a:graphicData>
                </a:graphic>
              </wp:inline>
            </w:drawing>
          </mc:Choice>
          <mc:Fallback>
            <w:pict>
              <v:shape w14:anchorId="4A773B8A" id="_x0000_s1037" type="#_x0000_t202" style="width:435.15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" fillcolor="#dbe5f1 [660]">
                <v:textbox>
                  <w:txbxContent>
                    <w:p w14:paraId="651A1898" w14:textId="77777777" w:rsidR="00BA2CE8" w:rsidRPr="006E76BA" w:rsidRDefault="00BA2CE8" w:rsidP="00BA2CE8">
                      <w:pPr>
                        <w:pStyle w:val="DCSbodytext"/>
                        <w:ind w:left="0"/>
                        <w:jc w:val="center"/>
                        <w:rPr>
                          <w:b/>
                        </w:rPr>
                      </w:pPr>
                      <w:r>
                        <w:rPr>
                          <w:b/>
                        </w:rPr>
                        <w:t>Case study – U</w:t>
                      </w:r>
                      <w:r w:rsidRPr="006E76BA">
                        <w:rPr>
                          <w:b/>
                        </w:rPr>
                        <w:t xml:space="preserve">sing </w:t>
                      </w:r>
                      <w:r>
                        <w:rPr>
                          <w:b/>
                        </w:rPr>
                        <w:t xml:space="preserve">Transport for NSW </w:t>
                      </w:r>
                      <w:r w:rsidRPr="006E76BA">
                        <w:rPr>
                          <w:b/>
                        </w:rPr>
                        <w:t>open data for better customer service</w:t>
                      </w:r>
                    </w:p>
                    <w:p w14:paraId="352E7D53" w14:textId="77777777" w:rsidR="00BA2CE8" w:rsidRDefault="00BA2CE8" w:rsidP="00BA2CE8">
                      <w:pPr>
                        <w:pStyle w:val="DCSbodytext"/>
                        <w:ind w:left="0"/>
                      </w:pPr>
                      <w:r>
                        <w:t xml:space="preserve">Transport for NSW has installed IoT sensors on buses and trains around Sydney to track vehicle location and capacity and provide real-time information. This data has been made available as open data along with timetable information, and Transport for NSW has encouraged the development of apps to enhance customer experience.  </w:t>
                      </w:r>
                    </w:p>
                    <w:p w14:paraId="538AA787" w14:textId="77777777" w:rsidR="00BA2CE8" w:rsidRDefault="00BA2CE8" w:rsidP="00BA2CE8">
                      <w:pPr>
                        <w:pStyle w:val="DCSbodytext"/>
                        <w:ind w:left="0"/>
                      </w:pPr>
                      <w:r>
                        <w:t xml:space="preserve">Many of these apps also combine NSW government data with other publicly available data to enhance usability and utility, such as plotting live vehicle feeds on Google maps. </w:t>
                      </w:r>
                    </w:p>
                    <w:p w14:paraId="0949BFBC" w14:textId="77777777" w:rsidR="00BA2CE8" w:rsidRDefault="00BA2CE8" w:rsidP="00BA2CE8">
                      <w:pPr>
                        <w:pStyle w:val="DCSbodytext"/>
                        <w:ind w:left="0"/>
                      </w:pPr>
                      <w:r>
                        <w:t>By collecting data and making it open for app developers, Transport for NSW have enabled services that allows citizens to make informed choices about how and when they will travel.</w:t>
                      </w:r>
                    </w:p>
                  </w:txbxContent>
                </v:textbox>
                <w10:anchorlock/>
              </v:shape>
            </w:pict>
          </mc:Fallback>
        </mc:AlternateContent>
      </w:r>
      <w:r w:rsidR="00511470" w:rsidRPr="00E46FB0">
        <w:br w:type="page"/>
      </w:r>
    </w:p>
    <w:p w14:paraId="17535429" w14:textId="4B5C5E1C" w:rsidR="0000207B" w:rsidRPr="00AC41E0" w:rsidRDefault="0000207B" w:rsidP="007F6527">
      <w:pPr>
        <w:pStyle w:val="DCSbodytext"/>
        <w:ind w:left="868"/>
        <w:sectPr w:rsidR="0000207B" w:rsidRPr="00AC41E0" w:rsidSect="00511470">
          <w:type w:val="continuous"/>
          <w:pgSz w:w="11906" w:h="16838"/>
          <w:pgMar w:top="1418" w:right="1134" w:bottom="1134" w:left="1134" w:header="851" w:footer="425" w:gutter="0"/>
          <w:cols w:space="708"/>
          <w:titlePg/>
          <w:docGrid w:linePitch="360"/>
        </w:sectPr>
      </w:pPr>
    </w:p>
    <w:p w14:paraId="30A1FB97" w14:textId="358A3E9B" w:rsidR="002A04FF" w:rsidRPr="00AC41E0" w:rsidRDefault="002A04FF" w:rsidP="00C2159E">
      <w:pPr>
        <w:pStyle w:val="Heading2"/>
        <w:tabs>
          <w:tab w:val="clear" w:pos="5188"/>
          <w:tab w:val="num" w:pos="794"/>
        </w:tabs>
        <w:ind w:left="851"/>
      </w:pPr>
      <w:bookmarkStart w:id="1245" w:name="_Technology_for_IoT_1"/>
      <w:bookmarkStart w:id="1246" w:name="_Technology_for_IoT_2"/>
      <w:bookmarkStart w:id="1247" w:name="_Toc65760529"/>
      <w:bookmarkEnd w:id="1245"/>
      <w:bookmarkEnd w:id="1246"/>
      <w:r w:rsidRPr="00E46FB0">
        <w:lastRenderedPageBreak/>
        <w:t xml:space="preserve">Technology </w:t>
      </w:r>
      <w:r w:rsidRPr="00AC41E0">
        <w:rPr>
          <w:rFonts w:ascii="Arial" w:hAnsi="Arial"/>
        </w:rPr>
        <w:t>for</w:t>
      </w:r>
      <w:r w:rsidRPr="00AC41E0">
        <w:t xml:space="preserve"> IoT</w:t>
      </w:r>
      <w:bookmarkEnd w:id="1247"/>
    </w:p>
    <w:p w14:paraId="513DA400" w14:textId="465EDF34" w:rsidR="002A04FF" w:rsidRPr="00AC41E0" w:rsidRDefault="002A04FF" w:rsidP="00D4137E">
      <w:pPr>
        <w:pStyle w:val="Heading3"/>
        <w:ind w:left="868"/>
        <w:rPr>
          <w:rFonts w:ascii="Arial" w:hAnsi="Arial"/>
        </w:rPr>
      </w:pPr>
      <w:bookmarkStart w:id="1248" w:name="_How_to_achieve"/>
      <w:bookmarkStart w:id="1249" w:name="_Toc13840686"/>
      <w:bookmarkStart w:id="1250" w:name="_Toc65760530"/>
      <w:bookmarkEnd w:id="1248"/>
      <w:r w:rsidRPr="00AC41E0">
        <w:rPr>
          <w:rFonts w:ascii="Arial" w:hAnsi="Arial"/>
        </w:rPr>
        <w:t>IoT architecture</w:t>
      </w:r>
      <w:bookmarkEnd w:id="1249"/>
      <w:bookmarkEnd w:id="1250"/>
    </w:p>
    <w:p w14:paraId="6B2864EC" w14:textId="51949E06" w:rsidR="00CF5F41" w:rsidRPr="00AC41E0" w:rsidRDefault="00450310" w:rsidP="00CF5F41">
      <w:pPr>
        <w:pStyle w:val="DCSbodytext"/>
        <w:spacing w:after="120"/>
        <w:ind w:left="868"/>
      </w:pPr>
      <w:r w:rsidRPr="00AC41E0">
        <w:t>T</w:t>
      </w:r>
      <w:r w:rsidR="00CF5F41" w:rsidRPr="00AC41E0">
        <w:t>here are typically three key components to consider when designing your IoT solution architecture:</w:t>
      </w:r>
    </w:p>
    <w:p w14:paraId="0A7286FA" w14:textId="46FBF50A" w:rsidR="002A04FF" w:rsidRPr="00AC41E0" w:rsidRDefault="002A04FF" w:rsidP="0003467D">
      <w:pPr>
        <w:pStyle w:val="DCSbodytext"/>
        <w:numPr>
          <w:ilvl w:val="0"/>
          <w:numId w:val="28"/>
        </w:numPr>
        <w:spacing w:after="120"/>
        <w:ind w:left="1228"/>
      </w:pPr>
      <w:r w:rsidRPr="00AC41E0">
        <w:rPr>
          <w:i/>
        </w:rPr>
        <w:t>IoT Hub (the Core)</w:t>
      </w:r>
      <w:r w:rsidRPr="00AC41E0">
        <w:t xml:space="preserve">: The IoT component that stores and processes data, and depending on the solution, may also include analytics and management software to control actuators. It may reside in a dedicated data centre or cloud. It may also include device management, that is, control and provisioning. In denser or more complex architectures Hubs may also be considered edge devices. For example, an architecture may have several access point hubs </w:t>
      </w:r>
      <w:r w:rsidR="002E1E65" w:rsidRPr="00AC41E0">
        <w:t xml:space="preserve">that </w:t>
      </w:r>
      <w:r w:rsidRPr="00AC41E0">
        <w:t>collect data from sensors, then forward that data to servers (larger hubs).</w:t>
      </w:r>
    </w:p>
    <w:p w14:paraId="66B0E9E7" w14:textId="4D4E10CC" w:rsidR="002A04FF" w:rsidRPr="00AC41E0" w:rsidRDefault="002A04FF" w:rsidP="0003467D">
      <w:pPr>
        <w:pStyle w:val="DCSbodytext"/>
        <w:numPr>
          <w:ilvl w:val="0"/>
          <w:numId w:val="28"/>
        </w:numPr>
        <w:spacing w:after="120"/>
        <w:ind w:left="1228"/>
      </w:pPr>
      <w:r w:rsidRPr="00AC41E0">
        <w:rPr>
          <w:i/>
        </w:rPr>
        <w:t>IoT Edge</w:t>
      </w:r>
      <w:r w:rsidRPr="00AC41E0">
        <w:t>: The component that responds to or captures data, and depending on the solution, may also include actuators. At a basic level</w:t>
      </w:r>
      <w:r w:rsidR="002E1E65" w:rsidRPr="00AC41E0">
        <w:t>,</w:t>
      </w:r>
      <w:r w:rsidRPr="00AC41E0">
        <w:t xml:space="preserve"> it may include just a sensor to capture data and send it to the Hub for processing, while an intelligent Edge will include sensors as well as some processing at the Edge for faster response times.</w:t>
      </w:r>
    </w:p>
    <w:p w14:paraId="147B3B1D" w14:textId="6244F85A" w:rsidR="001A4E1F" w:rsidRPr="00AC41E0" w:rsidRDefault="002A04FF" w:rsidP="00005A8F">
      <w:pPr>
        <w:pStyle w:val="DCSbodytext"/>
        <w:numPr>
          <w:ilvl w:val="0"/>
          <w:numId w:val="28"/>
        </w:numPr>
        <w:ind w:left="1228"/>
        <w:rPr>
          <w:i/>
        </w:rPr>
      </w:pPr>
      <w:r w:rsidRPr="00AC41E0">
        <w:rPr>
          <w:i/>
        </w:rPr>
        <w:t>Connectivity between Hub and Edge.</w:t>
      </w:r>
      <w:r w:rsidR="0046649B" w:rsidRPr="00AC41E0">
        <w:rPr>
          <w:b/>
        </w:rPr>
        <w:t xml:space="preserve"> </w:t>
      </w:r>
    </w:p>
    <w:p w14:paraId="13A82F34" w14:textId="300D9789" w:rsidR="00350C93" w:rsidRPr="00AC41E0" w:rsidRDefault="002A04FF" w:rsidP="001A4E1F">
      <w:pPr>
        <w:pStyle w:val="DCSbodytext"/>
        <w:ind w:left="868" w:firstLine="360"/>
        <w:rPr>
          <w:b/>
        </w:rPr>
      </w:pPr>
      <w:r w:rsidRPr="00AC41E0">
        <w:rPr>
          <w:b/>
        </w:rPr>
        <w:t>Key components when designing your IoT solution architecture</w:t>
      </w:r>
    </w:p>
    <w:p w14:paraId="3826BDB2" w14:textId="557F1D4E" w:rsidR="00350C93" w:rsidRPr="00E46FB0" w:rsidRDefault="00350C93" w:rsidP="001A4E1F">
      <w:pPr>
        <w:pStyle w:val="BodyText"/>
        <w:ind w:left="0"/>
        <w:rPr>
          <w:lang w:eastAsia="en-AU"/>
        </w:rPr>
      </w:pPr>
      <w:r w:rsidRPr="00E46FB0">
        <w:rPr>
          <w:noProof/>
        </w:rPr>
        <w:drawing>
          <wp:inline distT="0" distB="0" distL="0" distR="0" wp14:anchorId="2B98BC31" wp14:editId="378A1ADC">
            <wp:extent cx="5645149" cy="1383665"/>
            <wp:effectExtent l="0" t="0" r="0" b="6985"/>
            <wp:docPr id="531754514" name="Picture 531754514" descr="Relates to how data can be collected, stored and analysed. Data is collected at the Device, it can be partially processed at the device (edge) or all the data can go to the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754514"/>
                    <pic:cNvPicPr/>
                  </pic:nvPicPr>
                  <pic:blipFill>
                    <a:blip r:embed="rId183">
                      <a:extLst>
                        <a:ext uri="{28A0092B-C50C-407E-A947-70E740481C1C}">
                          <a14:useLocalDpi xmlns:a14="http://schemas.microsoft.com/office/drawing/2010/main" val="0"/>
                        </a:ext>
                      </a:extLst>
                    </a:blip>
                    <a:stretch>
                      <a:fillRect/>
                    </a:stretch>
                  </pic:blipFill>
                  <pic:spPr>
                    <a:xfrm>
                      <a:off x="0" y="0"/>
                      <a:ext cx="5645149" cy="1383665"/>
                    </a:xfrm>
                    <a:prstGeom prst="rect">
                      <a:avLst/>
                    </a:prstGeom>
                  </pic:spPr>
                </pic:pic>
              </a:graphicData>
            </a:graphic>
          </wp:inline>
        </w:drawing>
      </w:r>
    </w:p>
    <w:p w14:paraId="32DEA076" w14:textId="6CA9344F" w:rsidR="00D26614" w:rsidRPr="00AC41E0" w:rsidRDefault="007016BC" w:rsidP="00D26614">
      <w:pPr>
        <w:pStyle w:val="DCSbodytext"/>
      </w:pPr>
      <w:r w:rsidRPr="00AC41E0">
        <w:t>For more detailed information refer</w:t>
      </w:r>
      <w:r w:rsidR="00D26614" w:rsidRPr="00AC41E0">
        <w:t xml:space="preserve"> to </w:t>
      </w:r>
      <w:hyperlink r:id="rId184" w:history="1">
        <w:r w:rsidR="00D26614" w:rsidRPr="00AC41E0">
          <w:rPr>
            <w:rStyle w:val="Hyperlink"/>
          </w:rPr>
          <w:t>the IoTAA: IOT Reference Framework</w:t>
        </w:r>
      </w:hyperlink>
      <w:r w:rsidR="00D26614" w:rsidRPr="00E46FB0">
        <w:t xml:space="preserve"> for identifying and positioning elements of the IoT ecosystem. See also the </w:t>
      </w:r>
      <w:hyperlink r:id="rId185" w:history="1">
        <w:r w:rsidR="00D26614" w:rsidRPr="00AC41E0">
          <w:rPr>
            <w:rStyle w:val="Hyperlink"/>
          </w:rPr>
          <w:t>National Code of Practice</w:t>
        </w:r>
      </w:hyperlink>
      <w:r w:rsidR="00D26614" w:rsidRPr="00E46FB0">
        <w:t xml:space="preserve"> which is a voluntary set of measures the Australian Government recommends for industry as the minimum standard for IoT devices. </w:t>
      </w:r>
    </w:p>
    <w:p w14:paraId="4E5E4BF7" w14:textId="460CA01E" w:rsidR="002A04FF" w:rsidRPr="00AC41E0" w:rsidRDefault="002A04FF" w:rsidP="00D4137E">
      <w:pPr>
        <w:pStyle w:val="Heading3"/>
        <w:ind w:left="868"/>
        <w:rPr>
          <w:rFonts w:ascii="Arial" w:hAnsi="Arial"/>
        </w:rPr>
      </w:pPr>
      <w:bookmarkStart w:id="1251" w:name="_Toc17970600"/>
      <w:bookmarkStart w:id="1252" w:name="_Toc17975393"/>
      <w:bookmarkStart w:id="1253" w:name="_Toc17975599"/>
      <w:bookmarkStart w:id="1254" w:name="_Toc17982673"/>
      <w:bookmarkStart w:id="1255" w:name="_Toc17987988"/>
      <w:bookmarkStart w:id="1256" w:name="_Toc17989399"/>
      <w:bookmarkStart w:id="1257" w:name="_Toc17990461"/>
      <w:bookmarkStart w:id="1258" w:name="_Requirements_in_designing"/>
      <w:bookmarkStart w:id="1259" w:name="_Toc13840688"/>
      <w:bookmarkStart w:id="1260" w:name="_Toc65760531"/>
      <w:bookmarkEnd w:id="1251"/>
      <w:bookmarkEnd w:id="1252"/>
      <w:bookmarkEnd w:id="1253"/>
      <w:bookmarkEnd w:id="1254"/>
      <w:bookmarkEnd w:id="1255"/>
      <w:bookmarkEnd w:id="1256"/>
      <w:bookmarkEnd w:id="1257"/>
      <w:bookmarkEnd w:id="1258"/>
      <w:r w:rsidRPr="00AC41E0">
        <w:rPr>
          <w:rFonts w:ascii="Arial" w:hAnsi="Arial"/>
        </w:rPr>
        <w:t>Requirements in designing your architecture</w:t>
      </w:r>
      <w:bookmarkEnd w:id="1259"/>
      <w:bookmarkEnd w:id="1260"/>
    </w:p>
    <w:p w14:paraId="12953393" w14:textId="6B8D6161" w:rsidR="002A04FF" w:rsidRPr="00AC41E0" w:rsidRDefault="002A04FF" w:rsidP="00D4137E">
      <w:pPr>
        <w:pStyle w:val="DCSbodytext"/>
        <w:ind w:left="868"/>
      </w:pPr>
      <w:r w:rsidRPr="00AC41E0">
        <w:t>Your performance requirements, business continuity and back up considerations will help determine how you design your IoT Hub and Edge. Your solution requirements will also help determine the level of intelligence/smartness factor required at the Hub and Edge.</w:t>
      </w:r>
    </w:p>
    <w:p w14:paraId="00E85703" w14:textId="77777777" w:rsidR="002A04FF" w:rsidRPr="00AC41E0" w:rsidRDefault="002A04FF" w:rsidP="00D4137E">
      <w:pPr>
        <w:pStyle w:val="Heading4"/>
        <w:tabs>
          <w:tab w:val="clear" w:pos="1588"/>
          <w:tab w:val="num" w:pos="1662"/>
        </w:tabs>
        <w:ind w:left="1662"/>
        <w:rPr>
          <w:rFonts w:ascii="Arial" w:hAnsi="Arial"/>
        </w:rPr>
      </w:pPr>
      <w:r w:rsidRPr="00AC41E0">
        <w:rPr>
          <w:rFonts w:ascii="Arial" w:hAnsi="Arial"/>
        </w:rPr>
        <w:t>Performance requirements</w:t>
      </w:r>
    </w:p>
    <w:p w14:paraId="6C5EC1F0" w14:textId="499B910E" w:rsidR="002A04FF" w:rsidRPr="00AC41E0" w:rsidRDefault="002A04FF" w:rsidP="009A41BE">
      <w:pPr>
        <w:pStyle w:val="DCSbodytext"/>
        <w:spacing w:after="120"/>
        <w:ind w:left="868"/>
      </w:pPr>
      <w:r w:rsidRPr="00AC41E0">
        <w:t xml:space="preserve">Typical considerations from a performance requirement perspective </w:t>
      </w:r>
      <w:r w:rsidR="00555A1E" w:rsidRPr="00AC41E0">
        <w:t>include</w:t>
      </w:r>
      <w:r w:rsidRPr="00AC41E0">
        <w:t>:</w:t>
      </w:r>
    </w:p>
    <w:p w14:paraId="0A4308B5" w14:textId="4A4107F2" w:rsidR="002A04FF" w:rsidRPr="00AC41E0" w:rsidRDefault="002A04FF" w:rsidP="0003467D">
      <w:pPr>
        <w:pStyle w:val="DCSbodytext"/>
        <w:numPr>
          <w:ilvl w:val="0"/>
          <w:numId w:val="29"/>
        </w:numPr>
        <w:spacing w:after="120"/>
        <w:ind w:left="1228"/>
      </w:pPr>
      <w:r w:rsidRPr="00AC41E0">
        <w:lastRenderedPageBreak/>
        <w:t xml:space="preserve">Does the </w:t>
      </w:r>
      <w:r w:rsidR="00536866" w:rsidRPr="00AC41E0">
        <w:t xml:space="preserve">IoT service provider’s </w:t>
      </w:r>
      <w:r w:rsidRPr="00AC41E0">
        <w:t xml:space="preserve">device support direct bi-directional connectivity between the Edge and Hub or is the connectivity passed through the </w:t>
      </w:r>
      <w:r w:rsidR="00536866" w:rsidRPr="00AC41E0">
        <w:t>service provider’s</w:t>
      </w:r>
      <w:r w:rsidRPr="00AC41E0">
        <w:t xml:space="preserve"> own </w:t>
      </w:r>
      <w:r w:rsidR="00CC33B7" w:rsidRPr="00AC41E0">
        <w:t>d</w:t>
      </w:r>
      <w:r w:rsidRPr="00AC41E0">
        <w:t xml:space="preserve">ata </w:t>
      </w:r>
      <w:r w:rsidR="00CC33B7" w:rsidRPr="00AC41E0">
        <w:t>p</w:t>
      </w:r>
      <w:r w:rsidRPr="00AC41E0">
        <w:t>latform between the customer Edge and Hub?</w:t>
      </w:r>
    </w:p>
    <w:p w14:paraId="48B1B1CA" w14:textId="78C365DF" w:rsidR="002A04FF" w:rsidRPr="00AC41E0" w:rsidRDefault="002A04FF" w:rsidP="0003467D">
      <w:pPr>
        <w:pStyle w:val="DCSbodytext"/>
        <w:numPr>
          <w:ilvl w:val="0"/>
          <w:numId w:val="29"/>
        </w:numPr>
        <w:spacing w:after="120"/>
        <w:ind w:left="1228"/>
      </w:pPr>
      <w:r w:rsidRPr="00AC41E0">
        <w:t xml:space="preserve">Does the data captured through the Edge device (e.g. sensor) need to be processed in </w:t>
      </w:r>
      <w:r w:rsidR="002E1E65" w:rsidRPr="00AC41E0">
        <w:t>real-</w:t>
      </w:r>
      <w:r w:rsidRPr="00AC41E0">
        <w:t>time or is a time lag acceptable?</w:t>
      </w:r>
    </w:p>
    <w:p w14:paraId="63FE6866" w14:textId="7B282367" w:rsidR="002A04FF" w:rsidRPr="00AC41E0" w:rsidRDefault="002A04FF" w:rsidP="0003467D">
      <w:pPr>
        <w:pStyle w:val="DCSbodytext"/>
        <w:numPr>
          <w:ilvl w:val="0"/>
          <w:numId w:val="29"/>
        </w:numPr>
        <w:spacing w:after="120"/>
        <w:ind w:left="1228"/>
      </w:pPr>
      <w:r w:rsidRPr="00AC41E0">
        <w:t xml:space="preserve">Is the fluctuation of device data based on changes in its usage state such that higher bandwidth connectivity is </w:t>
      </w:r>
      <w:r w:rsidR="00924889" w:rsidRPr="00AC41E0">
        <w:t>required,</w:t>
      </w:r>
      <w:r w:rsidRPr="00AC41E0">
        <w:t xml:space="preserve"> or Edge processing needs to be deployed?</w:t>
      </w:r>
    </w:p>
    <w:p w14:paraId="31F7FEFA" w14:textId="77777777" w:rsidR="002A04FF" w:rsidRPr="00AC41E0" w:rsidRDefault="002A04FF" w:rsidP="0003467D">
      <w:pPr>
        <w:pStyle w:val="DCSbodytext"/>
        <w:numPr>
          <w:ilvl w:val="0"/>
          <w:numId w:val="29"/>
        </w:numPr>
        <w:spacing w:after="120"/>
        <w:ind w:left="1228"/>
      </w:pPr>
      <w:r w:rsidRPr="00AC41E0">
        <w:t>Will the network bandwidth affect data transmission thereby affecting response time? For example, bandwidth may be inadequate to transmit data to the cloud where a video is being processed.</w:t>
      </w:r>
    </w:p>
    <w:p w14:paraId="11FD8235" w14:textId="53AF9856" w:rsidR="002A04FF" w:rsidRPr="00AC41E0" w:rsidRDefault="002A04FF" w:rsidP="0003467D">
      <w:pPr>
        <w:pStyle w:val="DCSbodytext"/>
        <w:numPr>
          <w:ilvl w:val="0"/>
          <w:numId w:val="29"/>
        </w:numPr>
        <w:spacing w:after="120"/>
        <w:ind w:left="1228"/>
      </w:pPr>
      <w:r w:rsidRPr="00AC41E0">
        <w:t>Is the device uptime and response time critical? For example, in medical and emergency management situations, the response may be required in real</w:t>
      </w:r>
      <w:r w:rsidR="00070D63" w:rsidRPr="00AC41E0">
        <w:t>-</w:t>
      </w:r>
      <w:r w:rsidRPr="00AC41E0">
        <w:t xml:space="preserve">time based on the data intercepted through </w:t>
      </w:r>
      <w:r w:rsidR="002E1E65" w:rsidRPr="00AC41E0">
        <w:t xml:space="preserve">the </w:t>
      </w:r>
      <w:r w:rsidRPr="00AC41E0">
        <w:t xml:space="preserve">occurrence of </w:t>
      </w:r>
      <w:r w:rsidR="002E1E65" w:rsidRPr="00AC41E0">
        <w:t xml:space="preserve">a </w:t>
      </w:r>
      <w:r w:rsidRPr="00AC41E0">
        <w:t>particular event. They have a High Intelligent Edge requirement.</w:t>
      </w:r>
    </w:p>
    <w:p w14:paraId="4578E65F" w14:textId="77777777" w:rsidR="002A04FF" w:rsidRPr="00AC41E0" w:rsidRDefault="002A04FF" w:rsidP="00D4137E">
      <w:pPr>
        <w:pStyle w:val="Heading4"/>
        <w:tabs>
          <w:tab w:val="clear" w:pos="1588"/>
          <w:tab w:val="num" w:pos="1662"/>
        </w:tabs>
        <w:ind w:left="1662"/>
        <w:rPr>
          <w:rFonts w:ascii="Arial" w:hAnsi="Arial"/>
        </w:rPr>
      </w:pPr>
      <w:r w:rsidRPr="00AC41E0">
        <w:rPr>
          <w:rFonts w:ascii="Arial" w:hAnsi="Arial"/>
        </w:rPr>
        <w:t>Business continuity and back up requirements</w:t>
      </w:r>
    </w:p>
    <w:p w14:paraId="4A2AB06A" w14:textId="3E595849" w:rsidR="002A04FF" w:rsidRPr="00AC41E0" w:rsidRDefault="002A04FF" w:rsidP="00C66DC5">
      <w:pPr>
        <w:pStyle w:val="DCSbodytext"/>
        <w:spacing w:after="120"/>
        <w:ind w:left="868"/>
      </w:pPr>
      <w:r w:rsidRPr="00AC41E0">
        <w:t xml:space="preserve">Typical considerations from a business continuity and back up option perspective </w:t>
      </w:r>
      <w:r w:rsidR="00555A1E" w:rsidRPr="00AC41E0">
        <w:t>include</w:t>
      </w:r>
      <w:r w:rsidRPr="00AC41E0">
        <w:t>:</w:t>
      </w:r>
    </w:p>
    <w:p w14:paraId="62BEAD8B" w14:textId="1273FA67" w:rsidR="002A04FF" w:rsidRPr="00AC41E0" w:rsidRDefault="002A04FF" w:rsidP="00D978A4">
      <w:pPr>
        <w:pStyle w:val="DCSbodytext"/>
        <w:numPr>
          <w:ilvl w:val="0"/>
          <w:numId w:val="50"/>
        </w:numPr>
        <w:spacing w:after="120"/>
        <w:ind w:left="1225" w:hanging="357"/>
      </w:pPr>
      <w:r w:rsidRPr="00AC41E0">
        <w:t xml:space="preserve">What options exist </w:t>
      </w:r>
      <w:r w:rsidR="003C24D6" w:rsidRPr="00AC41E0">
        <w:t>if</w:t>
      </w:r>
      <w:r w:rsidRPr="00AC41E0">
        <w:t xml:space="preserve"> the processing ability of the Edge device diminishes or malfunctions? Potentially in such a situation</w:t>
      </w:r>
      <w:r w:rsidR="002E1E65" w:rsidRPr="00AC41E0">
        <w:t>,</w:t>
      </w:r>
      <w:r w:rsidRPr="00AC41E0">
        <w:t xml:space="preserve"> there may be a requirement for the Edge to be able to intercept data, but instead of processing it at the Edge the device sends it to the Hub for processing.</w:t>
      </w:r>
    </w:p>
    <w:p w14:paraId="4814A1EF" w14:textId="065A0F1F" w:rsidR="002A04FF" w:rsidRPr="00AC41E0" w:rsidRDefault="002A04FF" w:rsidP="00D978A4">
      <w:pPr>
        <w:pStyle w:val="DCSbodytext"/>
        <w:numPr>
          <w:ilvl w:val="0"/>
          <w:numId w:val="50"/>
        </w:numPr>
        <w:spacing w:after="120"/>
        <w:ind w:left="1225" w:hanging="357"/>
      </w:pPr>
      <w:r w:rsidRPr="00AC41E0">
        <w:t xml:space="preserve">Is </w:t>
      </w:r>
      <w:r w:rsidR="002E1E65" w:rsidRPr="00AC41E0">
        <w:t xml:space="preserve">the </w:t>
      </w:r>
      <w:r w:rsidRPr="00AC41E0">
        <w:t>loss of connectivity to the cloud is an issue? This may be more of an issue in regional or remote areas than in metropolitan areas.</w:t>
      </w:r>
    </w:p>
    <w:p w14:paraId="5A953201" w14:textId="2192836E" w:rsidR="002A04FF" w:rsidRPr="00AC41E0" w:rsidRDefault="002A04FF" w:rsidP="00D978A4">
      <w:pPr>
        <w:pStyle w:val="DCSbodytext"/>
        <w:numPr>
          <w:ilvl w:val="0"/>
          <w:numId w:val="50"/>
        </w:numPr>
        <w:ind w:left="1225" w:hanging="357"/>
      </w:pPr>
      <w:r w:rsidRPr="00AC41E0">
        <w:t xml:space="preserve">Are ‘Over the Air’ (OTA) updates to Edge devices for security or performance upgrades supported by the </w:t>
      </w:r>
      <w:r w:rsidR="0046042B" w:rsidRPr="00AC41E0">
        <w:t xml:space="preserve">IoT </w:t>
      </w:r>
      <w:r w:rsidRPr="00AC41E0">
        <w:t>solution?</w:t>
      </w:r>
    </w:p>
    <w:p w14:paraId="28AC2496" w14:textId="5E76647E" w:rsidR="002A04FF" w:rsidRPr="00AC41E0" w:rsidRDefault="002A04FF" w:rsidP="009A41BE">
      <w:pPr>
        <w:pStyle w:val="DCSbodytext"/>
        <w:spacing w:after="120"/>
        <w:ind w:left="868"/>
      </w:pPr>
      <w:r w:rsidRPr="00AC41E0">
        <w:t xml:space="preserve">Irrespective of what system architecture is in place or is adopted, it </w:t>
      </w:r>
      <w:r w:rsidR="00314143" w:rsidRPr="00AC41E0">
        <w:t>needs to</w:t>
      </w:r>
      <w:r w:rsidRPr="00AC41E0">
        <w:t xml:space="preserve"> have the following features:</w:t>
      </w:r>
    </w:p>
    <w:p w14:paraId="6F044842" w14:textId="4802D999" w:rsidR="002A04FF" w:rsidRPr="00AC41E0" w:rsidRDefault="00D22E07" w:rsidP="00D978A4">
      <w:pPr>
        <w:pStyle w:val="DCSbodytext"/>
        <w:numPr>
          <w:ilvl w:val="0"/>
          <w:numId w:val="50"/>
        </w:numPr>
        <w:spacing w:after="120"/>
        <w:ind w:left="1228"/>
      </w:pPr>
      <w:r w:rsidRPr="00AC41E0">
        <w:t>i</w:t>
      </w:r>
      <w:r w:rsidR="002A04FF" w:rsidRPr="00AC41E0">
        <w:t>ncorporate privacy, cyber security, data security</w:t>
      </w:r>
      <w:r w:rsidR="002E1E65" w:rsidRPr="00AC41E0">
        <w:t>,</w:t>
      </w:r>
      <w:r w:rsidR="002A04FF" w:rsidRPr="00AC41E0">
        <w:t xml:space="preserve"> and data integrity requirements</w:t>
      </w:r>
    </w:p>
    <w:p w14:paraId="12550DE8" w14:textId="30696EC7" w:rsidR="002A04FF" w:rsidRPr="00AC41E0" w:rsidRDefault="00D22E07" w:rsidP="00D978A4">
      <w:pPr>
        <w:pStyle w:val="DCSbodytext"/>
        <w:numPr>
          <w:ilvl w:val="0"/>
          <w:numId w:val="50"/>
        </w:numPr>
        <w:spacing w:after="120"/>
        <w:ind w:left="1228"/>
      </w:pPr>
      <w:r w:rsidRPr="00AC41E0">
        <w:t>a</w:t>
      </w:r>
      <w:r w:rsidR="002A04FF" w:rsidRPr="00AC41E0">
        <w:t>ble to receive data from, and send data to, multiple sensor types</w:t>
      </w:r>
    </w:p>
    <w:p w14:paraId="64032F8E" w14:textId="3062AB68" w:rsidR="002A04FF" w:rsidRPr="00AC41E0" w:rsidRDefault="00D22E07" w:rsidP="00D978A4">
      <w:pPr>
        <w:pStyle w:val="DCSbodytext"/>
        <w:numPr>
          <w:ilvl w:val="0"/>
          <w:numId w:val="50"/>
        </w:numPr>
        <w:spacing w:after="120"/>
        <w:ind w:left="1228"/>
      </w:pPr>
      <w:r w:rsidRPr="00AC41E0">
        <w:t>a</w:t>
      </w:r>
      <w:r w:rsidR="002A04FF" w:rsidRPr="00AC41E0">
        <w:t xml:space="preserve">ll components of the system </w:t>
      </w:r>
      <w:r w:rsidR="00314143" w:rsidRPr="00AC41E0">
        <w:t>need to</w:t>
      </w:r>
      <w:r w:rsidR="002A04FF" w:rsidRPr="00AC41E0">
        <w:t xml:space="preserve"> be able to easily support extensions, upgrades</w:t>
      </w:r>
      <w:r w:rsidR="002E1E65" w:rsidRPr="00AC41E0">
        <w:t>,</w:t>
      </w:r>
      <w:r w:rsidR="002A04FF" w:rsidRPr="00AC41E0">
        <w:t xml:space="preserve"> and inclusion of new modules as they are integrated</w:t>
      </w:r>
    </w:p>
    <w:p w14:paraId="69445637" w14:textId="4DE32F50" w:rsidR="002A04FF" w:rsidRPr="00AC41E0" w:rsidRDefault="00D22E07" w:rsidP="00D978A4">
      <w:pPr>
        <w:pStyle w:val="DCSbodytext"/>
        <w:numPr>
          <w:ilvl w:val="0"/>
          <w:numId w:val="50"/>
        </w:numPr>
        <w:spacing w:after="120"/>
        <w:ind w:left="1228"/>
      </w:pPr>
      <w:r w:rsidRPr="00AC41E0">
        <w:t>h</w:t>
      </w:r>
      <w:r w:rsidR="002A04FF" w:rsidRPr="00AC41E0">
        <w:t>ave gateway capabilities and support multiple interfaces to work with different protocols and operation modes. For example</w:t>
      </w:r>
      <w:r w:rsidRPr="00AC41E0">
        <w:t>,</w:t>
      </w:r>
      <w:r w:rsidR="002A04FF" w:rsidRPr="00AC41E0">
        <w:t xml:space="preserve"> the gateway c</w:t>
      </w:r>
      <w:r w:rsidR="00B270E1" w:rsidRPr="00AC41E0">
        <w:t>an</w:t>
      </w:r>
      <w:r w:rsidR="002A04FF" w:rsidRPr="00AC41E0">
        <w:t xml:space="preserve"> be running at the device layer so that the gateway capabilities from the system allow devices </w:t>
      </w:r>
      <w:r w:rsidR="00C51324" w:rsidRPr="00AC41E0">
        <w:t xml:space="preserve">to </w:t>
      </w:r>
      <w:r w:rsidR="002A04FF" w:rsidRPr="00AC41E0">
        <w:t>connect through different types of wired or wireless technologies</w:t>
      </w:r>
      <w:r w:rsidR="00613FB0" w:rsidRPr="00AC41E0">
        <w:t xml:space="preserve"> to the system</w:t>
      </w:r>
      <w:r w:rsidR="00B270E1" w:rsidRPr="00AC41E0">
        <w:t xml:space="preserve"> (</w:t>
      </w:r>
      <w:r w:rsidR="00B601BE" w:rsidRPr="00AC41E0">
        <w:t>i.e.</w:t>
      </w:r>
      <w:r w:rsidR="00B270E1" w:rsidRPr="00AC41E0">
        <w:t xml:space="preserve"> </w:t>
      </w:r>
      <w:r w:rsidR="002A04FF" w:rsidRPr="00AC41E0">
        <w:t>ZigBee, Bluetooth or Wi-Fi</w:t>
      </w:r>
      <w:r w:rsidR="00B270E1" w:rsidRPr="00AC41E0">
        <w:t>)</w:t>
      </w:r>
      <w:r w:rsidR="00C51324" w:rsidRPr="00AC41E0">
        <w:t>,</w:t>
      </w:r>
      <w:r w:rsidR="002A04FF" w:rsidRPr="00AC41E0">
        <w:t xml:space="preserve"> </w:t>
      </w:r>
      <w:r w:rsidR="00C51324" w:rsidRPr="00AC41E0">
        <w:t>o</w:t>
      </w:r>
      <w:r w:rsidR="002A04FF" w:rsidRPr="00AC41E0">
        <w:t>r at the network layer</w:t>
      </w:r>
      <w:r w:rsidR="002E1E65" w:rsidRPr="00AC41E0">
        <w:t>,</w:t>
      </w:r>
      <w:r w:rsidR="002A04FF" w:rsidRPr="00AC41E0">
        <w:t xml:space="preserve"> the system </w:t>
      </w:r>
      <w:r w:rsidR="002A04FF" w:rsidRPr="00AC41E0">
        <w:lastRenderedPageBreak/>
        <w:t>architecture will host the gateway and its capabilities connecting the devices using P2P or VPN protocols.</w:t>
      </w:r>
    </w:p>
    <w:p w14:paraId="7DAC70F1" w14:textId="77777777" w:rsidR="002A04FF" w:rsidRPr="00AC41E0" w:rsidRDefault="002A04FF" w:rsidP="00D4137E">
      <w:pPr>
        <w:pStyle w:val="Heading3"/>
        <w:ind w:left="868"/>
        <w:rPr>
          <w:rFonts w:ascii="Arial" w:hAnsi="Arial"/>
        </w:rPr>
      </w:pPr>
      <w:bookmarkStart w:id="1261" w:name="_Useful_International_Standards"/>
      <w:bookmarkStart w:id="1262" w:name="_The_importance_of"/>
      <w:bookmarkStart w:id="1263" w:name="_Toc13840689"/>
      <w:bookmarkStart w:id="1264" w:name="_Toc65760532"/>
      <w:bookmarkEnd w:id="1261"/>
      <w:bookmarkEnd w:id="1262"/>
      <w:r w:rsidRPr="00AC41E0">
        <w:rPr>
          <w:rFonts w:ascii="Arial" w:hAnsi="Arial"/>
        </w:rPr>
        <w:t>The importance of interoperability in IoT solutions</w:t>
      </w:r>
      <w:bookmarkEnd w:id="1263"/>
      <w:bookmarkEnd w:id="1264"/>
    </w:p>
    <w:p w14:paraId="5B75BC25" w14:textId="60BC3C38" w:rsidR="002A04FF" w:rsidRPr="00AC41E0" w:rsidRDefault="002A04FF" w:rsidP="00D4137E">
      <w:pPr>
        <w:pStyle w:val="Heading4"/>
        <w:tabs>
          <w:tab w:val="clear" w:pos="1588"/>
          <w:tab w:val="num" w:pos="1662"/>
        </w:tabs>
        <w:ind w:left="1662"/>
        <w:rPr>
          <w:rFonts w:ascii="Arial" w:hAnsi="Arial"/>
        </w:rPr>
      </w:pPr>
      <w:bookmarkStart w:id="1265" w:name="_What_is_interoperability?"/>
      <w:bookmarkStart w:id="1266" w:name="_Toc13840690"/>
      <w:bookmarkEnd w:id="1265"/>
      <w:r w:rsidRPr="00AC41E0">
        <w:rPr>
          <w:rFonts w:ascii="Arial" w:hAnsi="Arial"/>
        </w:rPr>
        <w:t>What is interoperability?</w:t>
      </w:r>
      <w:bookmarkEnd w:id="1266"/>
    </w:p>
    <w:p w14:paraId="4EBFB52D" w14:textId="1F9AE482" w:rsidR="002A04FF" w:rsidRPr="00AC41E0" w:rsidRDefault="002A04FF" w:rsidP="00D4137E">
      <w:pPr>
        <w:pStyle w:val="DCSbodytext"/>
        <w:ind w:left="868"/>
      </w:pPr>
      <w:r w:rsidRPr="00AC41E0">
        <w:t xml:space="preserve">Technical interoperability refers to the ability of different products or systems from different </w:t>
      </w:r>
      <w:r w:rsidR="000B19BB" w:rsidRPr="00AC41E0">
        <w:t xml:space="preserve">service providers </w:t>
      </w:r>
      <w:r w:rsidRPr="00AC41E0">
        <w:t>to exchange services between each other so that they can work together seamlessly, either in the present or in the future. It requires agreement between infrastructure, communication protocols</w:t>
      </w:r>
      <w:r w:rsidR="002E1E65" w:rsidRPr="00AC41E0">
        <w:t>,</w:t>
      </w:r>
      <w:r w:rsidRPr="00AC41E0">
        <w:t xml:space="preserve"> and technologies that may be very different from each other so that they can communicate with and across each other. </w:t>
      </w:r>
    </w:p>
    <w:p w14:paraId="2B96621B" w14:textId="5EEDB8AB" w:rsidR="002A04FF" w:rsidRPr="00AC41E0" w:rsidRDefault="002A04FF" w:rsidP="00D4137E">
      <w:pPr>
        <w:pStyle w:val="DCSbodytext"/>
        <w:ind w:left="868"/>
      </w:pPr>
      <w:r w:rsidRPr="00AC41E0">
        <w:t>To illustrate the concept very simply, lack of interoperability is evident in the inability to charge an Apple iPhone using a Samsung phone charger. If</w:t>
      </w:r>
      <w:r w:rsidR="00314143" w:rsidRPr="00AC41E0">
        <w:t xml:space="preserve"> the systems were interoperable</w:t>
      </w:r>
      <w:r w:rsidRPr="00AC41E0">
        <w:t xml:space="preserve"> you could charge your iPhone using any brand of </w:t>
      </w:r>
      <w:r w:rsidR="002E1E65" w:rsidRPr="00AC41E0">
        <w:t xml:space="preserve">a </w:t>
      </w:r>
      <w:r w:rsidRPr="00AC41E0">
        <w:t xml:space="preserve">phone charger. </w:t>
      </w:r>
    </w:p>
    <w:p w14:paraId="433E68B8" w14:textId="00A8D23D" w:rsidR="002A04FF" w:rsidRPr="00AC41E0" w:rsidRDefault="002A04FF" w:rsidP="00D4137E">
      <w:pPr>
        <w:pStyle w:val="DCSbodytext"/>
        <w:ind w:left="868"/>
      </w:pPr>
      <w:r w:rsidRPr="00AC41E0">
        <w:t xml:space="preserve">Interoperability extends beyond technical interoperability. There should also be agreement on the meaning of data so that applications for one system can easily share and understand data from other systems. Semantic interoperability involves communicating parties or devices having a shared meaning for the data they exchange, using shared data formats and encoding. This is important as incompatible and proprietary data formats create challenges to integrating systems, moving to different services or performing additional data analysis. </w:t>
      </w:r>
    </w:p>
    <w:p w14:paraId="4C443C8D" w14:textId="77777777" w:rsidR="002A04FF" w:rsidRPr="00AC41E0" w:rsidRDefault="002A04FF" w:rsidP="00D4137E">
      <w:pPr>
        <w:pStyle w:val="Heading4"/>
        <w:tabs>
          <w:tab w:val="clear" w:pos="1588"/>
          <w:tab w:val="num" w:pos="1662"/>
        </w:tabs>
        <w:ind w:left="1662"/>
        <w:rPr>
          <w:rFonts w:ascii="Arial" w:hAnsi="Arial"/>
        </w:rPr>
      </w:pPr>
      <w:r w:rsidRPr="00AC41E0">
        <w:rPr>
          <w:rFonts w:ascii="Arial" w:hAnsi="Arial"/>
        </w:rPr>
        <w:t>Benefits of interoperability</w:t>
      </w:r>
    </w:p>
    <w:p w14:paraId="70D3C1AA" w14:textId="77777777" w:rsidR="002A04FF" w:rsidRPr="00AC41E0" w:rsidRDefault="002A04FF" w:rsidP="009A41BE">
      <w:pPr>
        <w:pStyle w:val="DCSbodytext"/>
        <w:spacing w:after="120"/>
        <w:ind w:left="868"/>
      </w:pPr>
      <w:r w:rsidRPr="00AC41E0">
        <w:t>Interoperability of IoT solutions can deliver benefits to organisations such as:</w:t>
      </w:r>
    </w:p>
    <w:p w14:paraId="06B98BCD" w14:textId="481AB775" w:rsidR="002A04FF" w:rsidRPr="00AC41E0" w:rsidRDefault="002A04FF" w:rsidP="00D978A4">
      <w:pPr>
        <w:pStyle w:val="DCSbodytext"/>
        <w:numPr>
          <w:ilvl w:val="0"/>
          <w:numId w:val="54"/>
        </w:numPr>
        <w:spacing w:after="120"/>
        <w:ind w:left="1228"/>
      </w:pPr>
      <w:r w:rsidRPr="00AC41E0">
        <w:t>Operational suitability so that the IoT solution can service current or emerging requirements by easily integrating existing ‘static’ enterprise data with ‘real</w:t>
      </w:r>
      <w:r w:rsidR="00070D63" w:rsidRPr="00AC41E0">
        <w:t>-</w:t>
      </w:r>
      <w:r w:rsidRPr="00AC41E0">
        <w:t>time’ streaming data ingested from IoT devices</w:t>
      </w:r>
    </w:p>
    <w:p w14:paraId="1734E076" w14:textId="64685F77" w:rsidR="002A04FF" w:rsidRPr="00AC41E0" w:rsidRDefault="002A04FF" w:rsidP="00D978A4">
      <w:pPr>
        <w:pStyle w:val="DCSbodytext"/>
        <w:numPr>
          <w:ilvl w:val="0"/>
          <w:numId w:val="54"/>
        </w:numPr>
        <w:spacing w:after="120"/>
        <w:ind w:left="1228"/>
      </w:pPr>
      <w:r w:rsidRPr="00AC41E0">
        <w:t xml:space="preserve">Synergies from integration </w:t>
      </w:r>
      <w:r w:rsidR="00BD76A6" w:rsidRPr="00AC41E0">
        <w:t>such as</w:t>
      </w:r>
      <w:r w:rsidRPr="00AC41E0">
        <w:t xml:space="preserve"> leverage to develop new business processes and outcomes, </w:t>
      </w:r>
      <w:r w:rsidR="00BD76A6" w:rsidRPr="00AC41E0">
        <w:t xml:space="preserve">and </w:t>
      </w:r>
      <w:r w:rsidRPr="00AC41E0">
        <w:t xml:space="preserve">avoiding integration </w:t>
      </w:r>
      <w:r w:rsidR="00BD76A6" w:rsidRPr="00AC41E0">
        <w:t>issues</w:t>
      </w:r>
      <w:r w:rsidRPr="00AC41E0">
        <w:t xml:space="preserve"> </w:t>
      </w:r>
      <w:r w:rsidR="00CF016C" w:rsidRPr="00AC41E0">
        <w:t xml:space="preserve">with </w:t>
      </w:r>
      <w:r w:rsidRPr="00AC41E0">
        <w:t>legacy systems</w:t>
      </w:r>
    </w:p>
    <w:p w14:paraId="6293D00E" w14:textId="2924E977" w:rsidR="002A04FF" w:rsidRPr="00AC41E0" w:rsidRDefault="002A04FF" w:rsidP="00D978A4">
      <w:pPr>
        <w:pStyle w:val="DCSbodytext"/>
        <w:numPr>
          <w:ilvl w:val="0"/>
          <w:numId w:val="54"/>
        </w:numPr>
        <w:spacing w:after="120"/>
        <w:ind w:left="1228"/>
      </w:pPr>
      <w:r w:rsidRPr="00AC41E0">
        <w:t>Providing economies of scale</w:t>
      </w:r>
      <w:r w:rsidR="00B2039A" w:rsidRPr="00AC41E0">
        <w:t xml:space="preserve"> such as </w:t>
      </w:r>
      <w:r w:rsidRPr="00AC41E0">
        <w:t xml:space="preserve">lower </w:t>
      </w:r>
      <w:r w:rsidR="00F16FD2" w:rsidRPr="00AC41E0">
        <w:t>IT</w:t>
      </w:r>
      <w:r w:rsidRPr="00AC41E0">
        <w:t xml:space="preserve"> management and support overhead, by avoiding different proprietary systems with overlapping functions</w:t>
      </w:r>
    </w:p>
    <w:p w14:paraId="5BA183F9" w14:textId="4442D2E7" w:rsidR="002A04FF" w:rsidRPr="00AC41E0" w:rsidRDefault="002A04FF" w:rsidP="00D978A4">
      <w:pPr>
        <w:pStyle w:val="DCSbodytext"/>
        <w:numPr>
          <w:ilvl w:val="0"/>
          <w:numId w:val="54"/>
        </w:numPr>
        <w:spacing w:after="120"/>
        <w:ind w:left="1228"/>
      </w:pPr>
      <w:r w:rsidRPr="00AC41E0">
        <w:t xml:space="preserve">Avoiding vendor lock-in, enabling easier substitution of one </w:t>
      </w:r>
      <w:r w:rsidR="000B19BB" w:rsidRPr="00AC41E0">
        <w:t xml:space="preserve">IoT service provider </w:t>
      </w:r>
      <w:r w:rsidRPr="00AC41E0">
        <w:t xml:space="preserve">for another, ability to inexpensively swap components out for others and to add additional devices from other </w:t>
      </w:r>
      <w:r w:rsidR="000B19BB" w:rsidRPr="00AC41E0">
        <w:t>IoT service providers</w:t>
      </w:r>
    </w:p>
    <w:p w14:paraId="5E50CDF5" w14:textId="77777777" w:rsidR="002A04FF" w:rsidRPr="00AC41E0" w:rsidRDefault="002A04FF" w:rsidP="00D978A4">
      <w:pPr>
        <w:pStyle w:val="DCSbodytext"/>
        <w:numPr>
          <w:ilvl w:val="0"/>
          <w:numId w:val="54"/>
        </w:numPr>
        <w:spacing w:after="120"/>
        <w:ind w:left="1228"/>
      </w:pPr>
      <w:r w:rsidRPr="00AC41E0">
        <w:t>Maintainability of the device and software solution, and access to increased competitiveness around maintenance and expansion costs.</w:t>
      </w:r>
    </w:p>
    <w:p w14:paraId="5CFA1C6C" w14:textId="77777777" w:rsidR="002A04FF" w:rsidRPr="00AC41E0" w:rsidRDefault="002A04FF" w:rsidP="00D4137E">
      <w:pPr>
        <w:pStyle w:val="Heading4"/>
        <w:tabs>
          <w:tab w:val="clear" w:pos="1588"/>
          <w:tab w:val="num" w:pos="1662"/>
        </w:tabs>
        <w:ind w:left="1662"/>
        <w:rPr>
          <w:rFonts w:ascii="Arial" w:hAnsi="Arial"/>
        </w:rPr>
      </w:pPr>
      <w:r w:rsidRPr="00AC41E0">
        <w:rPr>
          <w:rFonts w:ascii="Arial" w:hAnsi="Arial"/>
        </w:rPr>
        <w:t>How to achieve interoperability</w:t>
      </w:r>
    </w:p>
    <w:p w14:paraId="53C9545A" w14:textId="143D1DE7" w:rsidR="002A04FF" w:rsidRPr="00AC41E0" w:rsidRDefault="002A04FF" w:rsidP="00D4137E">
      <w:pPr>
        <w:pStyle w:val="DCSbodytext"/>
        <w:ind w:left="868"/>
      </w:pPr>
      <w:r w:rsidRPr="00AC41E0">
        <w:t xml:space="preserve">Interoperability is complex as IoT supports </w:t>
      </w:r>
      <w:r w:rsidR="0032588B" w:rsidRPr="00AC41E0">
        <w:t>various</w:t>
      </w:r>
      <w:r w:rsidRPr="00AC41E0">
        <w:t xml:space="preserve"> applications across industries and disciplines. Many IoT solutions on the market are proprietary or largely in the </w:t>
      </w:r>
      <w:r w:rsidRPr="00AC41E0">
        <w:lastRenderedPageBreak/>
        <w:t xml:space="preserve">control of </w:t>
      </w:r>
      <w:r w:rsidR="0046042B" w:rsidRPr="00AC41E0">
        <w:t>IoT service providers</w:t>
      </w:r>
      <w:r w:rsidR="006A7E58" w:rsidRPr="00AC41E0">
        <w:t xml:space="preserve">, and </w:t>
      </w:r>
      <w:r w:rsidRPr="00AC41E0">
        <w:t xml:space="preserve">only support inputs from specific devices. This limits the scope of the solution and potentially leads to vendor lock-in. </w:t>
      </w:r>
      <w:r w:rsidR="00817E81" w:rsidRPr="00AC41E0">
        <w:t>If o</w:t>
      </w:r>
      <w:r w:rsidRPr="00AC41E0">
        <w:t xml:space="preserve">ne </w:t>
      </w:r>
      <w:r w:rsidR="0046042B" w:rsidRPr="00AC41E0">
        <w:t>IoT service provider</w:t>
      </w:r>
      <w:r w:rsidRPr="00AC41E0">
        <w:t xml:space="preserve"> cannot provide your end to end capability, you may need to eventually change over potentially thousands or more of closely tied devices. This is </w:t>
      </w:r>
      <w:r w:rsidR="002E1E65" w:rsidRPr="00AC41E0">
        <w:t>time-</w:t>
      </w:r>
      <w:r w:rsidRPr="00AC41E0">
        <w:t xml:space="preserve">consuming and extremely costly. </w:t>
      </w:r>
    </w:p>
    <w:p w14:paraId="6DB5DF1B" w14:textId="2ADEB684" w:rsidR="002A04FF" w:rsidRPr="00AC41E0" w:rsidRDefault="002A04FF" w:rsidP="00D4137E">
      <w:pPr>
        <w:pStyle w:val="DCSbodytext"/>
        <w:ind w:left="868"/>
      </w:pPr>
      <w:r w:rsidRPr="00AC41E0">
        <w:t xml:space="preserve">Full interoperability will not always be possible across products and services. However, you can make choices </w:t>
      </w:r>
      <w:r w:rsidR="002E1E65" w:rsidRPr="00AC41E0">
        <w:t xml:space="preserve">that </w:t>
      </w:r>
      <w:r w:rsidRPr="00AC41E0">
        <w:t xml:space="preserve">will give you a degree of confidence in the interoperability of your IoT solution to the extent it is possible in your circumstances. For example, you can choose IoT solutions </w:t>
      </w:r>
      <w:r w:rsidR="002E1E65" w:rsidRPr="00AC41E0">
        <w:t xml:space="preserve">that </w:t>
      </w:r>
      <w:r w:rsidRPr="00AC41E0">
        <w:t xml:space="preserve">adhere to standards or are </w:t>
      </w:r>
      <w:r w:rsidR="002E1E65" w:rsidRPr="00AC41E0">
        <w:t xml:space="preserve">an </w:t>
      </w:r>
      <w:r w:rsidRPr="00AC41E0">
        <w:t xml:space="preserve">open system, things which are fundamental to interoperability. Another option is that the </w:t>
      </w:r>
      <w:r w:rsidR="0046042B" w:rsidRPr="00AC41E0">
        <w:t>IoT service provider</w:t>
      </w:r>
      <w:r w:rsidRPr="00AC41E0">
        <w:t xml:space="preserve"> supports the provision of raw binary data and provides the binary mappings to convert to useable data. </w:t>
      </w:r>
    </w:p>
    <w:p w14:paraId="753CFA8D" w14:textId="70E3DB92" w:rsidR="002A04FF" w:rsidRPr="00AC41E0" w:rsidRDefault="002A04FF" w:rsidP="00D4137E">
      <w:pPr>
        <w:pStyle w:val="DCSbodytext"/>
        <w:ind w:left="868"/>
      </w:pPr>
      <w:r w:rsidRPr="00AC41E0">
        <w:t>Where full interoperability</w:t>
      </w:r>
      <w:r w:rsidR="007C4276" w:rsidRPr="00AC41E0">
        <w:t xml:space="preserve"> is not achievable</w:t>
      </w:r>
      <w:r w:rsidRPr="00AC41E0">
        <w:t xml:space="preserve">, you </w:t>
      </w:r>
      <w:r w:rsidR="00D02021" w:rsidRPr="00AC41E0">
        <w:t>need to</w:t>
      </w:r>
      <w:r w:rsidRPr="00AC41E0">
        <w:t xml:space="preserve"> ensure there is interoperability at the IoT Hub or Core at a minimum so that data can be exchanged and shared.</w:t>
      </w:r>
    </w:p>
    <w:p w14:paraId="3F64FB38" w14:textId="1A524ACA" w:rsidR="002A04FF" w:rsidRPr="00AC41E0" w:rsidRDefault="002A04FF" w:rsidP="00D4137E">
      <w:pPr>
        <w:pStyle w:val="Heading3"/>
        <w:ind w:left="868"/>
        <w:rPr>
          <w:rStyle w:val="Heading1Char"/>
          <w:rFonts w:ascii="Arial" w:hAnsi="Arial"/>
          <w:color w:val="000000"/>
          <w:sz w:val="24"/>
        </w:rPr>
      </w:pPr>
      <w:bookmarkStart w:id="1267" w:name="_Toc13840695"/>
      <w:bookmarkStart w:id="1268" w:name="_Toc65760533"/>
      <w:r w:rsidRPr="00AC41E0">
        <w:rPr>
          <w:rStyle w:val="Heading1Char"/>
          <w:rFonts w:ascii="Arial" w:hAnsi="Arial"/>
          <w:b/>
          <w:color w:val="000000"/>
          <w:sz w:val="24"/>
        </w:rPr>
        <w:t>‘What technology do I want or need?’</w:t>
      </w:r>
      <w:r w:rsidR="00BC333B" w:rsidRPr="00AC41E0">
        <w:rPr>
          <w:rStyle w:val="Heading1Char"/>
          <w:rFonts w:ascii="Arial" w:hAnsi="Arial"/>
          <w:b/>
          <w:color w:val="000000"/>
          <w:sz w:val="24"/>
        </w:rPr>
        <w:t xml:space="preserve"> – </w:t>
      </w:r>
      <w:r w:rsidRPr="00AC41E0">
        <w:rPr>
          <w:rStyle w:val="Heading1Char"/>
          <w:rFonts w:ascii="Arial" w:hAnsi="Arial"/>
          <w:b/>
          <w:color w:val="000000"/>
          <w:sz w:val="24"/>
        </w:rPr>
        <w:t>Things to consider</w:t>
      </w:r>
      <w:bookmarkEnd w:id="1267"/>
      <w:bookmarkEnd w:id="1268"/>
    </w:p>
    <w:p w14:paraId="0A9A0B11" w14:textId="77777777" w:rsidR="00A65F45" w:rsidRPr="00AC41E0" w:rsidRDefault="002A04FF" w:rsidP="00705A87">
      <w:pPr>
        <w:pStyle w:val="DCSbodytext"/>
        <w:ind w:left="868"/>
      </w:pPr>
      <w:r w:rsidRPr="00AC41E0">
        <w:t xml:space="preserve">The IoT market is incredibly diverse. Organisations have a wide selection of IoT solutions to choose from. It is not easy to achieve interoperability. </w:t>
      </w:r>
    </w:p>
    <w:p w14:paraId="077601FB" w14:textId="1B2C84B0" w:rsidR="00705A87" w:rsidRPr="00AC41E0" w:rsidRDefault="00A65F45" w:rsidP="00705A87">
      <w:pPr>
        <w:pStyle w:val="DCSbodytext"/>
        <w:ind w:left="868"/>
      </w:pPr>
      <w:r w:rsidRPr="00AC41E0">
        <w:t xml:space="preserve">The recommendations below can help you to </w:t>
      </w:r>
      <w:r w:rsidR="002A04FF" w:rsidRPr="00AC41E0">
        <w:t>increase the prospect of interoperability</w:t>
      </w:r>
      <w:r w:rsidR="00C951DF" w:rsidRPr="00AC41E0">
        <w:t xml:space="preserve">, </w:t>
      </w:r>
      <w:r w:rsidR="007B477B" w:rsidRPr="00AC41E0">
        <w:t>procure</w:t>
      </w:r>
      <w:r w:rsidR="00705A87" w:rsidRPr="00AC41E0">
        <w:t xml:space="preserve"> IoT solutions </w:t>
      </w:r>
      <w:r w:rsidR="00B601BE" w:rsidRPr="00AC41E0">
        <w:t>that meet</w:t>
      </w:r>
      <w:r w:rsidR="00705A87" w:rsidRPr="00AC41E0">
        <w:t xml:space="preserve"> your current needs</w:t>
      </w:r>
      <w:r w:rsidR="00C951DF" w:rsidRPr="00AC41E0">
        <w:t>,</w:t>
      </w:r>
      <w:r w:rsidR="008D609F" w:rsidRPr="00AC41E0">
        <w:t xml:space="preserve"> and </w:t>
      </w:r>
      <w:r w:rsidR="00705A87" w:rsidRPr="00AC41E0">
        <w:t>be ready for new technology and networks as they become available.</w:t>
      </w:r>
    </w:p>
    <w:p w14:paraId="200660E6" w14:textId="74012541" w:rsidR="002A04FF" w:rsidRPr="00AC41E0" w:rsidRDefault="009C2BB0" w:rsidP="00D4137E">
      <w:pPr>
        <w:pStyle w:val="DCSbodytext"/>
        <w:ind w:left="868"/>
      </w:pPr>
      <w:r w:rsidRPr="00AC41E0">
        <w:t xml:space="preserve">A handy checklist for IoT solutions </w:t>
      </w:r>
      <w:r w:rsidR="002E1E65" w:rsidRPr="00AC41E0">
        <w:t xml:space="preserve">that </w:t>
      </w:r>
      <w:r w:rsidRPr="00AC41E0">
        <w:t xml:space="preserve">summarises the recommendations in this </w:t>
      </w:r>
      <w:r w:rsidR="00CB102B" w:rsidRPr="00AC41E0">
        <w:t>chapter</w:t>
      </w:r>
      <w:r w:rsidRPr="00AC41E0">
        <w:t xml:space="preserve"> is </w:t>
      </w:r>
      <w:r w:rsidR="002E1E65" w:rsidRPr="00AC41E0">
        <w:t xml:space="preserve">in </w:t>
      </w:r>
      <w:hyperlink w:anchor="_Appendix_C_–" w:history="1">
        <w:r w:rsidRPr="00AC41E0">
          <w:rPr>
            <w:rStyle w:val="Hyperlink"/>
            <w:szCs w:val="22"/>
          </w:rPr>
          <w:t>Appendix C</w:t>
        </w:r>
      </w:hyperlink>
      <w:r w:rsidRPr="00E46FB0">
        <w:t>.</w:t>
      </w:r>
    </w:p>
    <w:p w14:paraId="1073B445" w14:textId="77777777" w:rsidR="002A04FF" w:rsidRPr="00AC41E0" w:rsidRDefault="002A04FF" w:rsidP="00D4137E">
      <w:pPr>
        <w:pStyle w:val="Heading4"/>
        <w:tabs>
          <w:tab w:val="clear" w:pos="1588"/>
          <w:tab w:val="num" w:pos="1662"/>
        </w:tabs>
        <w:ind w:left="1662"/>
        <w:rPr>
          <w:rFonts w:ascii="Arial" w:hAnsi="Arial"/>
        </w:rPr>
      </w:pPr>
      <w:bookmarkStart w:id="1269" w:name="_Toc13840696"/>
      <w:r w:rsidRPr="00AC41E0">
        <w:rPr>
          <w:rFonts w:ascii="Arial" w:hAnsi="Arial"/>
        </w:rPr>
        <w:t>Questions to determine if an IoT solution is fit for purpose</w:t>
      </w:r>
      <w:bookmarkEnd w:id="1269"/>
    </w:p>
    <w:p w14:paraId="41D7628E" w14:textId="6AFF303D" w:rsidR="002A04FF" w:rsidRPr="00AC41E0" w:rsidRDefault="002A04FF" w:rsidP="00D4137E">
      <w:pPr>
        <w:pStyle w:val="DCSbodytext"/>
        <w:ind w:left="868"/>
      </w:pPr>
      <w:r w:rsidRPr="00AC41E0">
        <w:t xml:space="preserve">The IoT Alliance Australia (IoTAA) has published an </w:t>
      </w:r>
      <w:hyperlink r:id="rId186" w:history="1">
        <w:r w:rsidRPr="00AC41E0">
          <w:rPr>
            <w:rStyle w:val="Hyperlink"/>
            <w:rFonts w:cstheme="minorHAnsi"/>
            <w:szCs w:val="22"/>
          </w:rPr>
          <w:t>Internet of Things Platform Selection Guideline</w:t>
        </w:r>
      </w:hyperlink>
      <w:r w:rsidRPr="00E46FB0">
        <w:t xml:space="preserve"> to assist with choosing IoT solutions. The Guideline emphasises the importance of solutions </w:t>
      </w:r>
      <w:r w:rsidR="002E1E65" w:rsidRPr="00AC41E0">
        <w:t xml:space="preserve">that </w:t>
      </w:r>
      <w:r w:rsidRPr="00AC41E0">
        <w:t>are fit for purpose. This requires knowing what you want the IoT technology to achieve and what data you want it to collect. It also means understanding the design constraints and core characteristics of prospective solutions.</w:t>
      </w:r>
    </w:p>
    <w:p w14:paraId="7EECB0DB" w14:textId="77777777" w:rsidR="002A04FF" w:rsidRPr="00AC41E0" w:rsidRDefault="002A04FF" w:rsidP="00D4137E">
      <w:pPr>
        <w:pStyle w:val="Heading4"/>
        <w:tabs>
          <w:tab w:val="clear" w:pos="1588"/>
          <w:tab w:val="num" w:pos="1662"/>
        </w:tabs>
        <w:ind w:left="1662"/>
        <w:rPr>
          <w:rFonts w:ascii="Arial" w:hAnsi="Arial"/>
        </w:rPr>
      </w:pPr>
      <w:r w:rsidRPr="00AC41E0">
        <w:rPr>
          <w:rFonts w:ascii="Arial" w:hAnsi="Arial"/>
        </w:rPr>
        <w:t>Principles of interoperability</w:t>
      </w:r>
    </w:p>
    <w:p w14:paraId="5949C881" w14:textId="5AEA774A" w:rsidR="002A04FF" w:rsidRPr="00AC41E0" w:rsidRDefault="002A04FF" w:rsidP="00D4137E">
      <w:pPr>
        <w:pStyle w:val="DCSbodytext"/>
        <w:ind w:left="868"/>
      </w:pPr>
      <w:r w:rsidRPr="00AC41E0">
        <w:t xml:space="preserve">As noted in the </w:t>
      </w:r>
      <w:hyperlink w:anchor="_The_importance_of" w:history="1">
        <w:r w:rsidRPr="00AC41E0">
          <w:rPr>
            <w:rStyle w:val="Hyperlink"/>
          </w:rPr>
          <w:t>interoperability</w:t>
        </w:r>
      </w:hyperlink>
      <w:r w:rsidRPr="00E46FB0">
        <w:t xml:space="preserve"> section, it will not always</w:t>
      </w:r>
      <w:r w:rsidRPr="00AC41E0">
        <w:t xml:space="preserve"> be possible to achieve full interoperability as IoT is highly heterogenous. Two key principles underpinning interoperability are standards and open systems. Choosing IoT solutions </w:t>
      </w:r>
      <w:r w:rsidR="002E1E65" w:rsidRPr="00AC41E0">
        <w:t xml:space="preserve">that </w:t>
      </w:r>
      <w:r w:rsidRPr="00AC41E0">
        <w:t xml:space="preserve">have these features gives you a better chance of achieving seamless integration of new additions with existing systems over time. </w:t>
      </w:r>
    </w:p>
    <w:p w14:paraId="7E9DDBF2" w14:textId="77777777" w:rsidR="002A04FF" w:rsidRPr="00AC41E0" w:rsidRDefault="002A04FF" w:rsidP="00D4137E">
      <w:pPr>
        <w:pStyle w:val="Heading4"/>
        <w:tabs>
          <w:tab w:val="clear" w:pos="1588"/>
          <w:tab w:val="num" w:pos="1662"/>
        </w:tabs>
        <w:ind w:left="1662"/>
        <w:rPr>
          <w:rFonts w:ascii="Arial" w:hAnsi="Arial"/>
        </w:rPr>
      </w:pPr>
      <w:bookmarkStart w:id="1270" w:name="_Requirements_and_standards"/>
      <w:bookmarkEnd w:id="1270"/>
      <w:r w:rsidRPr="00AC41E0">
        <w:rPr>
          <w:rFonts w:ascii="Arial" w:hAnsi="Arial"/>
        </w:rPr>
        <w:lastRenderedPageBreak/>
        <w:t>Requirements and standards</w:t>
      </w:r>
    </w:p>
    <w:p w14:paraId="7147BF40" w14:textId="429D83C5" w:rsidR="00457505" w:rsidRPr="00AC41E0" w:rsidRDefault="002A04FF" w:rsidP="00D4137E">
      <w:pPr>
        <w:pStyle w:val="DCSbodytext"/>
        <w:ind w:left="868"/>
      </w:pPr>
      <w:r w:rsidRPr="00AC41E0">
        <w:t>There are several equipment/device regulatory frameworks in Australia</w:t>
      </w:r>
      <w:r w:rsidR="000C256F" w:rsidRPr="00AC41E0">
        <w:t xml:space="preserve"> (i.e. </w:t>
      </w:r>
      <w:r w:rsidRPr="00AC41E0">
        <w:t>telecommunications and radiocommunications</w:t>
      </w:r>
      <w:r w:rsidR="000C256F" w:rsidRPr="00AC41E0">
        <w:t>)</w:t>
      </w:r>
      <w:r w:rsidRPr="00AC41E0">
        <w:t xml:space="preserve">. Though the frameworks and the standards which sit under them are not specific to IoT, they may apply to your IoT device depending on how the device operates. </w:t>
      </w:r>
    </w:p>
    <w:p w14:paraId="090BC003" w14:textId="7481FCD6" w:rsidR="002A04FF" w:rsidRPr="00AC41E0" w:rsidRDefault="002A04FF" w:rsidP="00D4137E">
      <w:pPr>
        <w:pStyle w:val="DCSbodytext"/>
        <w:ind w:left="868"/>
      </w:pPr>
      <w:r w:rsidRPr="00AC41E0">
        <w:t xml:space="preserve">You must ensure that the IoT solution or device you are proposing to install complies with any relevant regulatory requirements. Common regulatory requirements are listed in the following table </w:t>
      </w:r>
      <w:r w:rsidR="00D33D96" w:rsidRPr="00AC41E0">
        <w:t>(</w:t>
      </w:r>
      <w:r w:rsidRPr="00AC41E0">
        <w:t>this is not an exhaustive list</w:t>
      </w:r>
      <w:r w:rsidR="00D33D96" w:rsidRPr="00AC41E0">
        <w:t>)</w:t>
      </w:r>
      <w:r w:rsidRPr="00AC41E0">
        <w:t>.</w:t>
      </w:r>
    </w:p>
    <w:p w14:paraId="22D1F88D" w14:textId="77777777" w:rsidR="002A04FF" w:rsidRPr="00AC41E0" w:rsidRDefault="002A04FF" w:rsidP="00D4137E">
      <w:pPr>
        <w:pStyle w:val="DCSbodytext"/>
        <w:ind w:left="868"/>
        <w:jc w:val="center"/>
        <w:rPr>
          <w:b/>
        </w:rPr>
      </w:pPr>
      <w:r w:rsidRPr="00AC41E0">
        <w:rPr>
          <w:b/>
        </w:rPr>
        <w:t>Examples of device/equipment regulatory requirements</w:t>
      </w:r>
    </w:p>
    <w:tbl>
      <w:tblPr>
        <w:tblStyle w:val="GridTable4-Accent1"/>
        <w:tblW w:w="4560" w:type="pct"/>
        <w:tblInd w:w="988" w:type="dxa"/>
        <w:tblLayout w:type="fixed"/>
        <w:tblLook w:val="04A0" w:firstRow="1" w:lastRow="0" w:firstColumn="1" w:lastColumn="0" w:noHBand="0" w:noVBand="1"/>
      </w:tblPr>
      <w:tblGrid>
        <w:gridCol w:w="2409"/>
        <w:gridCol w:w="5814"/>
      </w:tblGrid>
      <w:tr w:rsidR="002A04FF" w:rsidRPr="00AC41E0" w14:paraId="6D76352B" w14:textId="77777777" w:rsidTr="00110C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shd w:val="clear" w:color="auto" w:fill="1F497D" w:themeFill="text2"/>
          </w:tcPr>
          <w:p w14:paraId="6C38FB4F" w14:textId="77777777" w:rsidR="002A04FF" w:rsidRPr="00AC41E0" w:rsidRDefault="002A04FF" w:rsidP="00C346B6">
            <w:pPr>
              <w:pStyle w:val="DCStableheading"/>
              <w:jc w:val="center"/>
              <w:rPr>
                <w:b/>
              </w:rPr>
            </w:pPr>
            <w:r w:rsidRPr="00AC41E0">
              <w:rPr>
                <w:b/>
              </w:rPr>
              <w:t>Regulatory requirements</w:t>
            </w:r>
          </w:p>
        </w:tc>
        <w:tc>
          <w:tcPr>
            <w:tcW w:w="0" w:type="pct"/>
            <w:tcBorders>
              <w:top w:val="single" w:sz="4" w:space="0" w:color="auto"/>
              <w:left w:val="single" w:sz="4" w:space="0" w:color="auto"/>
              <w:bottom w:val="single" w:sz="4" w:space="0" w:color="auto"/>
              <w:right w:val="single" w:sz="4" w:space="0" w:color="auto"/>
            </w:tcBorders>
            <w:shd w:val="clear" w:color="auto" w:fill="1F497D" w:themeFill="text2"/>
          </w:tcPr>
          <w:p w14:paraId="610DE77B" w14:textId="77777777" w:rsidR="002A04FF" w:rsidRPr="00AC41E0" w:rsidRDefault="002A04FF" w:rsidP="00C346B6">
            <w:pPr>
              <w:pStyle w:val="DCStableheading"/>
              <w:jc w:val="center"/>
              <w:cnfStyle w:val="100000000000" w:firstRow="1" w:lastRow="0" w:firstColumn="0" w:lastColumn="0" w:oddVBand="0" w:evenVBand="0" w:oddHBand="0" w:evenHBand="0" w:firstRowFirstColumn="0" w:firstRowLastColumn="0" w:lastRowFirstColumn="0" w:lastRowLastColumn="0"/>
              <w:rPr>
                <w:b/>
              </w:rPr>
            </w:pPr>
            <w:r w:rsidRPr="00AC41E0">
              <w:rPr>
                <w:b/>
              </w:rPr>
              <w:t>Link for more information</w:t>
            </w:r>
          </w:p>
        </w:tc>
      </w:tr>
      <w:tr w:rsidR="002A04FF" w:rsidRPr="00AC41E0" w14:paraId="59BDD1C0" w14:textId="77777777" w:rsidTr="00223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pct"/>
            <w:tcBorders>
              <w:top w:val="single" w:sz="4" w:space="0" w:color="auto"/>
            </w:tcBorders>
          </w:tcPr>
          <w:p w14:paraId="6AE2AA81" w14:textId="77777777" w:rsidR="002A04FF" w:rsidRPr="00E46FB0" w:rsidRDefault="00084371" w:rsidP="00C346B6">
            <w:pPr>
              <w:pStyle w:val="DCStablebodytext"/>
              <w:rPr>
                <w:rFonts w:cstheme="minorHAnsi"/>
              </w:rPr>
            </w:pPr>
            <w:hyperlink r:id="rId187" w:history="1">
              <w:r w:rsidR="002A04FF" w:rsidRPr="00AC41E0">
                <w:t>Radiocommunications standards</w:t>
              </w:r>
            </w:hyperlink>
          </w:p>
        </w:tc>
        <w:tc>
          <w:tcPr>
            <w:tcW w:w="3535" w:type="pct"/>
            <w:tcBorders>
              <w:top w:val="single" w:sz="4" w:space="0" w:color="auto"/>
            </w:tcBorders>
          </w:tcPr>
          <w:p w14:paraId="14B408AF" w14:textId="77777777" w:rsidR="002A04FF" w:rsidRPr="00E46FB0" w:rsidRDefault="00084371" w:rsidP="00C346B6">
            <w:pPr>
              <w:pStyle w:val="DCStablebodytext"/>
              <w:cnfStyle w:val="000000100000" w:firstRow="0" w:lastRow="0" w:firstColumn="0" w:lastColumn="0" w:oddVBand="0" w:evenVBand="0" w:oddHBand="1" w:evenHBand="0" w:firstRowFirstColumn="0" w:firstRowLastColumn="0" w:lastRowFirstColumn="0" w:lastRowLastColumn="0"/>
              <w:rPr>
                <w:rFonts w:cstheme="minorHAnsi"/>
              </w:rPr>
            </w:pPr>
            <w:hyperlink r:id="rId188" w:history="1">
              <w:r w:rsidR="002A04FF" w:rsidRPr="00AC41E0">
                <w:rPr>
                  <w:rStyle w:val="Hyperlink"/>
                </w:rPr>
                <w:t>Australian Communications and Media Authority (ACMA) - radiocommunications standards</w:t>
              </w:r>
            </w:hyperlink>
          </w:p>
        </w:tc>
      </w:tr>
      <w:tr w:rsidR="002A04FF" w:rsidRPr="00AC41E0" w14:paraId="09EDC3F0" w14:textId="77777777" w:rsidTr="0022369F">
        <w:tc>
          <w:tcPr>
            <w:cnfStyle w:val="001000000000" w:firstRow="0" w:lastRow="0" w:firstColumn="1" w:lastColumn="0" w:oddVBand="0" w:evenVBand="0" w:oddHBand="0" w:evenHBand="0" w:firstRowFirstColumn="0" w:firstRowLastColumn="0" w:lastRowFirstColumn="0" w:lastRowLastColumn="0"/>
            <w:tcW w:w="1465" w:type="pct"/>
          </w:tcPr>
          <w:p w14:paraId="6224AB15" w14:textId="77777777" w:rsidR="002A04FF" w:rsidRPr="00E46FB0" w:rsidRDefault="00084371" w:rsidP="00C346B6">
            <w:pPr>
              <w:pStyle w:val="DCStablebodytext"/>
              <w:rPr>
                <w:rFonts w:cstheme="minorHAnsi"/>
              </w:rPr>
            </w:pPr>
            <w:hyperlink r:id="rId189" w:history="1">
              <w:r w:rsidR="002A04FF" w:rsidRPr="00AC41E0">
                <w:t>Radiocommunications licences</w:t>
              </w:r>
            </w:hyperlink>
          </w:p>
        </w:tc>
        <w:tc>
          <w:tcPr>
            <w:tcW w:w="3535" w:type="pct"/>
          </w:tcPr>
          <w:p w14:paraId="33C439E5" w14:textId="77777777" w:rsidR="002A04FF" w:rsidRPr="00AC41E0" w:rsidRDefault="002A04FF" w:rsidP="00C346B6">
            <w:pPr>
              <w:pStyle w:val="DCStablebodytext"/>
              <w:cnfStyle w:val="000000000000" w:firstRow="0" w:lastRow="0" w:firstColumn="0" w:lastColumn="0" w:oddVBand="0" w:evenVBand="0" w:oddHBand="0" w:evenHBand="0" w:firstRowFirstColumn="0" w:firstRowLastColumn="0" w:lastRowFirstColumn="0" w:lastRowLastColumn="0"/>
              <w:rPr>
                <w:rFonts w:cstheme="minorHAnsi"/>
              </w:rPr>
            </w:pPr>
            <w:r w:rsidRPr="00AC41E0">
              <w:rPr>
                <w:rStyle w:val="Hyperlink"/>
              </w:rPr>
              <w:t xml:space="preserve">Australian Communications and Media Authority (ACMA) – </w:t>
            </w:r>
            <w:hyperlink r:id="rId190" w:anchor="loadedhttps://www.acma.gov.au/Industry/Spectrum/Radiocomms-licensing/Register-of-radiocommunications-licences/radiocommunications-licensing-overview" w:history="1">
              <w:r w:rsidRPr="00AC41E0">
                <w:rPr>
                  <w:rStyle w:val="Hyperlink"/>
                </w:rPr>
                <w:t>radiocommunications</w:t>
              </w:r>
            </w:hyperlink>
            <w:r w:rsidRPr="00E46FB0">
              <w:rPr>
                <w:rStyle w:val="Hyperlink"/>
              </w:rPr>
              <w:t xml:space="preserve"> licensing</w:t>
            </w:r>
          </w:p>
        </w:tc>
      </w:tr>
      <w:tr w:rsidR="002A04FF" w:rsidRPr="00AC41E0" w14:paraId="10A75FB9" w14:textId="77777777" w:rsidTr="00223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pct"/>
          </w:tcPr>
          <w:p w14:paraId="01827514" w14:textId="77777777" w:rsidR="002A04FF" w:rsidRPr="00E46FB0" w:rsidRDefault="00084371" w:rsidP="00C346B6">
            <w:pPr>
              <w:pStyle w:val="DCStablebodytext"/>
              <w:rPr>
                <w:rFonts w:cstheme="minorHAnsi"/>
              </w:rPr>
            </w:pPr>
            <w:hyperlink r:id="rId191" w:history="1">
              <w:r w:rsidR="002A04FF" w:rsidRPr="00AC41E0">
                <w:t>Telecommunications standards</w:t>
              </w:r>
            </w:hyperlink>
          </w:p>
        </w:tc>
        <w:tc>
          <w:tcPr>
            <w:tcW w:w="3535" w:type="pct"/>
          </w:tcPr>
          <w:p w14:paraId="04D23E29" w14:textId="77777777" w:rsidR="002A04FF" w:rsidRPr="00AC41E0" w:rsidRDefault="002A04FF" w:rsidP="00C346B6">
            <w:pPr>
              <w:pStyle w:val="DCStablebodytext"/>
              <w:cnfStyle w:val="000000100000" w:firstRow="0" w:lastRow="0" w:firstColumn="0" w:lastColumn="0" w:oddVBand="0" w:evenVBand="0" w:oddHBand="1" w:evenHBand="0" w:firstRowFirstColumn="0" w:firstRowLastColumn="0" w:lastRowFirstColumn="0" w:lastRowLastColumn="0"/>
              <w:rPr>
                <w:rFonts w:cstheme="minorHAnsi"/>
              </w:rPr>
            </w:pPr>
            <w:r w:rsidRPr="00AC41E0">
              <w:rPr>
                <w:rStyle w:val="Hyperlink"/>
              </w:rPr>
              <w:t xml:space="preserve">Australian Communications and Media Authority (ACMA)   – telecommunications </w:t>
            </w:r>
            <w:hyperlink r:id="rId192" w:history="1">
              <w:r w:rsidRPr="00AC41E0">
                <w:rPr>
                  <w:rStyle w:val="Hyperlink"/>
                </w:rPr>
                <w:t>standards</w:t>
              </w:r>
            </w:hyperlink>
            <w:r w:rsidRPr="00E46FB0">
              <w:rPr>
                <w:rStyle w:val="Hyperlink"/>
              </w:rPr>
              <w:t xml:space="preserve"> </w:t>
            </w:r>
          </w:p>
        </w:tc>
      </w:tr>
      <w:tr w:rsidR="002A04FF" w:rsidRPr="00AC41E0" w14:paraId="7B2B34B2" w14:textId="77777777" w:rsidTr="0022369F">
        <w:tc>
          <w:tcPr>
            <w:cnfStyle w:val="001000000000" w:firstRow="0" w:lastRow="0" w:firstColumn="1" w:lastColumn="0" w:oddVBand="0" w:evenVBand="0" w:oddHBand="0" w:evenHBand="0" w:firstRowFirstColumn="0" w:firstRowLastColumn="0" w:lastRowFirstColumn="0" w:lastRowLastColumn="0"/>
            <w:tcW w:w="1465" w:type="pct"/>
          </w:tcPr>
          <w:p w14:paraId="000FFD5B" w14:textId="77777777" w:rsidR="002A04FF" w:rsidRPr="00E46FB0" w:rsidRDefault="002A04FF" w:rsidP="00C346B6">
            <w:pPr>
              <w:pStyle w:val="DCStablebodytext"/>
            </w:pPr>
            <w:r w:rsidRPr="00AC41E0">
              <w:t>M</w:t>
            </w:r>
            <w:hyperlink r:id="rId193" w:history="1">
              <w:r w:rsidRPr="00AC41E0">
                <w:t>obile equipment air interface standards</w:t>
              </w:r>
            </w:hyperlink>
          </w:p>
        </w:tc>
        <w:tc>
          <w:tcPr>
            <w:tcW w:w="3535" w:type="pct"/>
          </w:tcPr>
          <w:p w14:paraId="007748A9" w14:textId="77777777" w:rsidR="002A04FF" w:rsidRPr="00E46FB0" w:rsidRDefault="00084371" w:rsidP="00C346B6">
            <w:pPr>
              <w:pStyle w:val="DCStablebodytext"/>
              <w:cnfStyle w:val="000000000000" w:firstRow="0" w:lastRow="0" w:firstColumn="0" w:lastColumn="0" w:oddVBand="0" w:evenVBand="0" w:oddHBand="0" w:evenHBand="0" w:firstRowFirstColumn="0" w:firstRowLastColumn="0" w:lastRowFirstColumn="0" w:lastRowLastColumn="0"/>
            </w:pPr>
            <w:hyperlink r:id="rId194" w:history="1">
              <w:r w:rsidR="002A04FF" w:rsidRPr="00AC41E0">
                <w:rPr>
                  <w:rStyle w:val="Hyperlink"/>
                </w:rPr>
                <w:t>Australian Communications and Media Authority (ACMA)  – Telecommunications (Mobile Equipment Air Interface) Technical Standard</w:t>
              </w:r>
            </w:hyperlink>
          </w:p>
        </w:tc>
      </w:tr>
      <w:tr w:rsidR="002A04FF" w:rsidRPr="00AC41E0" w14:paraId="71A705FE" w14:textId="77777777" w:rsidTr="00223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pct"/>
          </w:tcPr>
          <w:p w14:paraId="43917E49" w14:textId="77777777" w:rsidR="002A04FF" w:rsidRPr="00E46FB0" w:rsidRDefault="00084371" w:rsidP="00C346B6">
            <w:pPr>
              <w:pStyle w:val="DCStablebodytext"/>
              <w:rPr>
                <w:rFonts w:cstheme="minorHAnsi"/>
              </w:rPr>
            </w:pPr>
            <w:hyperlink r:id="rId195" w:history="1">
              <w:r w:rsidR="002A04FF" w:rsidRPr="00AC41E0">
                <w:t>Electrical safety</w:t>
              </w:r>
            </w:hyperlink>
          </w:p>
        </w:tc>
        <w:tc>
          <w:tcPr>
            <w:tcW w:w="3535" w:type="pct"/>
          </w:tcPr>
          <w:p w14:paraId="3FA680C6" w14:textId="77777777" w:rsidR="002A04FF" w:rsidRPr="00AC41E0" w:rsidRDefault="00084371" w:rsidP="00C346B6">
            <w:pPr>
              <w:pStyle w:val="DCStablebodytext"/>
              <w:cnfStyle w:val="000000100000" w:firstRow="0" w:lastRow="0" w:firstColumn="0" w:lastColumn="0" w:oddVBand="0" w:evenVBand="0" w:oddHBand="1" w:evenHBand="0" w:firstRowFirstColumn="0" w:firstRowLastColumn="0" w:lastRowFirstColumn="0" w:lastRowLastColumn="0"/>
              <w:rPr>
                <w:rFonts w:cstheme="minorHAnsi"/>
              </w:rPr>
            </w:pPr>
            <w:hyperlink r:id="rId196" w:history="1">
              <w:r w:rsidR="002A04FF" w:rsidRPr="00AC41E0">
                <w:rPr>
                  <w:rStyle w:val="Hyperlink"/>
                </w:rPr>
                <w:t>Electrical Regulatory Authorities Council</w:t>
              </w:r>
            </w:hyperlink>
            <w:r w:rsidR="002A04FF" w:rsidRPr="00E46FB0">
              <w:rPr>
                <w:rStyle w:val="Hyperlink"/>
              </w:rPr>
              <w:t xml:space="preserve"> </w:t>
            </w:r>
          </w:p>
        </w:tc>
      </w:tr>
    </w:tbl>
    <w:p w14:paraId="2F95BD5B" w14:textId="24E4BCD5" w:rsidR="00B351C5" w:rsidRPr="00AC41E0" w:rsidRDefault="002A04FF" w:rsidP="00063B27">
      <w:pPr>
        <w:pStyle w:val="DCSbodytext"/>
        <w:spacing w:before="240"/>
        <w:ind w:left="868"/>
      </w:pPr>
      <w:r w:rsidRPr="00AC41E0">
        <w:t xml:space="preserve">IoT systems </w:t>
      </w:r>
      <w:r w:rsidR="00D02021" w:rsidRPr="00AC41E0">
        <w:t>i</w:t>
      </w:r>
      <w:r w:rsidRPr="00AC41E0">
        <w:t>deally</w:t>
      </w:r>
      <w:r w:rsidR="00D02021" w:rsidRPr="00AC41E0">
        <w:t xml:space="preserve"> need to</w:t>
      </w:r>
      <w:r w:rsidRPr="00AC41E0">
        <w:t xml:space="preserve"> follow the same standards. However, as the IoT market is relatively immature and is </w:t>
      </w:r>
      <w:r w:rsidR="00441AEF" w:rsidRPr="00AC41E0">
        <w:t>everchanging</w:t>
      </w:r>
      <w:r w:rsidRPr="00AC41E0">
        <w:t xml:space="preserve">, IoT specific standards are still emerging. </w:t>
      </w:r>
      <w:r w:rsidR="000B19BB" w:rsidRPr="00AC41E0">
        <w:t xml:space="preserve">IoT service providers </w:t>
      </w:r>
      <w:r w:rsidRPr="00AC41E0">
        <w:t xml:space="preserve">and manufacturers can play a part in introducing standardisation to the IoT market by aiming to adhere to appropriate IoT international standards where available which can help promote higher uptake of IoT. </w:t>
      </w:r>
    </w:p>
    <w:p w14:paraId="5308C34C" w14:textId="40A5B175" w:rsidR="002A04FF" w:rsidRPr="00AC41E0" w:rsidRDefault="002A04FF" w:rsidP="00063B27">
      <w:pPr>
        <w:pStyle w:val="DCSbodytext"/>
        <w:spacing w:before="240"/>
        <w:ind w:left="868"/>
      </w:pPr>
      <w:r w:rsidRPr="00AC41E0">
        <w:t>Manufacturers can benefit from making products interoperable as buyers may be hesitant to buy IoT products and services if there is integration inflexibility, high ownership complexity, closed platforms or concerns over vendor lock-in.</w:t>
      </w:r>
    </w:p>
    <w:p w14:paraId="123910EE" w14:textId="4A164C0D" w:rsidR="002A04FF" w:rsidRPr="00AC41E0" w:rsidRDefault="00167D17" w:rsidP="00D4137E">
      <w:pPr>
        <w:pStyle w:val="DCSbodytext"/>
        <w:ind w:left="868"/>
        <w:rPr>
          <w:szCs w:val="22"/>
        </w:rPr>
      </w:pPr>
      <w:r w:rsidRPr="00AC41E0">
        <w:t xml:space="preserve">The below table lists several </w:t>
      </w:r>
      <w:r w:rsidR="002A04FF" w:rsidRPr="00AC41E0">
        <w:t>ISO international standards which are relevant to IoT architecture and interoperability</w:t>
      </w:r>
      <w:r w:rsidRPr="00AC41E0">
        <w:t>, though it is not</w:t>
      </w:r>
      <w:r w:rsidR="00221EC8" w:rsidRPr="00AC41E0">
        <w:t xml:space="preserve"> an</w:t>
      </w:r>
      <w:r w:rsidRPr="00AC41E0">
        <w:t xml:space="preserve"> exhaustive</w:t>
      </w:r>
      <w:r w:rsidR="00221EC8" w:rsidRPr="00AC41E0">
        <w:t xml:space="preserve"> list</w:t>
      </w:r>
      <w:r w:rsidR="002A04FF" w:rsidRPr="00AC41E0">
        <w:t xml:space="preserve">. </w:t>
      </w:r>
      <w:r w:rsidR="00221EC8" w:rsidRPr="00AC41E0">
        <w:t xml:space="preserve">These standards </w:t>
      </w:r>
      <w:r w:rsidR="002A04FF" w:rsidRPr="00AC41E0">
        <w:t>have not been adopted by Australia at this stage</w:t>
      </w:r>
      <w:r w:rsidR="00F71138" w:rsidRPr="00AC41E0">
        <w:t xml:space="preserve"> but, i</w:t>
      </w:r>
      <w:r w:rsidR="002A04FF" w:rsidRPr="00AC41E0">
        <w:t>n the interests of standardisation and interoperability within and across organisations, you may find it useful to use the standards.</w:t>
      </w:r>
      <w:r w:rsidR="002A04FF" w:rsidRPr="00AC41E0">
        <w:rPr>
          <w:szCs w:val="22"/>
        </w:rPr>
        <w:t xml:space="preserve"> </w:t>
      </w:r>
    </w:p>
    <w:p w14:paraId="6AAFF8CD" w14:textId="52DDDBF3" w:rsidR="00D55F6B" w:rsidRPr="00AC41E0" w:rsidRDefault="00D55F6B">
      <w:pPr>
        <w:rPr>
          <w:rStyle w:val="Hyperlink"/>
          <w:rFonts w:ascii="Arial" w:hAnsi="Arial"/>
          <w:b/>
          <w:color w:val="auto"/>
          <w:sz w:val="22"/>
          <w:szCs w:val="22"/>
          <w:u w:val="none"/>
          <w:lang w:eastAsia="en-US"/>
        </w:rPr>
      </w:pPr>
    </w:p>
    <w:p w14:paraId="0F730C8B" w14:textId="77777777" w:rsidR="00CB5A38" w:rsidRPr="00AC41E0" w:rsidRDefault="00CB5A38" w:rsidP="00CB5A38">
      <w:pPr>
        <w:jc w:val="center"/>
        <w:rPr>
          <w:rStyle w:val="Hyperlink"/>
          <w:b/>
          <w:color w:val="auto"/>
          <w:szCs w:val="22"/>
          <w:u w:val="none"/>
        </w:rPr>
        <w:sectPr w:rsidR="00CB5A38" w:rsidRPr="00AC41E0" w:rsidSect="002771AA">
          <w:headerReference w:type="even" r:id="rId197"/>
          <w:headerReference w:type="default" r:id="rId198"/>
          <w:headerReference w:type="first" r:id="rId199"/>
          <w:pgSz w:w="11906" w:h="16838"/>
          <w:pgMar w:top="1440" w:right="1440" w:bottom="1440" w:left="1440" w:header="708" w:footer="708" w:gutter="0"/>
          <w:cols w:space="708"/>
          <w:docGrid w:linePitch="360"/>
        </w:sectPr>
      </w:pPr>
    </w:p>
    <w:p w14:paraId="324B3787" w14:textId="7F6637AE" w:rsidR="002A04FF" w:rsidRPr="00AC41E0" w:rsidRDefault="002A04FF" w:rsidP="00CB5A38">
      <w:pPr>
        <w:jc w:val="center"/>
        <w:rPr>
          <w:rFonts w:ascii="Arial" w:hAnsi="Arial" w:cs="Arial"/>
          <w:b/>
          <w:sz w:val="22"/>
          <w:szCs w:val="22"/>
          <w:lang w:eastAsia="en-US"/>
        </w:rPr>
      </w:pPr>
      <w:r w:rsidRPr="00AC41E0">
        <w:rPr>
          <w:rStyle w:val="Hyperlink"/>
          <w:rFonts w:ascii="Arial" w:hAnsi="Arial" w:cs="Arial"/>
          <w:b/>
          <w:color w:val="auto"/>
          <w:szCs w:val="22"/>
          <w:u w:val="none"/>
        </w:rPr>
        <w:lastRenderedPageBreak/>
        <w:t>ISO i</w:t>
      </w:r>
      <w:r w:rsidRPr="00AC41E0">
        <w:rPr>
          <w:rFonts w:ascii="Arial" w:hAnsi="Arial" w:cs="Arial"/>
          <w:b/>
          <w:szCs w:val="22"/>
        </w:rPr>
        <w:t>nternational standards relevant to IoT</w:t>
      </w:r>
    </w:p>
    <w:tbl>
      <w:tblPr>
        <w:tblStyle w:val="GridTable4-Accent1"/>
        <w:tblW w:w="13892" w:type="dxa"/>
        <w:tblInd w:w="-5" w:type="dxa"/>
        <w:tblLook w:val="04A0" w:firstRow="1" w:lastRow="0" w:firstColumn="1" w:lastColumn="0" w:noHBand="0" w:noVBand="1"/>
      </w:tblPr>
      <w:tblGrid>
        <w:gridCol w:w="2977"/>
        <w:gridCol w:w="10915"/>
      </w:tblGrid>
      <w:tr w:rsidR="002A04FF" w:rsidRPr="00AC41E0" w14:paraId="5080BB3E" w14:textId="77777777" w:rsidTr="004F54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1F497D" w:themeFill="text2"/>
          </w:tcPr>
          <w:p w14:paraId="0A9E114F" w14:textId="77777777" w:rsidR="002A04FF" w:rsidRPr="00AC41E0" w:rsidRDefault="002A04FF" w:rsidP="00591105">
            <w:pPr>
              <w:pStyle w:val="DCSbodytext"/>
              <w:spacing w:after="120"/>
              <w:ind w:left="0"/>
              <w:jc w:val="center"/>
              <w:rPr>
                <w:szCs w:val="22"/>
              </w:rPr>
            </w:pPr>
            <w:r w:rsidRPr="00AC41E0">
              <w:rPr>
                <w:szCs w:val="22"/>
              </w:rPr>
              <w:t>IoT standards</w:t>
            </w:r>
          </w:p>
        </w:tc>
        <w:tc>
          <w:tcPr>
            <w:tcW w:w="10915" w:type="dxa"/>
            <w:tcBorders>
              <w:top w:val="single" w:sz="4" w:space="0" w:color="auto"/>
              <w:left w:val="single" w:sz="4" w:space="0" w:color="auto"/>
              <w:bottom w:val="single" w:sz="4" w:space="0" w:color="auto"/>
              <w:right w:val="single" w:sz="4" w:space="0" w:color="auto"/>
            </w:tcBorders>
            <w:shd w:val="clear" w:color="auto" w:fill="1F497D" w:themeFill="text2"/>
          </w:tcPr>
          <w:p w14:paraId="6D0AC050" w14:textId="77777777" w:rsidR="002A04FF" w:rsidRPr="00AC41E0" w:rsidRDefault="002A04FF" w:rsidP="00591105">
            <w:pPr>
              <w:pStyle w:val="DCSbodytext"/>
              <w:spacing w:after="120"/>
              <w:ind w:left="0"/>
              <w:jc w:val="center"/>
              <w:cnfStyle w:val="100000000000" w:firstRow="1" w:lastRow="0" w:firstColumn="0" w:lastColumn="0" w:oddVBand="0" w:evenVBand="0" w:oddHBand="0" w:evenHBand="0" w:firstRowFirstColumn="0" w:firstRowLastColumn="0" w:lastRowFirstColumn="0" w:lastRowLastColumn="0"/>
              <w:rPr>
                <w:szCs w:val="22"/>
              </w:rPr>
            </w:pPr>
            <w:r w:rsidRPr="00AC41E0">
              <w:rPr>
                <w:szCs w:val="22"/>
              </w:rPr>
              <w:t>Summary</w:t>
            </w:r>
          </w:p>
        </w:tc>
      </w:tr>
      <w:tr w:rsidR="002A04FF" w:rsidRPr="00AC41E0" w14:paraId="1D243812" w14:textId="77777777" w:rsidTr="004F5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tcBorders>
          </w:tcPr>
          <w:p w14:paraId="759C0EDD" w14:textId="77777777" w:rsidR="002A04FF" w:rsidRPr="00AC41E0" w:rsidRDefault="002A04FF" w:rsidP="00591105">
            <w:pPr>
              <w:pStyle w:val="DCStablebodytext"/>
              <w:spacing w:after="120"/>
            </w:pPr>
            <w:r w:rsidRPr="00AC41E0">
              <w:t>ISO/IEC 21823-1</w:t>
            </w:r>
          </w:p>
          <w:p w14:paraId="7EF33037" w14:textId="058C65BE" w:rsidR="002A04FF" w:rsidRPr="00AC41E0" w:rsidRDefault="002A04FF" w:rsidP="00591105">
            <w:pPr>
              <w:pStyle w:val="DCSbodytext"/>
              <w:spacing w:after="120"/>
              <w:ind w:left="0"/>
              <w:rPr>
                <w:szCs w:val="22"/>
              </w:rPr>
            </w:pPr>
            <w:r w:rsidRPr="00AC41E0">
              <w:t>Interoperability for IoT systems</w:t>
            </w:r>
            <w:r w:rsidR="006E0B93" w:rsidRPr="00AC41E0">
              <w:t xml:space="preserve"> Part 1</w:t>
            </w:r>
          </w:p>
        </w:tc>
        <w:tc>
          <w:tcPr>
            <w:tcW w:w="10915" w:type="dxa"/>
            <w:tcBorders>
              <w:top w:val="single" w:sz="4" w:space="0" w:color="auto"/>
            </w:tcBorders>
          </w:tcPr>
          <w:p w14:paraId="528D989A" w14:textId="77777777" w:rsidR="002A04FF" w:rsidRPr="00AC41E0" w:rsidRDefault="002A04FF" w:rsidP="00591105">
            <w:pPr>
              <w:pStyle w:val="DCSbodytext"/>
              <w:spacing w:after="120"/>
              <w:ind w:left="0"/>
              <w:cnfStyle w:val="000000100000" w:firstRow="0" w:lastRow="0" w:firstColumn="0" w:lastColumn="0" w:oddVBand="0" w:evenVBand="0" w:oddHBand="1" w:evenHBand="0" w:firstRowFirstColumn="0" w:firstRowLastColumn="0" w:lastRowFirstColumn="0" w:lastRowLastColumn="0"/>
              <w:rPr>
                <w:szCs w:val="22"/>
              </w:rPr>
            </w:pPr>
            <w:r w:rsidRPr="00AC41E0">
              <w:t>Provides an overview of interoperability as it applies to IoT systems and a framework for interoperability.</w:t>
            </w:r>
          </w:p>
        </w:tc>
      </w:tr>
      <w:tr w:rsidR="00DD2007" w:rsidRPr="00AC41E0" w14:paraId="0CE9BE0A" w14:textId="77777777" w:rsidTr="002D0389">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shd w:val="clear" w:color="auto" w:fill="FFFFFF" w:themeFill="background1"/>
          </w:tcPr>
          <w:p w14:paraId="2BF4192D" w14:textId="77777777" w:rsidR="00DD2007" w:rsidRPr="00AC41E0" w:rsidRDefault="00B57C43" w:rsidP="00591105">
            <w:pPr>
              <w:pStyle w:val="DCStablebodytext"/>
              <w:spacing w:after="120"/>
              <w:rPr>
                <w:bCs w:val="0"/>
              </w:rPr>
            </w:pPr>
            <w:r w:rsidRPr="00AC41E0">
              <w:t>IEC 21823-2:2020</w:t>
            </w:r>
          </w:p>
          <w:p w14:paraId="173537BA" w14:textId="2BB3421C" w:rsidR="00B57C43" w:rsidRPr="00AC41E0" w:rsidRDefault="006D1805" w:rsidP="00591105">
            <w:pPr>
              <w:pStyle w:val="DCStablebodytext"/>
              <w:spacing w:after="120"/>
            </w:pPr>
            <w:r w:rsidRPr="00AC41E0">
              <w:t>Interoperability for IoT systems - Part 2</w:t>
            </w:r>
          </w:p>
        </w:tc>
        <w:tc>
          <w:tcPr>
            <w:tcW w:w="0" w:type="dxa"/>
            <w:tcBorders>
              <w:top w:val="single" w:sz="4" w:space="0" w:color="auto"/>
            </w:tcBorders>
            <w:shd w:val="clear" w:color="auto" w:fill="FFFFFF" w:themeFill="background1"/>
          </w:tcPr>
          <w:p w14:paraId="0E1BC6DC" w14:textId="77777777" w:rsidR="00904265" w:rsidRPr="00AC41E0" w:rsidRDefault="00DC0441" w:rsidP="00591105">
            <w:pPr>
              <w:pStyle w:val="DCSbodytext"/>
              <w:spacing w:after="120"/>
              <w:ind w:left="0"/>
              <w:cnfStyle w:val="000000000000" w:firstRow="0" w:lastRow="0" w:firstColumn="0" w:lastColumn="0" w:oddVBand="0" w:evenVBand="0" w:oddHBand="0" w:evenHBand="0" w:firstRowFirstColumn="0" w:firstRowLastColumn="0" w:lastRowFirstColumn="0" w:lastRowLastColumn="0"/>
            </w:pPr>
            <w:r w:rsidRPr="00AC41E0">
              <w:t>Specifies a framework and requirements for transport interoperability to enable the construction of IoT systems with information exchange, peer-to-peer connectivity and seamless communication both between different IoT systems and also among entities within an IoT system. This document specifies:</w:t>
            </w:r>
            <w:r w:rsidR="00904265" w:rsidRPr="00AC41E0">
              <w:t xml:space="preserve"> </w:t>
            </w:r>
          </w:p>
          <w:p w14:paraId="4181D993" w14:textId="77777777" w:rsidR="00904265" w:rsidRPr="00AC41E0" w:rsidRDefault="00DC0441" w:rsidP="00904265">
            <w:pPr>
              <w:pStyle w:val="DCSbodytext"/>
              <w:numPr>
                <w:ilvl w:val="0"/>
                <w:numId w:val="218"/>
              </w:numPr>
              <w:spacing w:after="120"/>
              <w:cnfStyle w:val="000000000000" w:firstRow="0" w:lastRow="0" w:firstColumn="0" w:lastColumn="0" w:oddVBand="0" w:evenVBand="0" w:oddHBand="0" w:evenHBand="0" w:firstRowFirstColumn="0" w:firstRowLastColumn="0" w:lastRowFirstColumn="0" w:lastRowLastColumn="0"/>
            </w:pPr>
            <w:r w:rsidRPr="00AC41E0">
              <w:t>transport interoperability interfaces and requirements between IoT systems</w:t>
            </w:r>
          </w:p>
          <w:p w14:paraId="6FA7A173" w14:textId="78F74793" w:rsidR="00DD2007" w:rsidRPr="00AC41E0" w:rsidRDefault="00DC0441" w:rsidP="00904265">
            <w:pPr>
              <w:pStyle w:val="DCSbodytext"/>
              <w:numPr>
                <w:ilvl w:val="0"/>
                <w:numId w:val="218"/>
              </w:numPr>
              <w:spacing w:after="120"/>
              <w:cnfStyle w:val="000000000000" w:firstRow="0" w:lastRow="0" w:firstColumn="0" w:lastColumn="0" w:oddVBand="0" w:evenVBand="0" w:oddHBand="0" w:evenHBand="0" w:firstRowFirstColumn="0" w:firstRowLastColumn="0" w:lastRowFirstColumn="0" w:lastRowLastColumn="0"/>
            </w:pPr>
            <w:r w:rsidRPr="00AC41E0">
              <w:t>transport interoperability interfaces and requirements within an IoT system</w:t>
            </w:r>
            <w:r w:rsidR="00904265" w:rsidRPr="00AC41E0">
              <w:t xml:space="preserve">. </w:t>
            </w:r>
          </w:p>
        </w:tc>
      </w:tr>
      <w:tr w:rsidR="002A04FF" w:rsidRPr="00AC41E0" w14:paraId="5ACE7200" w14:textId="77777777" w:rsidTr="004F5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7B31749" w14:textId="50F4E974" w:rsidR="008B2810" w:rsidRPr="00AC41E0" w:rsidRDefault="009C0521" w:rsidP="00591105">
            <w:pPr>
              <w:pStyle w:val="DCSbodytext"/>
              <w:spacing w:after="120"/>
              <w:ind w:left="0"/>
              <w:rPr>
                <w:bCs w:val="0"/>
              </w:rPr>
            </w:pPr>
            <w:r w:rsidRPr="00AC41E0">
              <w:rPr>
                <w:rFonts w:eastAsiaTheme="minorEastAsia"/>
                <w:szCs w:val="22"/>
              </w:rPr>
              <w:t xml:space="preserve">ISO/IEC 21823.1:2020 </w:t>
            </w:r>
          </w:p>
          <w:p w14:paraId="1187C224" w14:textId="0242CCAF" w:rsidR="002A04FF" w:rsidRPr="00AC41E0" w:rsidRDefault="002A04FF" w:rsidP="00591105">
            <w:pPr>
              <w:pStyle w:val="DCSbodytext"/>
              <w:spacing w:after="120"/>
              <w:ind w:left="0"/>
              <w:rPr>
                <w:szCs w:val="22"/>
              </w:rPr>
            </w:pPr>
            <w:r w:rsidRPr="00AC41E0">
              <w:t>IoT Reference architecture</w:t>
            </w:r>
          </w:p>
        </w:tc>
        <w:tc>
          <w:tcPr>
            <w:tcW w:w="10915" w:type="dxa"/>
          </w:tcPr>
          <w:p w14:paraId="202F8A04" w14:textId="27086B2B" w:rsidR="002A04FF" w:rsidRPr="00AC41E0" w:rsidRDefault="002A04FF" w:rsidP="00591105">
            <w:pPr>
              <w:pStyle w:val="DCSbodytext"/>
              <w:spacing w:after="120"/>
              <w:ind w:left="0"/>
              <w:cnfStyle w:val="000000100000" w:firstRow="0" w:lastRow="0" w:firstColumn="0" w:lastColumn="0" w:oddVBand="0" w:evenVBand="0" w:oddHBand="1" w:evenHBand="0" w:firstRowFirstColumn="0" w:firstRowLastColumn="0" w:lastRowFirstColumn="0" w:lastRowLastColumn="0"/>
              <w:rPr>
                <w:szCs w:val="22"/>
              </w:rPr>
            </w:pPr>
            <w:r w:rsidRPr="00AC41E0">
              <w:t>Provides an internationally standardised IoT Reference Architecture using a common vocabulary, reusable designs</w:t>
            </w:r>
            <w:r w:rsidR="002E1E65" w:rsidRPr="00AC41E0">
              <w:t>,</w:t>
            </w:r>
            <w:r w:rsidRPr="00AC41E0">
              <w:t xml:space="preserve"> and industry best practice.</w:t>
            </w:r>
          </w:p>
        </w:tc>
      </w:tr>
      <w:tr w:rsidR="002A04FF" w:rsidRPr="00AC41E0" w14:paraId="00422E91" w14:textId="77777777" w:rsidTr="004F5470">
        <w:tc>
          <w:tcPr>
            <w:cnfStyle w:val="001000000000" w:firstRow="0" w:lastRow="0" w:firstColumn="1" w:lastColumn="0" w:oddVBand="0" w:evenVBand="0" w:oddHBand="0" w:evenHBand="0" w:firstRowFirstColumn="0" w:firstRowLastColumn="0" w:lastRowFirstColumn="0" w:lastRowLastColumn="0"/>
            <w:tcW w:w="2977" w:type="dxa"/>
          </w:tcPr>
          <w:p w14:paraId="3CF84CD5" w14:textId="77777777" w:rsidR="002A04FF" w:rsidRPr="00AC41E0" w:rsidRDefault="002A04FF" w:rsidP="00591105">
            <w:pPr>
              <w:pStyle w:val="DCSbodytext"/>
              <w:spacing w:after="120"/>
              <w:ind w:left="0"/>
              <w:rPr>
                <w:szCs w:val="22"/>
              </w:rPr>
            </w:pPr>
            <w:r w:rsidRPr="00AC41E0">
              <w:t>ISO/IEC 20924 IoT Vocabulary</w:t>
            </w:r>
          </w:p>
        </w:tc>
        <w:tc>
          <w:tcPr>
            <w:tcW w:w="10915" w:type="dxa"/>
          </w:tcPr>
          <w:p w14:paraId="1CA85143" w14:textId="77777777" w:rsidR="002A04FF" w:rsidRPr="00AC41E0" w:rsidRDefault="002A04FF" w:rsidP="00591105">
            <w:pPr>
              <w:pStyle w:val="DCSbodytext"/>
              <w:spacing w:after="120"/>
              <w:ind w:left="0"/>
              <w:cnfStyle w:val="000000000000" w:firstRow="0" w:lastRow="0" w:firstColumn="0" w:lastColumn="0" w:oddVBand="0" w:evenVBand="0" w:oddHBand="0" w:evenHBand="0" w:firstRowFirstColumn="0" w:firstRowLastColumn="0" w:lastRowFirstColumn="0" w:lastRowLastColumn="0"/>
              <w:rPr>
                <w:szCs w:val="22"/>
              </w:rPr>
            </w:pPr>
            <w:r w:rsidRPr="00AC41E0">
              <w:t>Provides a definition of IoT along with a set of terms and definitions forming a terminology foundation for IoT.</w:t>
            </w:r>
          </w:p>
        </w:tc>
      </w:tr>
      <w:tr w:rsidR="002A04FF" w:rsidRPr="00AC41E0" w14:paraId="44161231" w14:textId="77777777" w:rsidTr="004F5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7EFECC7" w14:textId="77777777" w:rsidR="00395424" w:rsidRPr="00AC41E0" w:rsidRDefault="002A04FF" w:rsidP="00591105">
            <w:pPr>
              <w:pStyle w:val="DCSbodytext"/>
              <w:spacing w:after="120"/>
              <w:ind w:left="0"/>
            </w:pPr>
            <w:r w:rsidRPr="00AC41E0">
              <w:t xml:space="preserve">ISO/IEC TR 22417 </w:t>
            </w:r>
          </w:p>
          <w:p w14:paraId="06011F23" w14:textId="005337DA" w:rsidR="002A04FF" w:rsidRPr="00AC41E0" w:rsidRDefault="00395424" w:rsidP="00591105">
            <w:pPr>
              <w:pStyle w:val="DCSbodytext"/>
              <w:spacing w:after="120"/>
              <w:ind w:left="0"/>
              <w:rPr>
                <w:szCs w:val="22"/>
              </w:rPr>
            </w:pPr>
            <w:r w:rsidRPr="00AC41E0">
              <w:t>IT</w:t>
            </w:r>
            <w:r w:rsidR="002A04FF" w:rsidRPr="00AC41E0">
              <w:t xml:space="preserve"> – IoT use cases</w:t>
            </w:r>
          </w:p>
        </w:tc>
        <w:tc>
          <w:tcPr>
            <w:tcW w:w="10915" w:type="dxa"/>
          </w:tcPr>
          <w:p w14:paraId="74142681" w14:textId="6FEF37B5" w:rsidR="002A04FF" w:rsidRPr="00AC41E0" w:rsidRDefault="002A04FF" w:rsidP="00591105">
            <w:pPr>
              <w:pStyle w:val="DCSbodytext"/>
              <w:spacing w:after="120"/>
              <w:ind w:left="0"/>
              <w:cnfStyle w:val="000000100000" w:firstRow="0" w:lastRow="0" w:firstColumn="0" w:lastColumn="0" w:oddVBand="0" w:evenVBand="0" w:oddHBand="1" w:evenHBand="0" w:firstRowFirstColumn="0" w:firstRowLastColumn="0" w:lastRowFirstColumn="0" w:lastRowLastColumn="0"/>
              <w:rPr>
                <w:szCs w:val="22"/>
              </w:rPr>
            </w:pPr>
            <w:r w:rsidRPr="00AC41E0">
              <w:t xml:space="preserve">Identifies IoT scenarios and use cases </w:t>
            </w:r>
            <w:r w:rsidR="002E1E65" w:rsidRPr="00AC41E0">
              <w:t xml:space="preserve">that </w:t>
            </w:r>
            <w:r w:rsidRPr="00AC41E0">
              <w:t xml:space="preserve">provide </w:t>
            </w:r>
            <w:r w:rsidR="002E1E65" w:rsidRPr="00AC41E0">
              <w:t xml:space="preserve">a </w:t>
            </w:r>
            <w:r w:rsidRPr="00AC41E0">
              <w:t>practical context for considerations on interoperability and standards based on user experience. Also</w:t>
            </w:r>
            <w:r w:rsidR="002E1E65" w:rsidRPr="00AC41E0">
              <w:t>,</w:t>
            </w:r>
            <w:r w:rsidRPr="00AC41E0">
              <w:t xml:space="preserve"> clarifies where existing standards can be applied and highlight</w:t>
            </w:r>
            <w:r w:rsidR="00765708" w:rsidRPr="00AC41E0">
              <w:t>s</w:t>
            </w:r>
            <w:r w:rsidRPr="00AC41E0">
              <w:t xml:space="preserve"> where standardisation work is needed.</w:t>
            </w:r>
          </w:p>
        </w:tc>
      </w:tr>
      <w:tr w:rsidR="002A04FF" w:rsidRPr="00AC41E0" w14:paraId="06117E4E" w14:textId="77777777" w:rsidTr="004F5470">
        <w:tc>
          <w:tcPr>
            <w:cnfStyle w:val="001000000000" w:firstRow="0" w:lastRow="0" w:firstColumn="1" w:lastColumn="0" w:oddVBand="0" w:evenVBand="0" w:oddHBand="0" w:evenHBand="0" w:firstRowFirstColumn="0" w:firstRowLastColumn="0" w:lastRowFirstColumn="0" w:lastRowLastColumn="0"/>
            <w:tcW w:w="2977" w:type="dxa"/>
          </w:tcPr>
          <w:p w14:paraId="2C78F35F" w14:textId="77777777" w:rsidR="00395424" w:rsidRPr="00AC41E0" w:rsidRDefault="002A04FF" w:rsidP="00591105">
            <w:pPr>
              <w:pStyle w:val="DCSbodytext"/>
              <w:spacing w:after="120"/>
              <w:ind w:left="0"/>
            </w:pPr>
            <w:r w:rsidRPr="00AC41E0">
              <w:t xml:space="preserve">ISO/IEC 19637 </w:t>
            </w:r>
          </w:p>
          <w:p w14:paraId="1DC4C815" w14:textId="4538BB5F" w:rsidR="002A04FF" w:rsidRPr="00AC41E0" w:rsidRDefault="002A04FF" w:rsidP="00591105">
            <w:pPr>
              <w:pStyle w:val="DCSbodytext"/>
              <w:spacing w:after="120"/>
              <w:ind w:left="0"/>
              <w:rPr>
                <w:szCs w:val="22"/>
              </w:rPr>
            </w:pPr>
            <w:r w:rsidRPr="00AC41E0">
              <w:t>Sensor network testing framework</w:t>
            </w:r>
          </w:p>
        </w:tc>
        <w:tc>
          <w:tcPr>
            <w:tcW w:w="10915" w:type="dxa"/>
          </w:tcPr>
          <w:p w14:paraId="213C7EC9" w14:textId="77777777" w:rsidR="002A04FF" w:rsidRPr="00AC41E0" w:rsidRDefault="002A04FF" w:rsidP="00591105">
            <w:pPr>
              <w:pStyle w:val="DCStablebodytext"/>
              <w:spacing w:after="120"/>
              <w:cnfStyle w:val="000000000000" w:firstRow="0" w:lastRow="0" w:firstColumn="0" w:lastColumn="0" w:oddVBand="0" w:evenVBand="0" w:oddHBand="0" w:evenHBand="0" w:firstRowFirstColumn="0" w:firstRowLastColumn="0" w:lastRowFirstColumn="0" w:lastRowLastColumn="0"/>
            </w:pPr>
            <w:r w:rsidRPr="00AC41E0">
              <w:t>Specifies:</w:t>
            </w:r>
          </w:p>
          <w:p w14:paraId="28D89E7E" w14:textId="77777777" w:rsidR="002A04FF" w:rsidRPr="00AC41E0" w:rsidRDefault="002A04FF" w:rsidP="0003467D">
            <w:pPr>
              <w:pStyle w:val="DCStablebodytext"/>
              <w:numPr>
                <w:ilvl w:val="0"/>
                <w:numId w:val="37"/>
              </w:numPr>
              <w:spacing w:after="120"/>
              <w:cnfStyle w:val="000000000000" w:firstRow="0" w:lastRow="0" w:firstColumn="0" w:lastColumn="0" w:oddVBand="0" w:evenVBand="0" w:oddHBand="0" w:evenHBand="0" w:firstRowFirstColumn="0" w:firstRowLastColumn="0" w:lastRowFirstColumn="0" w:lastRowLastColumn="0"/>
            </w:pPr>
            <w:r w:rsidRPr="00AC41E0">
              <w:t>testing framework for conformance test for heterogeneous sensor networks</w:t>
            </w:r>
          </w:p>
          <w:p w14:paraId="19450777" w14:textId="6F430354" w:rsidR="002A04FF" w:rsidRPr="00AC41E0" w:rsidRDefault="002A04FF" w:rsidP="0003467D">
            <w:pPr>
              <w:pStyle w:val="DCStablebodytext"/>
              <w:numPr>
                <w:ilvl w:val="0"/>
                <w:numId w:val="37"/>
              </w:numPr>
              <w:spacing w:after="120"/>
              <w:cnfStyle w:val="000000000000" w:firstRow="0" w:lastRow="0" w:firstColumn="0" w:lastColumn="0" w:oddVBand="0" w:evenVBand="0" w:oddHBand="0" w:evenHBand="0" w:firstRowFirstColumn="0" w:firstRowLastColumn="0" w:lastRowFirstColumn="0" w:lastRowLastColumn="0"/>
            </w:pPr>
            <w:r w:rsidRPr="00AC41E0">
              <w:t xml:space="preserve">generic services between test manager (TMR) and </w:t>
            </w:r>
            <w:r w:rsidR="002E1E65" w:rsidRPr="00AC41E0">
              <w:t xml:space="preserve">the </w:t>
            </w:r>
            <w:r w:rsidRPr="00AC41E0">
              <w:t>test agent (TA) in the testing framework, and</w:t>
            </w:r>
          </w:p>
          <w:p w14:paraId="083C22D8" w14:textId="78E3A061" w:rsidR="002A04FF" w:rsidRPr="00AC41E0" w:rsidRDefault="002A04FF" w:rsidP="0003467D">
            <w:pPr>
              <w:pStyle w:val="DCSbodytext"/>
              <w:numPr>
                <w:ilvl w:val="0"/>
                <w:numId w:val="37"/>
              </w:numPr>
              <w:spacing w:after="120"/>
              <w:cnfStyle w:val="000000000000" w:firstRow="0" w:lastRow="0" w:firstColumn="0" w:lastColumn="0" w:oddVBand="0" w:evenVBand="0" w:oddHBand="0" w:evenHBand="0" w:firstRowFirstColumn="0" w:firstRowLastColumn="0" w:lastRowFirstColumn="0" w:lastRowLastColumn="0"/>
              <w:rPr>
                <w:szCs w:val="22"/>
              </w:rPr>
            </w:pPr>
            <w:r w:rsidRPr="00AC41E0">
              <w:t xml:space="preserve">guidance for creating </w:t>
            </w:r>
            <w:r w:rsidR="002E1E65" w:rsidRPr="00AC41E0">
              <w:t xml:space="preserve">a </w:t>
            </w:r>
            <w:r w:rsidRPr="00AC41E0">
              <w:t>testing platform and enabling the test of different sensor network protocols.</w:t>
            </w:r>
          </w:p>
        </w:tc>
      </w:tr>
      <w:tr w:rsidR="002A04FF" w:rsidRPr="00AC41E0" w14:paraId="09582902" w14:textId="77777777" w:rsidTr="004F5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CFCA956" w14:textId="77777777" w:rsidR="00395424" w:rsidRPr="00AC41E0" w:rsidRDefault="002A04FF" w:rsidP="00591105">
            <w:pPr>
              <w:pStyle w:val="DCSbodytext"/>
              <w:spacing w:after="120"/>
              <w:ind w:left="0"/>
            </w:pPr>
            <w:r w:rsidRPr="00AC41E0">
              <w:t xml:space="preserve">ISO/IEC 20005 </w:t>
            </w:r>
          </w:p>
          <w:p w14:paraId="682734E6" w14:textId="6C575249" w:rsidR="002A04FF" w:rsidRPr="00AC41E0" w:rsidRDefault="002A04FF" w:rsidP="00591105">
            <w:pPr>
              <w:pStyle w:val="DCSbodytext"/>
              <w:spacing w:after="120"/>
              <w:ind w:left="0"/>
              <w:rPr>
                <w:szCs w:val="22"/>
              </w:rPr>
            </w:pPr>
            <w:r w:rsidRPr="00AC41E0">
              <w:lastRenderedPageBreak/>
              <w:t>Services and interfaces supporting collaborative information processing in intelligent sensor networks</w:t>
            </w:r>
          </w:p>
        </w:tc>
        <w:tc>
          <w:tcPr>
            <w:tcW w:w="10915" w:type="dxa"/>
          </w:tcPr>
          <w:p w14:paraId="43254F18" w14:textId="77777777" w:rsidR="002A04FF" w:rsidRPr="00AC41E0" w:rsidRDefault="002A04FF" w:rsidP="00591105">
            <w:pPr>
              <w:pStyle w:val="DCSbodytext"/>
              <w:spacing w:after="120"/>
              <w:ind w:left="0"/>
              <w:cnfStyle w:val="000000100000" w:firstRow="0" w:lastRow="0" w:firstColumn="0" w:lastColumn="0" w:oddVBand="0" w:evenVBand="0" w:oddHBand="1" w:evenHBand="0" w:firstRowFirstColumn="0" w:firstRowLastColumn="0" w:lastRowFirstColumn="0" w:lastRowLastColumn="0"/>
              <w:rPr>
                <w:szCs w:val="22"/>
              </w:rPr>
            </w:pPr>
            <w:r w:rsidRPr="00AC41E0">
              <w:lastRenderedPageBreak/>
              <w:t>Specifies services and interfaces supporting collaborative information processing (CIP) in intelligent sensor networks.</w:t>
            </w:r>
          </w:p>
        </w:tc>
      </w:tr>
      <w:tr w:rsidR="002A04FF" w:rsidRPr="00AC41E0" w14:paraId="22D118B9" w14:textId="77777777" w:rsidTr="004F5470">
        <w:tc>
          <w:tcPr>
            <w:cnfStyle w:val="001000000000" w:firstRow="0" w:lastRow="0" w:firstColumn="1" w:lastColumn="0" w:oddVBand="0" w:evenVBand="0" w:oddHBand="0" w:evenHBand="0" w:firstRowFirstColumn="0" w:firstRowLastColumn="0" w:lastRowFirstColumn="0" w:lastRowLastColumn="0"/>
            <w:tcW w:w="2977" w:type="dxa"/>
          </w:tcPr>
          <w:p w14:paraId="7B57A670" w14:textId="77777777" w:rsidR="00395424" w:rsidRPr="00AC41E0" w:rsidRDefault="002A04FF" w:rsidP="00591105">
            <w:pPr>
              <w:pStyle w:val="DCSbodytext"/>
              <w:spacing w:after="120"/>
              <w:ind w:left="0"/>
            </w:pPr>
            <w:r w:rsidRPr="00AC41E0">
              <w:t>ISO/IEC 29182 series</w:t>
            </w:r>
          </w:p>
          <w:p w14:paraId="1629EAAD" w14:textId="6C9903EE" w:rsidR="002A04FF" w:rsidRPr="00AC41E0" w:rsidRDefault="002A04FF" w:rsidP="00591105">
            <w:pPr>
              <w:pStyle w:val="DCSbodytext"/>
              <w:spacing w:after="120"/>
              <w:ind w:left="0"/>
              <w:rPr>
                <w:szCs w:val="22"/>
              </w:rPr>
            </w:pPr>
            <w:r w:rsidRPr="00AC41E0">
              <w:t>Sensor Network Reference Architecture (SNRA)</w:t>
            </w:r>
          </w:p>
        </w:tc>
        <w:tc>
          <w:tcPr>
            <w:tcW w:w="10915" w:type="dxa"/>
          </w:tcPr>
          <w:p w14:paraId="611CA41F" w14:textId="6C890BB2" w:rsidR="002A04FF" w:rsidRPr="00AC41E0" w:rsidRDefault="002A04FF" w:rsidP="00591105">
            <w:pPr>
              <w:pStyle w:val="DCSbodytext"/>
              <w:spacing w:after="120"/>
              <w:ind w:left="0"/>
              <w:cnfStyle w:val="000000000000" w:firstRow="0" w:lastRow="0" w:firstColumn="0" w:lastColumn="0" w:oddVBand="0" w:evenVBand="0" w:oddHBand="0" w:evenHBand="0" w:firstRowFirstColumn="0" w:firstRowLastColumn="0" w:lastRowFirstColumn="0" w:lastRowLastColumn="0"/>
              <w:rPr>
                <w:szCs w:val="22"/>
              </w:rPr>
            </w:pPr>
            <w:r w:rsidRPr="00AC41E0">
              <w:t>Provides guidance to facilitate the design and development of sensor networks, improve interoperability of sensor networks, and make sensor network components plug-and-play, so that it</w:t>
            </w:r>
            <w:r w:rsidR="00765708" w:rsidRPr="00AC41E0">
              <w:t xml:space="preserve"> is</w:t>
            </w:r>
            <w:r w:rsidRPr="00AC41E0">
              <w:t xml:space="preserve"> fairly easy to add/remove sensor nodes to/from an existing sensor network.</w:t>
            </w:r>
          </w:p>
        </w:tc>
      </w:tr>
      <w:tr w:rsidR="002A04FF" w:rsidRPr="00AC41E0" w14:paraId="48F86A51" w14:textId="77777777" w:rsidTr="004F5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72CCA3C" w14:textId="77777777" w:rsidR="00395424" w:rsidRPr="00AC41E0" w:rsidRDefault="002A04FF" w:rsidP="00591105">
            <w:pPr>
              <w:pStyle w:val="DCSbodytext"/>
              <w:spacing w:after="120"/>
              <w:ind w:left="0"/>
            </w:pPr>
            <w:r w:rsidRPr="00AC41E0">
              <w:t xml:space="preserve">ISO/IEC 30128 </w:t>
            </w:r>
          </w:p>
          <w:p w14:paraId="4AAE346B" w14:textId="4E9F7A89" w:rsidR="002A04FF" w:rsidRPr="00AC41E0" w:rsidRDefault="002A04FF" w:rsidP="00591105">
            <w:pPr>
              <w:pStyle w:val="DCSbodytext"/>
              <w:spacing w:after="120"/>
              <w:ind w:left="0"/>
            </w:pPr>
            <w:r w:rsidRPr="00AC41E0">
              <w:t>Generic Sensor Network Application Interface</w:t>
            </w:r>
          </w:p>
        </w:tc>
        <w:tc>
          <w:tcPr>
            <w:tcW w:w="10915" w:type="dxa"/>
          </w:tcPr>
          <w:p w14:paraId="181DC417" w14:textId="66A5AA07" w:rsidR="002A04FF" w:rsidRPr="00AC41E0" w:rsidRDefault="002A04FF" w:rsidP="00591105">
            <w:pPr>
              <w:pStyle w:val="DCSbodytext"/>
              <w:spacing w:after="120"/>
              <w:ind w:left="0"/>
              <w:cnfStyle w:val="000000100000" w:firstRow="0" w:lastRow="0" w:firstColumn="0" w:lastColumn="0" w:oddVBand="0" w:evenVBand="0" w:oddHBand="1" w:evenHBand="0" w:firstRowFirstColumn="0" w:firstRowLastColumn="0" w:lastRowFirstColumn="0" w:lastRowLastColumn="0"/>
            </w:pPr>
            <w:r w:rsidRPr="00AC41E0">
              <w:t>Specifies the interfaces between the application layers of service providers and sensor network gateways</w:t>
            </w:r>
            <w:r w:rsidR="007F2B72" w:rsidRPr="00AC41E0">
              <w:t xml:space="preserve"> </w:t>
            </w:r>
            <w:r w:rsidRPr="00AC41E0">
              <w:t>defined in ISO/IEC 29182</w:t>
            </w:r>
            <w:r w:rsidRPr="00AC41E0">
              <w:rPr>
                <w:rFonts w:ascii="Cambria Math" w:hAnsi="Cambria Math" w:cs="Cambria Math"/>
              </w:rPr>
              <w:t>‑</w:t>
            </w:r>
            <w:r w:rsidRPr="00AC41E0">
              <w:t>5.</w:t>
            </w:r>
          </w:p>
        </w:tc>
      </w:tr>
      <w:tr w:rsidR="00E90E9C" w:rsidRPr="00AC41E0" w14:paraId="4DD15275" w14:textId="77777777" w:rsidTr="004F5470">
        <w:tc>
          <w:tcPr>
            <w:cnfStyle w:val="001000000000" w:firstRow="0" w:lastRow="0" w:firstColumn="1" w:lastColumn="0" w:oddVBand="0" w:evenVBand="0" w:oddHBand="0" w:evenHBand="0" w:firstRowFirstColumn="0" w:firstRowLastColumn="0" w:lastRowFirstColumn="0" w:lastRowLastColumn="0"/>
            <w:tcW w:w="2977" w:type="dxa"/>
          </w:tcPr>
          <w:p w14:paraId="3382F94C" w14:textId="60EF89FB" w:rsidR="002D0E20" w:rsidRPr="00AC41E0" w:rsidRDefault="00377D33" w:rsidP="00591105">
            <w:pPr>
              <w:pStyle w:val="DCSbodytext"/>
              <w:spacing w:after="120"/>
              <w:ind w:left="0"/>
              <w:rPr>
                <w:bCs w:val="0"/>
              </w:rPr>
            </w:pPr>
            <w:r w:rsidRPr="00AC41E0">
              <w:rPr>
                <w:bCs w:val="0"/>
              </w:rPr>
              <w:t>ISO/IEC 30144:2020</w:t>
            </w:r>
          </w:p>
          <w:p w14:paraId="4DF8AE25" w14:textId="7DE77511" w:rsidR="00E90E9C" w:rsidRPr="00E46FB0" w:rsidRDefault="002D0E20" w:rsidP="00591105">
            <w:pPr>
              <w:pStyle w:val="DCSbodytext"/>
              <w:spacing w:after="120"/>
              <w:ind w:left="0"/>
            </w:pPr>
            <w:r w:rsidRPr="00AC41E0">
              <w:t>Internet of things (IoT) - Application of sensor network for wireless gas meters</w:t>
            </w:r>
          </w:p>
        </w:tc>
        <w:tc>
          <w:tcPr>
            <w:tcW w:w="10915" w:type="dxa"/>
          </w:tcPr>
          <w:p w14:paraId="583D96DC" w14:textId="3B95FD69" w:rsidR="00E90E9C" w:rsidRPr="00AC41E0" w:rsidRDefault="00757EC1" w:rsidP="00591105">
            <w:pPr>
              <w:pStyle w:val="DCSbodytext"/>
              <w:spacing w:after="120"/>
              <w:ind w:left="0"/>
              <w:cnfStyle w:val="000000000000" w:firstRow="0" w:lastRow="0" w:firstColumn="0" w:lastColumn="0" w:oddVBand="0" w:evenVBand="0" w:oddHBand="0" w:evenHBand="0" w:firstRowFirstColumn="0" w:firstRowLastColumn="0" w:lastRowFirstColumn="0" w:lastRowLastColumn="0"/>
            </w:pPr>
            <w:r w:rsidRPr="00AC41E0">
              <w:t>Specifies intelligent wireless sensor network (iWSN) from the perspectives of iWSN's system infrastructure and communications internal and external to the infrastructure, and technical requirements for iWSN to realize smart electrical power substations.</w:t>
            </w:r>
          </w:p>
        </w:tc>
      </w:tr>
      <w:tr w:rsidR="002A04FF" w:rsidRPr="00AC41E0" w14:paraId="25595172" w14:textId="77777777" w:rsidTr="004F5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6D54406" w14:textId="77777777" w:rsidR="00395424" w:rsidRPr="00AC41E0" w:rsidRDefault="002A04FF" w:rsidP="00591105">
            <w:pPr>
              <w:pStyle w:val="DCSbodytext"/>
              <w:spacing w:after="120"/>
              <w:ind w:left="0"/>
            </w:pPr>
            <w:r w:rsidRPr="00AC41E0">
              <w:t xml:space="preserve">ISO/IEC 30101 </w:t>
            </w:r>
          </w:p>
          <w:p w14:paraId="7D137598" w14:textId="4F8C949C" w:rsidR="002A04FF" w:rsidRPr="00AC41E0" w:rsidRDefault="002A04FF" w:rsidP="00591105">
            <w:pPr>
              <w:pStyle w:val="DCSbodytext"/>
              <w:spacing w:after="120"/>
              <w:ind w:left="0"/>
            </w:pPr>
            <w:r w:rsidRPr="00AC41E0">
              <w:t xml:space="preserve">Sensor network and its interfaces for </w:t>
            </w:r>
            <w:r w:rsidR="002E1E65" w:rsidRPr="00AC41E0">
              <w:t xml:space="preserve">a </w:t>
            </w:r>
            <w:r w:rsidRPr="00AC41E0">
              <w:t>smart grid system</w:t>
            </w:r>
          </w:p>
        </w:tc>
        <w:tc>
          <w:tcPr>
            <w:tcW w:w="10915" w:type="dxa"/>
          </w:tcPr>
          <w:p w14:paraId="6E93560E" w14:textId="77777777" w:rsidR="002A04FF" w:rsidRPr="00AC41E0" w:rsidRDefault="002A04FF" w:rsidP="00591105">
            <w:pPr>
              <w:pStyle w:val="DCSbodytext"/>
              <w:spacing w:after="120"/>
              <w:ind w:left="0"/>
              <w:cnfStyle w:val="000000100000" w:firstRow="0" w:lastRow="0" w:firstColumn="0" w:lastColumn="0" w:oddVBand="0" w:evenVBand="0" w:oddHBand="1" w:evenHBand="0" w:firstRowFirstColumn="0" w:firstRowLastColumn="0" w:lastRowFirstColumn="0" w:lastRowLastColumn="0"/>
            </w:pPr>
            <w:r w:rsidRPr="00AC41E0">
              <w:t>Characterises the requirements for sensor networks to support smart grid technologies for power generation, distribution, networks, energy storage, load efficiency, control and communications, and associated environmental challenges.</w:t>
            </w:r>
          </w:p>
        </w:tc>
      </w:tr>
      <w:tr w:rsidR="002A04FF" w:rsidRPr="00AC41E0" w14:paraId="3421BA1F" w14:textId="77777777" w:rsidTr="004F5470">
        <w:tc>
          <w:tcPr>
            <w:cnfStyle w:val="001000000000" w:firstRow="0" w:lastRow="0" w:firstColumn="1" w:lastColumn="0" w:oddVBand="0" w:evenVBand="0" w:oddHBand="0" w:evenHBand="0" w:firstRowFirstColumn="0" w:firstRowLastColumn="0" w:lastRowFirstColumn="0" w:lastRowLastColumn="0"/>
            <w:tcW w:w="2977" w:type="dxa"/>
          </w:tcPr>
          <w:p w14:paraId="6E964DB7" w14:textId="77777777" w:rsidR="002A04FF" w:rsidRPr="00AC41E0" w:rsidRDefault="002A04FF" w:rsidP="00591105">
            <w:pPr>
              <w:pStyle w:val="DCSbodytext"/>
              <w:spacing w:after="120"/>
              <w:ind w:left="0"/>
            </w:pPr>
            <w:r w:rsidRPr="00AC41E0">
              <w:t>ISO/IEC 30140 series Underwater acoustic sensor network (UWASN)</w:t>
            </w:r>
          </w:p>
        </w:tc>
        <w:tc>
          <w:tcPr>
            <w:tcW w:w="10915" w:type="dxa"/>
          </w:tcPr>
          <w:p w14:paraId="17305461" w14:textId="77777777" w:rsidR="002A04FF" w:rsidRPr="00AC41E0" w:rsidRDefault="002A04FF" w:rsidP="00591105">
            <w:pPr>
              <w:pStyle w:val="DCSbodytext"/>
              <w:spacing w:after="120"/>
              <w:ind w:left="0"/>
              <w:cnfStyle w:val="000000000000" w:firstRow="0" w:lastRow="0" w:firstColumn="0" w:lastColumn="0" w:oddVBand="0" w:evenVBand="0" w:oddHBand="0" w:evenHBand="0" w:firstRowFirstColumn="0" w:firstRowLastColumn="0" w:lastRowFirstColumn="0" w:lastRowLastColumn="0"/>
            </w:pPr>
            <w:r w:rsidRPr="00AC41E0">
              <w:t>Provides general requirements, reference architecture and high-level interface guidelines supporting interoperability among UWASNs.</w:t>
            </w:r>
          </w:p>
        </w:tc>
      </w:tr>
      <w:tr w:rsidR="007475C3" w:rsidRPr="00AC41E0" w14:paraId="62544738" w14:textId="77777777" w:rsidTr="004F5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DB4706B" w14:textId="4DD782F6" w:rsidR="00D7414F" w:rsidRPr="00AC41E0" w:rsidRDefault="00D7414F" w:rsidP="00591105">
            <w:pPr>
              <w:pStyle w:val="DCSbodytext"/>
              <w:spacing w:after="120"/>
              <w:ind w:left="0"/>
              <w:rPr>
                <w:bCs w:val="0"/>
              </w:rPr>
            </w:pPr>
            <w:r w:rsidRPr="00AC41E0">
              <w:rPr>
                <w:bCs w:val="0"/>
              </w:rPr>
              <w:lastRenderedPageBreak/>
              <w:t>ISO/IEC 30144:2020</w:t>
            </w:r>
          </w:p>
          <w:p w14:paraId="4DD088F6" w14:textId="2339DBDD" w:rsidR="007475C3" w:rsidRPr="00AC41E0" w:rsidRDefault="00612B00" w:rsidP="00591105">
            <w:pPr>
              <w:pStyle w:val="DCSbodytext"/>
              <w:spacing w:after="120"/>
              <w:ind w:left="0"/>
            </w:pPr>
            <w:r w:rsidRPr="00AC41E0">
              <w:t>Internet of things (IoT) - Wireless sensor network system supporting electrical power substation</w:t>
            </w:r>
          </w:p>
        </w:tc>
        <w:tc>
          <w:tcPr>
            <w:tcW w:w="10915" w:type="dxa"/>
          </w:tcPr>
          <w:p w14:paraId="54231E75" w14:textId="217398CF" w:rsidR="007475C3" w:rsidRPr="00AC41E0" w:rsidRDefault="000A4125" w:rsidP="00591105">
            <w:pPr>
              <w:pStyle w:val="DCSbodytext"/>
              <w:spacing w:after="120"/>
              <w:ind w:left="0"/>
              <w:cnfStyle w:val="000000100000" w:firstRow="0" w:lastRow="0" w:firstColumn="0" w:lastColumn="0" w:oddVBand="0" w:evenVBand="0" w:oddHBand="1" w:evenHBand="0" w:firstRowFirstColumn="0" w:firstRowLastColumn="0" w:lastRowFirstColumn="0" w:lastRowLastColumn="0"/>
            </w:pPr>
            <w:r w:rsidRPr="00AC41E0">
              <w:t>ISO/IEC 30144:2020 (E) specifies intelligent wireless sensor network (iWSN) from the perspectives of iWSN's system infrastructure and communications internal and external to the infrastructure, and technical requirements for iWSN to realize smart electrical power substations.</w:t>
            </w:r>
          </w:p>
        </w:tc>
      </w:tr>
      <w:tr w:rsidR="00E9215D" w:rsidRPr="00AC41E0" w14:paraId="6D6093B2" w14:textId="77777777" w:rsidTr="004F5470">
        <w:tc>
          <w:tcPr>
            <w:cnfStyle w:val="001000000000" w:firstRow="0" w:lastRow="0" w:firstColumn="1" w:lastColumn="0" w:oddVBand="0" w:evenVBand="0" w:oddHBand="0" w:evenHBand="0" w:firstRowFirstColumn="0" w:firstRowLastColumn="0" w:lastRowFirstColumn="0" w:lastRowLastColumn="0"/>
            <w:tcW w:w="2977" w:type="dxa"/>
          </w:tcPr>
          <w:p w14:paraId="5B4D62EA" w14:textId="77777777" w:rsidR="00F35FC9" w:rsidRPr="00AC41E0" w:rsidRDefault="00576017" w:rsidP="00591105">
            <w:pPr>
              <w:pStyle w:val="DCSbodytext"/>
              <w:spacing w:after="120"/>
              <w:ind w:left="0"/>
              <w:rPr>
                <w:bCs w:val="0"/>
              </w:rPr>
            </w:pPr>
            <w:r w:rsidRPr="00AC41E0">
              <w:t>ISO/IEC 30143:202</w:t>
            </w:r>
          </w:p>
          <w:p w14:paraId="374E1F2E" w14:textId="5541E079" w:rsidR="00E9215D" w:rsidRPr="00AC41E0" w:rsidRDefault="00F35FC9" w:rsidP="00591105">
            <w:pPr>
              <w:pStyle w:val="DCSbodytext"/>
              <w:spacing w:after="120"/>
              <w:ind w:left="0"/>
              <w:rPr>
                <w:bCs w:val="0"/>
              </w:rPr>
            </w:pPr>
            <w:r w:rsidRPr="00AC41E0">
              <w:t>Internet of Things (IoT) - Underwater acoustic sensor network (UWASN) - Application profiles</w:t>
            </w:r>
            <w:r w:rsidR="00576017" w:rsidRPr="00AC41E0">
              <w:t>0</w:t>
            </w:r>
          </w:p>
          <w:p w14:paraId="4A91F1C8" w14:textId="179E8482" w:rsidR="00576017" w:rsidRPr="00AC41E0" w:rsidRDefault="00576017" w:rsidP="00591105">
            <w:pPr>
              <w:pStyle w:val="DCSbodytext"/>
              <w:spacing w:after="120"/>
              <w:ind w:left="0"/>
            </w:pPr>
          </w:p>
        </w:tc>
        <w:tc>
          <w:tcPr>
            <w:tcW w:w="10915" w:type="dxa"/>
          </w:tcPr>
          <w:p w14:paraId="5BF5523B" w14:textId="07FB6792" w:rsidR="00E9215D" w:rsidRPr="00AC41E0" w:rsidRDefault="00762F02" w:rsidP="00591105">
            <w:pPr>
              <w:pStyle w:val="DCSbodytext"/>
              <w:spacing w:after="120"/>
              <w:ind w:left="0"/>
              <w:cnfStyle w:val="000000000000" w:firstRow="0" w:lastRow="0" w:firstColumn="0" w:lastColumn="0" w:oddVBand="0" w:evenVBand="0" w:oddHBand="0" w:evenHBand="0" w:firstRowFirstColumn="0" w:firstRowLastColumn="0" w:lastRowFirstColumn="0" w:lastRowLastColumn="0"/>
            </w:pPr>
            <w:r w:rsidRPr="00AC41E0">
              <w:t>ISO/IEC 30143:2020 provides the guidelines for designing and developing new applications in the underwater environment such as fish farming, environment monitoring, harbour security, etc. This document also provides the components required for developing the application; provides instructions for modelling the application with examples; helps the user to understand the communication between the elements in the application for modelling the communication between elements; guides the user with the design process of underwater applications.</w:t>
            </w:r>
          </w:p>
        </w:tc>
      </w:tr>
      <w:tr w:rsidR="0098784F" w:rsidRPr="00AC41E0" w14:paraId="048E1F26" w14:textId="77777777" w:rsidTr="004F5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978B657" w14:textId="77777777" w:rsidR="0098784F" w:rsidRPr="00AC41E0" w:rsidRDefault="00297CA1" w:rsidP="00591105">
            <w:pPr>
              <w:pStyle w:val="DCSbodytext"/>
              <w:spacing w:after="120"/>
              <w:ind w:left="0"/>
              <w:rPr>
                <w:bCs w:val="0"/>
              </w:rPr>
            </w:pPr>
            <w:r w:rsidRPr="00AC41E0">
              <w:t>ISO/IEC TR 22560:2017</w:t>
            </w:r>
          </w:p>
          <w:p w14:paraId="222B8CEA" w14:textId="5E1B7A54" w:rsidR="00297CA1" w:rsidRPr="00AC41E0" w:rsidRDefault="006D5F25" w:rsidP="00591105">
            <w:pPr>
              <w:pStyle w:val="DCSbodytext"/>
              <w:spacing w:after="120"/>
              <w:ind w:left="0"/>
            </w:pPr>
            <w:r w:rsidRPr="00AC41E0">
              <w:t>Information technology - Sensor network</w:t>
            </w:r>
          </w:p>
        </w:tc>
        <w:tc>
          <w:tcPr>
            <w:tcW w:w="10915" w:type="dxa"/>
          </w:tcPr>
          <w:p w14:paraId="7BC9B769" w14:textId="524369A4" w:rsidR="0098784F" w:rsidRPr="00AC41E0" w:rsidRDefault="00E9215D" w:rsidP="00591105">
            <w:pPr>
              <w:pStyle w:val="DCSbodytext"/>
              <w:spacing w:after="120"/>
              <w:ind w:left="0"/>
              <w:cnfStyle w:val="000000100000" w:firstRow="0" w:lastRow="0" w:firstColumn="0" w:lastColumn="0" w:oddVBand="0" w:evenVBand="0" w:oddHBand="1" w:evenHBand="0" w:firstRowFirstColumn="0" w:firstRowLastColumn="0" w:lastRowFirstColumn="0" w:lastRowLastColumn="0"/>
            </w:pPr>
            <w:r w:rsidRPr="00AC41E0">
              <w:t>This Technical Report describes the concepts, issues, objectives, and requirements for the design of an active air-flow control (AFC) system for commercial aircraft based on a dense deployment of wired and wireless sensor and actuator networks. It focuses on the architecture design, module definition, statement of objectives, scalability analysis, system-level simulation, as well as networking and implementation issues using standardized interfaces and service-oriented middleware architectures.</w:t>
            </w:r>
          </w:p>
        </w:tc>
      </w:tr>
      <w:tr w:rsidR="008A7841" w:rsidRPr="00AC41E0" w14:paraId="74E7EEF4" w14:textId="77777777" w:rsidTr="004F5470">
        <w:tc>
          <w:tcPr>
            <w:cnfStyle w:val="001000000000" w:firstRow="0" w:lastRow="0" w:firstColumn="1" w:lastColumn="0" w:oddVBand="0" w:evenVBand="0" w:oddHBand="0" w:evenHBand="0" w:firstRowFirstColumn="0" w:firstRowLastColumn="0" w:lastRowFirstColumn="0" w:lastRowLastColumn="0"/>
            <w:tcW w:w="2977" w:type="dxa"/>
          </w:tcPr>
          <w:p w14:paraId="0778CDCB" w14:textId="77777777" w:rsidR="008A7841" w:rsidRPr="00AC41E0" w:rsidRDefault="00A0181C" w:rsidP="00591105">
            <w:pPr>
              <w:pStyle w:val="DCSbodytext"/>
              <w:spacing w:after="120"/>
              <w:ind w:left="0"/>
              <w:rPr>
                <w:bCs w:val="0"/>
              </w:rPr>
            </w:pPr>
            <w:r w:rsidRPr="00AC41E0">
              <w:t>ISO/IEC TR 30166:2020</w:t>
            </w:r>
          </w:p>
          <w:p w14:paraId="4BC4D93E" w14:textId="5D43AC7B" w:rsidR="00A0181C" w:rsidRPr="00AC41E0" w:rsidRDefault="003A549A" w:rsidP="00591105">
            <w:pPr>
              <w:pStyle w:val="DCSbodytext"/>
              <w:spacing w:after="120"/>
              <w:ind w:left="0"/>
            </w:pPr>
            <w:r w:rsidRPr="00AC41E0">
              <w:t>Internet of Things (IoT) - Industrial IoT</w:t>
            </w:r>
          </w:p>
        </w:tc>
        <w:tc>
          <w:tcPr>
            <w:tcW w:w="10915" w:type="dxa"/>
          </w:tcPr>
          <w:p w14:paraId="7ECFC420" w14:textId="77777777" w:rsidR="00360DBC" w:rsidRPr="00AC41E0" w:rsidRDefault="00C129A0" w:rsidP="00591105">
            <w:pPr>
              <w:pStyle w:val="DCSbodytext"/>
              <w:spacing w:after="120"/>
              <w:ind w:left="0"/>
              <w:cnfStyle w:val="000000000000" w:firstRow="0" w:lastRow="0" w:firstColumn="0" w:lastColumn="0" w:oddVBand="0" w:evenVBand="0" w:oddHBand="0" w:evenHBand="0" w:firstRowFirstColumn="0" w:firstRowLastColumn="0" w:lastRowFirstColumn="0" w:lastRowLastColumn="0"/>
            </w:pPr>
            <w:r w:rsidRPr="00AC41E0">
              <w:t>Describes the following:</w:t>
            </w:r>
          </w:p>
          <w:p w14:paraId="387FFCE0" w14:textId="77777777" w:rsidR="00360DBC" w:rsidRPr="00AC41E0" w:rsidRDefault="00C129A0" w:rsidP="00360DBC">
            <w:pPr>
              <w:pStyle w:val="DCSbodytext"/>
              <w:numPr>
                <w:ilvl w:val="0"/>
                <w:numId w:val="219"/>
              </w:numPr>
              <w:spacing w:after="120"/>
              <w:cnfStyle w:val="000000000000" w:firstRow="0" w:lastRow="0" w:firstColumn="0" w:lastColumn="0" w:oddVBand="0" w:evenVBand="0" w:oddHBand="0" w:evenHBand="0" w:firstRowFirstColumn="0" w:firstRowLastColumn="0" w:lastRowFirstColumn="0" w:lastRowLastColumn="0"/>
            </w:pPr>
            <w:r w:rsidRPr="00AC41E0">
              <w:t>general Industrial IoT (IIoT) systems and landscapes which outline characteristics, technical aspects and functional as well as non-functional elements of the IIoT structure and a listing of standardizing organisations, consortia and open-source communities with work on all aspects on IIoT</w:t>
            </w:r>
          </w:p>
          <w:p w14:paraId="59CEFDB5" w14:textId="2114E682" w:rsidR="008A7841" w:rsidRPr="00AC41E0" w:rsidRDefault="00C129A0" w:rsidP="00360DBC">
            <w:pPr>
              <w:pStyle w:val="DCSbodytext"/>
              <w:numPr>
                <w:ilvl w:val="0"/>
                <w:numId w:val="219"/>
              </w:numPr>
              <w:spacing w:after="120"/>
              <w:cnfStyle w:val="000000000000" w:firstRow="0" w:lastRow="0" w:firstColumn="0" w:lastColumn="0" w:oddVBand="0" w:evenVBand="0" w:oddHBand="0" w:evenHBand="0" w:firstRowFirstColumn="0" w:firstRowLastColumn="0" w:lastRowFirstColumn="0" w:lastRowLastColumn="0"/>
            </w:pPr>
            <w:r w:rsidRPr="00AC41E0">
              <w:t>considerations for the future standardization perspective of IIoT including risk analysis, new technologies and identified collaboration</w:t>
            </w:r>
          </w:p>
        </w:tc>
      </w:tr>
      <w:tr w:rsidR="00840AB0" w:rsidRPr="00AC41E0" w14:paraId="72E1C639" w14:textId="77777777" w:rsidTr="004F5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6F09FC5" w14:textId="77777777" w:rsidR="00840AB0" w:rsidRPr="00AC41E0" w:rsidRDefault="00E51E59" w:rsidP="00591105">
            <w:pPr>
              <w:pStyle w:val="DCSbodytext"/>
              <w:spacing w:after="120"/>
              <w:ind w:left="0"/>
              <w:rPr>
                <w:bCs w:val="0"/>
              </w:rPr>
            </w:pPr>
            <w:r w:rsidRPr="00AC41E0">
              <w:t>ISO/IEC TR 30164:2020</w:t>
            </w:r>
          </w:p>
          <w:p w14:paraId="60D0F744" w14:textId="389265E2" w:rsidR="00E51E59" w:rsidRPr="00AC41E0" w:rsidRDefault="00DB0CE1" w:rsidP="00591105">
            <w:pPr>
              <w:pStyle w:val="DCSbodytext"/>
              <w:spacing w:after="120"/>
              <w:ind w:left="0"/>
            </w:pPr>
            <w:r w:rsidRPr="00AC41E0">
              <w:lastRenderedPageBreak/>
              <w:t>Internet of Things (IoT) - Edge computing</w:t>
            </w:r>
            <w:r w:rsidR="008A7841" w:rsidRPr="00AC41E0">
              <w:t xml:space="preserve"> </w:t>
            </w:r>
          </w:p>
        </w:tc>
        <w:tc>
          <w:tcPr>
            <w:tcW w:w="10915" w:type="dxa"/>
          </w:tcPr>
          <w:p w14:paraId="4BAACF5B" w14:textId="14FC92A4" w:rsidR="00840AB0" w:rsidRPr="00AC41E0" w:rsidRDefault="008A7841" w:rsidP="00591105">
            <w:pPr>
              <w:pStyle w:val="DCSbodytext"/>
              <w:spacing w:after="120"/>
              <w:ind w:left="0"/>
              <w:cnfStyle w:val="000000100000" w:firstRow="0" w:lastRow="0" w:firstColumn="0" w:lastColumn="0" w:oddVBand="0" w:evenVBand="0" w:oddHBand="1" w:evenHBand="0" w:firstRowFirstColumn="0" w:firstRowLastColumn="0" w:lastRowFirstColumn="0" w:lastRowLastColumn="0"/>
            </w:pPr>
            <w:r w:rsidRPr="00AC41E0">
              <w:lastRenderedPageBreak/>
              <w:t xml:space="preserve">Describes the common concepts, terminologies, characteristics, use cases and technologies (including data management, coordination, processing, network functionality, heterogeneous computing, security, </w:t>
            </w:r>
            <w:r w:rsidRPr="00AC41E0">
              <w:lastRenderedPageBreak/>
              <w:t>hardware/software optimization) of edge computing for IoT systems applications. This document is also meant to assist in the identification of potential areas for standardization in edge computing for IoT.</w:t>
            </w:r>
          </w:p>
        </w:tc>
      </w:tr>
    </w:tbl>
    <w:p w14:paraId="7A5D8A90" w14:textId="77777777" w:rsidR="00C213A7" w:rsidRPr="00AC41E0" w:rsidRDefault="00C213A7" w:rsidP="00D4137E">
      <w:pPr>
        <w:pStyle w:val="Heading4"/>
        <w:tabs>
          <w:tab w:val="clear" w:pos="1588"/>
          <w:tab w:val="num" w:pos="1662"/>
        </w:tabs>
        <w:ind w:left="1662"/>
        <w:rPr>
          <w:rFonts w:ascii="Arial" w:hAnsi="Arial"/>
        </w:rPr>
        <w:sectPr w:rsidR="00C213A7" w:rsidRPr="00AC41E0" w:rsidSect="00C213A7">
          <w:pgSz w:w="16838" w:h="11906" w:orient="landscape"/>
          <w:pgMar w:top="1440" w:right="1440" w:bottom="1440" w:left="1440" w:header="708" w:footer="708" w:gutter="0"/>
          <w:cols w:space="708"/>
          <w:docGrid w:linePitch="360"/>
        </w:sectPr>
      </w:pPr>
    </w:p>
    <w:p w14:paraId="22F0912E" w14:textId="1D1CF130" w:rsidR="002A04FF" w:rsidRPr="00AC41E0" w:rsidRDefault="002A04FF" w:rsidP="00D4137E">
      <w:pPr>
        <w:pStyle w:val="Heading4"/>
        <w:tabs>
          <w:tab w:val="clear" w:pos="1588"/>
          <w:tab w:val="num" w:pos="1662"/>
        </w:tabs>
        <w:ind w:left="1662"/>
        <w:rPr>
          <w:rFonts w:ascii="Arial" w:hAnsi="Arial"/>
        </w:rPr>
      </w:pPr>
      <w:r w:rsidRPr="00AC41E0">
        <w:rPr>
          <w:rFonts w:ascii="Arial" w:hAnsi="Arial"/>
        </w:rPr>
        <w:lastRenderedPageBreak/>
        <w:t>Open systems</w:t>
      </w:r>
    </w:p>
    <w:p w14:paraId="01FE6556" w14:textId="55BE147F" w:rsidR="002A04FF" w:rsidRPr="00AC41E0" w:rsidRDefault="002A04FF" w:rsidP="00D4137E">
      <w:pPr>
        <w:pStyle w:val="DCSbodytext"/>
        <w:ind w:left="868"/>
      </w:pPr>
      <w:r w:rsidRPr="00AC41E0">
        <w:t>Open systems are fundamental for interoperability. They are systems which can be used by different stakeholders or interfaces between components rather than locked in components via proprietary or obscured interfaces.</w:t>
      </w:r>
    </w:p>
    <w:p w14:paraId="4BB50A63" w14:textId="78252A78" w:rsidR="00980848" w:rsidRPr="00AC41E0" w:rsidRDefault="00980848" w:rsidP="00D4137E">
      <w:pPr>
        <w:pStyle w:val="DCSbodytext"/>
        <w:ind w:left="868"/>
      </w:pPr>
      <w:r w:rsidRPr="00AC41E0">
        <w:t xml:space="preserve">You </w:t>
      </w:r>
      <w:r w:rsidR="00F43697" w:rsidRPr="00AC41E0">
        <w:t>need to</w:t>
      </w:r>
      <w:r w:rsidR="002A04FF" w:rsidRPr="00AC41E0">
        <w:t xml:space="preserve"> choose open technology </w:t>
      </w:r>
      <w:r w:rsidRPr="00AC41E0">
        <w:t>and/</w:t>
      </w:r>
      <w:r w:rsidR="002A04FF" w:rsidRPr="00AC41E0">
        <w:t xml:space="preserve">or </w:t>
      </w:r>
      <w:r w:rsidR="002E1E65" w:rsidRPr="00AC41E0">
        <w:t>vendor-</w:t>
      </w:r>
      <w:r w:rsidR="002A04FF" w:rsidRPr="00AC41E0">
        <w:t xml:space="preserve">agnostic platforms </w:t>
      </w:r>
      <w:r w:rsidRPr="00AC41E0">
        <w:t xml:space="preserve">where available </w:t>
      </w:r>
      <w:r w:rsidR="002A04FF" w:rsidRPr="00AC41E0">
        <w:t xml:space="preserve">to avoid vendor lock-in. For example, this could look like choosing open-source platforms or protocols over proprietary platforms and protocols if available in your location and if the capability is suited to your business or project needs. </w:t>
      </w:r>
    </w:p>
    <w:p w14:paraId="17823CA2" w14:textId="44DB31BC" w:rsidR="002A04FF" w:rsidRPr="00AC41E0" w:rsidRDefault="002A04FF" w:rsidP="00D4137E">
      <w:pPr>
        <w:pStyle w:val="DCSbodytext"/>
        <w:ind w:left="868"/>
      </w:pPr>
      <w:r w:rsidRPr="00AC41E0">
        <w:t xml:space="preserve">Similarly, you may be able to find </w:t>
      </w:r>
      <w:r w:rsidR="000B19BB" w:rsidRPr="00AC41E0">
        <w:t xml:space="preserve">IoT service providers </w:t>
      </w:r>
      <w:r w:rsidRPr="00AC41E0">
        <w:t>who try to solve interoperability by offering solutions compatible with proprietary protocols.</w:t>
      </w:r>
    </w:p>
    <w:p w14:paraId="7A5CC2A8" w14:textId="77777777" w:rsidR="002A04FF" w:rsidRPr="00AC41E0" w:rsidRDefault="002A04FF" w:rsidP="00D4137E">
      <w:pPr>
        <w:pStyle w:val="Heading4"/>
        <w:tabs>
          <w:tab w:val="clear" w:pos="1588"/>
          <w:tab w:val="num" w:pos="1662"/>
        </w:tabs>
        <w:ind w:left="1662"/>
        <w:rPr>
          <w:rFonts w:ascii="Arial" w:hAnsi="Arial"/>
        </w:rPr>
      </w:pPr>
      <w:r w:rsidRPr="00AC41E0">
        <w:rPr>
          <w:rFonts w:ascii="Arial" w:hAnsi="Arial"/>
        </w:rPr>
        <w:t xml:space="preserve">User Device Detection Capability  </w:t>
      </w:r>
    </w:p>
    <w:p w14:paraId="71C04952" w14:textId="77777777" w:rsidR="0036128C" w:rsidRPr="00AC41E0" w:rsidRDefault="002A04FF" w:rsidP="00D4137E">
      <w:pPr>
        <w:pStyle w:val="DCSbodytext"/>
        <w:ind w:left="868"/>
      </w:pPr>
      <w:r w:rsidRPr="00AC41E0">
        <w:t xml:space="preserve">It is worth checking if your system architecture provides tools and services for checking the capacity of devices according to the device characteristics required for its application. </w:t>
      </w:r>
    </w:p>
    <w:p w14:paraId="53A49387" w14:textId="5B41F232" w:rsidR="002A04FF" w:rsidRPr="00AC41E0" w:rsidRDefault="002A04FF" w:rsidP="00D4137E">
      <w:pPr>
        <w:pStyle w:val="DCSbodytext"/>
        <w:ind w:left="868"/>
      </w:pPr>
      <w:r w:rsidRPr="00AC41E0">
        <w:t xml:space="preserve">By using device-detection techniques and </w:t>
      </w:r>
      <w:r w:rsidR="002E1E65" w:rsidRPr="00AC41E0">
        <w:t xml:space="preserve">the </w:t>
      </w:r>
      <w:r w:rsidRPr="00AC41E0">
        <w:t>exchange of communication protocols, this information can be verified at the initial connection attempt. This avoids the user becoming aware of a device’s incompatibility only after beginning to use the device.</w:t>
      </w:r>
    </w:p>
    <w:p w14:paraId="6BBC7C7B" w14:textId="77777777" w:rsidR="002A04FF" w:rsidRPr="00AC41E0" w:rsidRDefault="002A04FF" w:rsidP="00D4137E">
      <w:pPr>
        <w:pStyle w:val="Heading4"/>
        <w:tabs>
          <w:tab w:val="clear" w:pos="1588"/>
          <w:tab w:val="num" w:pos="1662"/>
        </w:tabs>
        <w:ind w:left="1662"/>
        <w:rPr>
          <w:rFonts w:ascii="Arial" w:hAnsi="Arial"/>
        </w:rPr>
      </w:pPr>
      <w:r w:rsidRPr="00AC41E0">
        <w:rPr>
          <w:rFonts w:ascii="Arial" w:hAnsi="Arial"/>
        </w:rPr>
        <w:t>Device management and maintenance</w:t>
      </w:r>
    </w:p>
    <w:p w14:paraId="39005DBD" w14:textId="0BF56081" w:rsidR="002A04FF" w:rsidRPr="00AC41E0" w:rsidRDefault="002A04FF" w:rsidP="00D4137E">
      <w:pPr>
        <w:pStyle w:val="DCSbodytext"/>
        <w:ind w:left="868"/>
      </w:pPr>
      <w:r w:rsidRPr="00AC41E0">
        <w:t>Devices may stand alone or be embedded in a larger product or solution. They may also be complemented by a web application or mobile device app and</w:t>
      </w:r>
      <w:r w:rsidR="00D63FE4" w:rsidRPr="00AC41E0">
        <w:t xml:space="preserve"> cloud-based service. You need to</w:t>
      </w:r>
      <w:r w:rsidRPr="00AC41E0">
        <w:t xml:space="preserve"> consider if you need smartphone</w:t>
      </w:r>
      <w:r w:rsidR="00ED2A9A" w:rsidRPr="00AC41E0">
        <w:t xml:space="preserve"> or </w:t>
      </w:r>
      <w:r w:rsidRPr="00AC41E0">
        <w:t xml:space="preserve">tablet access as not all operating systems used by IoT platform applications </w:t>
      </w:r>
      <w:r w:rsidR="002E1E65" w:rsidRPr="00AC41E0">
        <w:t xml:space="preserve">to </w:t>
      </w:r>
      <w:r w:rsidRPr="00AC41E0">
        <w:t>support smartphones</w:t>
      </w:r>
      <w:r w:rsidR="00ED2A9A" w:rsidRPr="00AC41E0">
        <w:t xml:space="preserve"> or </w:t>
      </w:r>
      <w:r w:rsidRPr="00AC41E0">
        <w:t>tablets.</w:t>
      </w:r>
    </w:p>
    <w:p w14:paraId="5E18FA98" w14:textId="77777777" w:rsidR="002A04FF" w:rsidRPr="00AC41E0" w:rsidRDefault="002A04FF" w:rsidP="00D4137E">
      <w:pPr>
        <w:pStyle w:val="DCSbodytext"/>
        <w:ind w:left="868"/>
      </w:pPr>
      <w:r w:rsidRPr="00AC41E0">
        <w:t xml:space="preserve">You need to consider asset maintenance, such as how (and how often) the device needs to be updated and whether it can be maintained easily. </w:t>
      </w:r>
    </w:p>
    <w:p w14:paraId="7F527860" w14:textId="167A7544" w:rsidR="002A04FF" w:rsidRPr="00AC41E0" w:rsidRDefault="002A04FF" w:rsidP="00D4137E">
      <w:pPr>
        <w:pStyle w:val="DCSbodytext"/>
        <w:ind w:left="868"/>
      </w:pPr>
      <w:r w:rsidRPr="00AC41E0">
        <w:t xml:space="preserve">IoT devices should be able to be managed, monitored and maintained at a component level. This capability should be built-in by the </w:t>
      </w:r>
      <w:r w:rsidR="0046042B" w:rsidRPr="00AC41E0">
        <w:t>IoT service provider</w:t>
      </w:r>
      <w:r w:rsidRPr="00AC41E0">
        <w:t xml:space="preserve">. Consider whether you are prepared to replace a faulty device if one of its faulty components is not able to be replaced, or if it is </w:t>
      </w:r>
      <w:r w:rsidR="00C65021" w:rsidRPr="00AC41E0">
        <w:t xml:space="preserve">important </w:t>
      </w:r>
      <w:r w:rsidRPr="00AC41E0">
        <w:t xml:space="preserve">to you that just the faulty component can be replaced. </w:t>
      </w:r>
    </w:p>
    <w:p w14:paraId="19E0EEF1" w14:textId="5F83DD66" w:rsidR="002A04FF" w:rsidRPr="00AC41E0" w:rsidRDefault="002A04FF" w:rsidP="00D4137E">
      <w:pPr>
        <w:pStyle w:val="DCSbodytext"/>
        <w:ind w:left="868"/>
      </w:pPr>
      <w:r w:rsidRPr="00AC41E0">
        <w:t>Also</w:t>
      </w:r>
      <w:r w:rsidR="002E1E65" w:rsidRPr="00AC41E0">
        <w:t>,</w:t>
      </w:r>
      <w:r w:rsidRPr="00AC41E0">
        <w:t xml:space="preserve"> features should be capable of being updated or enhanced, and security vulnerabilities capable of being addressed, through software updates. In other words, firmware should be updateable, and this should be able to be done remotely.</w:t>
      </w:r>
    </w:p>
    <w:p w14:paraId="30375129" w14:textId="77777777" w:rsidR="002A04FF" w:rsidRPr="00AC41E0" w:rsidRDefault="002A04FF" w:rsidP="00D4137E">
      <w:pPr>
        <w:pStyle w:val="Heading4"/>
        <w:tabs>
          <w:tab w:val="clear" w:pos="1588"/>
          <w:tab w:val="num" w:pos="1662"/>
        </w:tabs>
        <w:ind w:left="1662"/>
        <w:rPr>
          <w:rFonts w:ascii="Arial" w:hAnsi="Arial"/>
        </w:rPr>
      </w:pPr>
      <w:r w:rsidRPr="00AC41E0">
        <w:rPr>
          <w:rFonts w:ascii="Arial" w:hAnsi="Arial"/>
        </w:rPr>
        <w:lastRenderedPageBreak/>
        <w:t>Network needs and device connectivity</w:t>
      </w:r>
    </w:p>
    <w:p w14:paraId="55316C08" w14:textId="77777777" w:rsidR="002A04FF" w:rsidRPr="00AC41E0" w:rsidRDefault="002A04FF" w:rsidP="00D4137E">
      <w:pPr>
        <w:pStyle w:val="DCSbodytext"/>
        <w:ind w:left="868"/>
      </w:pPr>
      <w:r w:rsidRPr="00AC41E0">
        <w:t>Users need to consider their network needs in their situation. IoT technology is not a one size fits all approach. Will you be on a public network? Or is it preferable to be part of a private network? If so, communications will be over IP networks and will benefit from improved power and speed.</w:t>
      </w:r>
    </w:p>
    <w:p w14:paraId="640A5C73" w14:textId="60D17628" w:rsidR="002A04FF" w:rsidRPr="00AC41E0" w:rsidRDefault="002A04FF" w:rsidP="00D4137E">
      <w:pPr>
        <w:pStyle w:val="DCSbodytext"/>
        <w:ind w:left="868"/>
      </w:pPr>
      <w:r w:rsidRPr="00AC41E0">
        <w:t>Network needs will be informed by your priorities and the device itself, and vice versa. Not all devices are well supported by certain network technologies. There are various options for connectivity because IoT applications can differ drastically, meaning varying requirements. Although connectivity technologies are continually being improved, there is a trade-off between range, power consumption</w:t>
      </w:r>
      <w:r w:rsidR="002E1E65" w:rsidRPr="00AC41E0">
        <w:t>,</w:t>
      </w:r>
      <w:r w:rsidRPr="00AC41E0">
        <w:t xml:space="preserve"> and bandwidth. </w:t>
      </w:r>
    </w:p>
    <w:p w14:paraId="7C89970B" w14:textId="280FC1C1" w:rsidR="002A04FF" w:rsidRPr="00AC41E0" w:rsidRDefault="002A04FF" w:rsidP="00D4137E">
      <w:pPr>
        <w:pStyle w:val="DCSbodytext"/>
        <w:ind w:left="868"/>
      </w:pPr>
      <w:r w:rsidRPr="00AC41E0">
        <w:t xml:space="preserve">There is a vast range of IoT devices on the market working with a range of connectivity technology. At the network edge, IoT devices vary considerably in technical requirements, e.g. wired or wireless, short or </w:t>
      </w:r>
      <w:r w:rsidR="002E1E65" w:rsidRPr="00AC41E0">
        <w:t>long-</w:t>
      </w:r>
      <w:r w:rsidRPr="00AC41E0">
        <w:t xml:space="preserve">range, ambient, battery or mains powered, low or high data rates. </w:t>
      </w:r>
    </w:p>
    <w:p w14:paraId="45747715" w14:textId="41014B1C" w:rsidR="002A04FF" w:rsidRPr="00AC41E0" w:rsidRDefault="002A04FF" w:rsidP="00D4137E">
      <w:pPr>
        <w:pStyle w:val="DCSbodytext"/>
        <w:ind w:left="868"/>
      </w:pPr>
      <w:r w:rsidRPr="00AC41E0">
        <w:t>IoT is likely to use frequency allocations across the entire spectrum. For example, 4G and 5G standards have made</w:t>
      </w:r>
      <w:r w:rsidR="00466D0B" w:rsidRPr="00AC41E0">
        <w:t xml:space="preserve"> (</w:t>
      </w:r>
      <w:r w:rsidRPr="00AC41E0">
        <w:t>or will make</w:t>
      </w:r>
      <w:r w:rsidR="00466D0B" w:rsidRPr="00AC41E0">
        <w:t xml:space="preserve">) </w:t>
      </w:r>
      <w:r w:rsidR="004D3EBA" w:rsidRPr="00AC41E0">
        <w:t>s</w:t>
      </w:r>
      <w:r w:rsidRPr="00AC41E0">
        <w:t xml:space="preserve">pecific provisions for dedicated IoT service delivery. Mobile network operators are deploying IoT-specific variants of the 4G standard, such as Narrowband IoT and Category M1 (Cat-M1). </w:t>
      </w:r>
    </w:p>
    <w:p w14:paraId="200944A9" w14:textId="77777777" w:rsidR="002A04FF" w:rsidRPr="00AC41E0" w:rsidRDefault="00084371" w:rsidP="00D4137E">
      <w:pPr>
        <w:pStyle w:val="DCSbodytext"/>
        <w:ind w:left="868"/>
      </w:pPr>
      <w:hyperlink w:anchor="_Appendix_D_–" w:history="1">
        <w:r w:rsidR="002A04FF" w:rsidRPr="00AC41E0">
          <w:rPr>
            <w:rStyle w:val="Hyperlink"/>
          </w:rPr>
          <w:t>Appendix D</w:t>
        </w:r>
      </w:hyperlink>
      <w:r w:rsidR="002A04FF" w:rsidRPr="00E46FB0">
        <w:t xml:space="preserve"> summarises the main IoT network technologies available in NSW.</w:t>
      </w:r>
    </w:p>
    <w:p w14:paraId="1E9BCDAE" w14:textId="77777777" w:rsidR="002A04FF" w:rsidRPr="00AC41E0" w:rsidRDefault="002A04FF" w:rsidP="00D4137E">
      <w:pPr>
        <w:pStyle w:val="Heading4"/>
        <w:tabs>
          <w:tab w:val="clear" w:pos="1588"/>
          <w:tab w:val="num" w:pos="1662"/>
        </w:tabs>
        <w:ind w:left="1662"/>
        <w:rPr>
          <w:rFonts w:ascii="Arial" w:hAnsi="Arial"/>
        </w:rPr>
      </w:pPr>
      <w:r w:rsidRPr="00AC41E0">
        <w:rPr>
          <w:rFonts w:ascii="Arial" w:hAnsi="Arial"/>
        </w:rPr>
        <w:t>Spatial data requirements for IoT devices</w:t>
      </w:r>
    </w:p>
    <w:p w14:paraId="5A2E4E39" w14:textId="7F88D563" w:rsidR="002A04FF" w:rsidRPr="00AC41E0" w:rsidRDefault="002A04FF" w:rsidP="00D4137E">
      <w:pPr>
        <w:pStyle w:val="DCSbodytext"/>
        <w:ind w:left="868"/>
      </w:pPr>
      <w:r w:rsidRPr="00AC41E0">
        <w:t xml:space="preserve">Positioning applications include mobile and stationary devices </w:t>
      </w:r>
      <w:r w:rsidR="002E1E65" w:rsidRPr="00AC41E0">
        <w:t xml:space="preserve">that </w:t>
      </w:r>
      <w:r w:rsidRPr="00AC41E0">
        <w:t xml:space="preserve">communicate regarding their position, time and status. Data collected by such IoT devices can be absorbed into the NSW Digital Twin. To enable this, IoT devices must record certain information as described in </w:t>
      </w:r>
      <w:hyperlink w:anchor="_Spatial_data_requirements_2" w:history="1">
        <w:r w:rsidR="007C78A4" w:rsidRPr="00AC41E0">
          <w:rPr>
            <w:rStyle w:val="Hyperlink"/>
          </w:rPr>
          <w:t>Chapter 6.2 S</w:t>
        </w:r>
        <w:r w:rsidRPr="00AC41E0">
          <w:rPr>
            <w:rStyle w:val="Hyperlink"/>
          </w:rPr>
          <w:t xml:space="preserve">patial </w:t>
        </w:r>
        <w:r w:rsidR="005051E1" w:rsidRPr="00AC41E0">
          <w:rPr>
            <w:rStyle w:val="Hyperlink"/>
          </w:rPr>
          <w:t>data requirements</w:t>
        </w:r>
      </w:hyperlink>
      <w:r w:rsidRPr="00E46FB0">
        <w:t xml:space="preserve">. </w:t>
      </w:r>
    </w:p>
    <w:p w14:paraId="3D7BBB85" w14:textId="77777777" w:rsidR="002A04FF" w:rsidRPr="00AC41E0" w:rsidRDefault="002A04FF" w:rsidP="00D4137E">
      <w:pPr>
        <w:pStyle w:val="Heading4"/>
        <w:tabs>
          <w:tab w:val="clear" w:pos="1588"/>
          <w:tab w:val="num" w:pos="1662"/>
        </w:tabs>
        <w:ind w:left="1662"/>
        <w:rPr>
          <w:rFonts w:ascii="Arial" w:hAnsi="Arial"/>
        </w:rPr>
      </w:pPr>
      <w:r w:rsidRPr="00AC41E0">
        <w:rPr>
          <w:rFonts w:ascii="Arial" w:hAnsi="Arial"/>
        </w:rPr>
        <w:t>Automation and control customisation</w:t>
      </w:r>
    </w:p>
    <w:p w14:paraId="4ED5BCD9" w14:textId="3F6F33B9" w:rsidR="002A04FF" w:rsidRPr="00AC41E0" w:rsidRDefault="002A04FF" w:rsidP="00D4137E">
      <w:pPr>
        <w:pStyle w:val="DCSbodytext"/>
        <w:ind w:left="868"/>
      </w:pPr>
      <w:r w:rsidRPr="00AC41E0">
        <w:t>IoT solutions generally involve some degree of automation or device control which may or may not be customisable. Automation support may include the use of a business rule engine with pre-defined and/or user customisable rules or machine learning/</w:t>
      </w:r>
      <w:r w:rsidR="008E0890" w:rsidRPr="00AC41E0">
        <w:t>A</w:t>
      </w:r>
      <w:r w:rsidRPr="00AC41E0">
        <w:t xml:space="preserve">rtificial </w:t>
      </w:r>
      <w:r w:rsidR="008E0890" w:rsidRPr="00AC41E0">
        <w:t>I</w:t>
      </w:r>
      <w:r w:rsidRPr="00AC41E0">
        <w:t xml:space="preserve">ntelligence models developed by business area experts. </w:t>
      </w:r>
    </w:p>
    <w:p w14:paraId="78BAC15F" w14:textId="74C98691" w:rsidR="002A04FF" w:rsidRPr="00AC41E0" w:rsidRDefault="002A04FF" w:rsidP="00D4137E">
      <w:pPr>
        <w:pStyle w:val="DCSbodytext"/>
        <w:ind w:left="868"/>
      </w:pPr>
      <w:r w:rsidRPr="00AC41E0">
        <w:t xml:space="preserve">Automation may be very simple to extremely complex. You should consider </w:t>
      </w:r>
      <w:r w:rsidR="002E1E65" w:rsidRPr="00AC41E0">
        <w:t xml:space="preserve">the </w:t>
      </w:r>
      <w:r w:rsidRPr="00AC41E0">
        <w:t>capabilities of the solution against your automation requirements.</w:t>
      </w:r>
    </w:p>
    <w:p w14:paraId="2F9952F9" w14:textId="77777777" w:rsidR="002A04FF" w:rsidRPr="00AC41E0" w:rsidRDefault="002A04FF" w:rsidP="00D4137E">
      <w:pPr>
        <w:pStyle w:val="Heading4"/>
        <w:tabs>
          <w:tab w:val="clear" w:pos="1588"/>
          <w:tab w:val="num" w:pos="1662"/>
        </w:tabs>
        <w:ind w:left="1662"/>
        <w:rPr>
          <w:rFonts w:ascii="Arial" w:hAnsi="Arial"/>
        </w:rPr>
      </w:pPr>
      <w:bookmarkStart w:id="1271" w:name="_APIs_and_data"/>
      <w:bookmarkEnd w:id="1271"/>
      <w:r w:rsidRPr="00AC41E0">
        <w:rPr>
          <w:rFonts w:ascii="Arial" w:hAnsi="Arial"/>
        </w:rPr>
        <w:t xml:space="preserve">APIs and data </w:t>
      </w:r>
    </w:p>
    <w:p w14:paraId="2810DEDE" w14:textId="77777777" w:rsidR="002A04FF" w:rsidRPr="00AC41E0" w:rsidRDefault="002A04FF" w:rsidP="00D4137E">
      <w:pPr>
        <w:pStyle w:val="DCSbodytext"/>
        <w:ind w:left="868"/>
      </w:pPr>
      <w:r w:rsidRPr="00AC41E0">
        <w:t xml:space="preserve">An Application Programming Interface (API) provides a software-to-software connection so that two applications can communicate directly without any user intervention. It enables organisations to share and publish data in the most usable forms and to reuse existing technology for a variety of purposes. </w:t>
      </w:r>
    </w:p>
    <w:p w14:paraId="2A42BE45" w14:textId="28200452" w:rsidR="002A04FF" w:rsidRPr="00AC41E0" w:rsidRDefault="002A04FF" w:rsidP="00D4137E">
      <w:pPr>
        <w:pStyle w:val="DCSbodytext"/>
        <w:ind w:left="868"/>
      </w:pPr>
      <w:r w:rsidRPr="00AC41E0">
        <w:lastRenderedPageBreak/>
        <w:t xml:space="preserve">A web service is an API </w:t>
      </w:r>
      <w:r w:rsidR="002E1E65" w:rsidRPr="00AC41E0">
        <w:t xml:space="preserve">that </w:t>
      </w:r>
      <w:r w:rsidRPr="00AC41E0">
        <w:t xml:space="preserve">is accessible over the internet through HTTP. Access to third party data should be via HTTPS-based APIs rather than </w:t>
      </w:r>
      <w:r w:rsidR="005F787A" w:rsidRPr="00AC41E0">
        <w:t>file-based</w:t>
      </w:r>
      <w:r w:rsidRPr="00AC41E0">
        <w:t xml:space="preserve"> interfaces such as FTP which are often problematic in achieving reliable integration. </w:t>
      </w:r>
    </w:p>
    <w:p w14:paraId="5D8A2BD1" w14:textId="1C0B1E2B" w:rsidR="002A04FF" w:rsidRPr="00AC41E0" w:rsidRDefault="002A04FF" w:rsidP="00D4137E">
      <w:pPr>
        <w:pStyle w:val="DCSbodytext"/>
        <w:ind w:left="868"/>
      </w:pPr>
      <w:r w:rsidRPr="00AC41E0">
        <w:t>Where a system stores or processes data on behalf of a government agency, it should be possible to make that data available via an open API. An open API is publicly available for use by other agencies, the developer community</w:t>
      </w:r>
      <w:r w:rsidR="002E1E65" w:rsidRPr="00AC41E0">
        <w:t>,</w:t>
      </w:r>
      <w:r w:rsidRPr="00AC41E0">
        <w:t xml:space="preserve"> and the broader public. </w:t>
      </w:r>
      <w:r w:rsidR="00D921D1" w:rsidRPr="00AC41E0">
        <w:t>It is</w:t>
      </w:r>
      <w:r w:rsidRPr="00AC41E0">
        <w:t xml:space="preserve"> standardised, discoverable, documented, accessible and licensed for reuse. </w:t>
      </w:r>
    </w:p>
    <w:p w14:paraId="18BFC719" w14:textId="77777777" w:rsidR="002A04FF" w:rsidRPr="00AC41E0" w:rsidRDefault="002A04FF" w:rsidP="00D4137E">
      <w:pPr>
        <w:pStyle w:val="DCSbodytext"/>
        <w:ind w:left="868"/>
      </w:pPr>
      <w:r w:rsidRPr="00AC41E0">
        <w:t xml:space="preserve">Whether APIs are delivered ‘as a Service’, developed in-house or by a third party, APIs should be ‘open by default’ with minimal restrictions on access. Using an open API increases the opportunities for sharing and reusing open data. The NSW Government API Standard can help agencies to develop, procure and implement API solutions and tools. </w:t>
      </w:r>
    </w:p>
    <w:p w14:paraId="1045B937" w14:textId="43FCD9E5" w:rsidR="002A04FF" w:rsidRPr="00AC41E0" w:rsidRDefault="002A04FF" w:rsidP="00D4137E">
      <w:pPr>
        <w:pStyle w:val="DCSbodytext"/>
        <w:ind w:left="868"/>
      </w:pPr>
      <w:r w:rsidRPr="00AC41E0">
        <w:t xml:space="preserve">APIs developed by third parties or provided as part of a commercial product should also support the release of open data and maintain the safeguards for personal, health or other sensitive information. </w:t>
      </w:r>
      <w:r w:rsidR="00271EF7" w:rsidRPr="00AC41E0">
        <w:t>Take care</w:t>
      </w:r>
      <w:r w:rsidRPr="00AC41E0">
        <w:t xml:space="preserve"> to understand and determine what functionality is available via the API as typically this is controlled by the </w:t>
      </w:r>
      <w:r w:rsidR="0046042B" w:rsidRPr="00AC41E0">
        <w:t>service provider</w:t>
      </w:r>
      <w:r w:rsidRPr="00AC41E0">
        <w:t xml:space="preserve">. </w:t>
      </w:r>
    </w:p>
    <w:p w14:paraId="5DDF301F" w14:textId="112ED2B8" w:rsidR="002A04FF" w:rsidRPr="00AC41E0" w:rsidRDefault="002A04FF" w:rsidP="00D4137E">
      <w:pPr>
        <w:pStyle w:val="DCSbodytext"/>
        <w:ind w:left="868"/>
      </w:pPr>
      <w:r w:rsidRPr="00AC41E0">
        <w:t xml:space="preserve">Providing access to real-time data has implications for the security and capacity of technical infrastructure. </w:t>
      </w:r>
      <w:r w:rsidR="00D03D8C" w:rsidRPr="00AC41E0">
        <w:t>Organisations</w:t>
      </w:r>
      <w:r w:rsidRPr="00AC41E0">
        <w:t xml:space="preserve"> should consider appropriate strategies to mitigate risks, such as using separate servers or networks for data exposed through APIs. </w:t>
      </w:r>
    </w:p>
    <w:p w14:paraId="5645F77E" w14:textId="05700651" w:rsidR="002A04FF" w:rsidRPr="00AC41E0" w:rsidRDefault="002A04FF" w:rsidP="00D4137E">
      <w:pPr>
        <w:pStyle w:val="DCSbodytext"/>
        <w:ind w:left="868"/>
      </w:pPr>
      <w:r w:rsidRPr="00AC41E0">
        <w:t xml:space="preserve">Data services should be provided in the form of two-way stateless API, whereby a set of data is sent to the API and </w:t>
      </w:r>
      <w:r w:rsidR="00D03D8C" w:rsidRPr="00AC41E0">
        <w:t>receives</w:t>
      </w:r>
      <w:r w:rsidRPr="00AC41E0">
        <w:t xml:space="preserve"> return data enhanced with the result of specialist analytics and/or application of expert knowledge. Such services must not retain data provided, nor any derived data without explicit consent. </w:t>
      </w:r>
    </w:p>
    <w:p w14:paraId="55347BA2" w14:textId="4973E801" w:rsidR="002A04FF" w:rsidRPr="00AC41E0" w:rsidRDefault="002A04FF" w:rsidP="00D4137E">
      <w:pPr>
        <w:pStyle w:val="DCSbodytext"/>
        <w:ind w:left="868"/>
      </w:pPr>
      <w:r w:rsidRPr="00AC41E0">
        <w:t xml:space="preserve">Datasets or data sources should be described using open standards </w:t>
      </w:r>
      <w:r w:rsidR="002E1E65" w:rsidRPr="00AC41E0">
        <w:t xml:space="preserve">that </w:t>
      </w:r>
      <w:r w:rsidRPr="00AC41E0">
        <w:t>facilitate interoperability and data exchange, and persistent identifiers (</w:t>
      </w:r>
      <w:r w:rsidR="002E1E65" w:rsidRPr="00AC41E0">
        <w:t>long-</w:t>
      </w:r>
      <w:r w:rsidRPr="00AC41E0">
        <w:t>lasting references of URLs).</w:t>
      </w:r>
    </w:p>
    <w:p w14:paraId="5977CE0A" w14:textId="7E98431B" w:rsidR="002A04FF" w:rsidRPr="00AC41E0" w:rsidRDefault="002A04FF" w:rsidP="00D4137E">
      <w:pPr>
        <w:pStyle w:val="DCSbodytext"/>
        <w:ind w:left="868"/>
      </w:pPr>
      <w:r w:rsidRPr="00AC41E0">
        <w:t xml:space="preserve">See the </w:t>
      </w:r>
      <w:hyperlink r:id="rId200" w:history="1">
        <w:r w:rsidR="00754E41" w:rsidRPr="00AC41E0">
          <w:rPr>
            <w:rStyle w:val="Hyperlink"/>
          </w:rPr>
          <w:t>Digital.NSW</w:t>
        </w:r>
      </w:hyperlink>
      <w:r w:rsidRPr="00E46FB0">
        <w:t xml:space="preserve"> website</w:t>
      </w:r>
      <w:r w:rsidR="009A6691" w:rsidRPr="00AC41E0">
        <w:t xml:space="preserve"> for more information on APIs.</w:t>
      </w:r>
    </w:p>
    <w:p w14:paraId="7C64D1C3" w14:textId="4340E455" w:rsidR="004315C2" w:rsidRPr="00AC41E0" w:rsidRDefault="004315C2">
      <w:pPr>
        <w:rPr>
          <w:rFonts w:ascii="Arial" w:hAnsi="Arial"/>
          <w:sz w:val="22"/>
        </w:rPr>
      </w:pPr>
      <w:bookmarkStart w:id="1272" w:name="_Hlk18425229"/>
      <w:r w:rsidRPr="00AC41E0">
        <w:br w:type="page"/>
      </w:r>
    </w:p>
    <w:p w14:paraId="2B84780F" w14:textId="77777777" w:rsidR="00003096" w:rsidRPr="00AC41E0" w:rsidRDefault="00003096" w:rsidP="00003096">
      <w:pPr>
        <w:pStyle w:val="BodyText"/>
        <w:rPr>
          <w:lang w:eastAsia="en-AU"/>
        </w:rPr>
      </w:pPr>
    </w:p>
    <w:tbl>
      <w:tblPr>
        <w:tblStyle w:val="TableGrid"/>
        <w:tblW w:w="8221" w:type="dxa"/>
        <w:tblInd w:w="846" w:type="dxa"/>
        <w:shd w:val="clear" w:color="auto" w:fill="D9D9D9" w:themeFill="background1" w:themeFillShade="D9"/>
        <w:tblLook w:val="04A0" w:firstRow="1" w:lastRow="0" w:firstColumn="1" w:lastColumn="0" w:noHBand="0" w:noVBand="1"/>
      </w:tblPr>
      <w:tblGrid>
        <w:gridCol w:w="8221"/>
      </w:tblGrid>
      <w:tr w:rsidR="00003096" w:rsidRPr="00AC41E0" w14:paraId="4BE05FEA" w14:textId="77777777" w:rsidTr="00003096">
        <w:tc>
          <w:tcPr>
            <w:tcW w:w="822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118B31" w14:textId="77777777" w:rsidR="00003096" w:rsidRPr="00AC41E0" w:rsidRDefault="00003096" w:rsidP="00BA085F">
            <w:pPr>
              <w:pStyle w:val="DCSbodytext"/>
              <w:ind w:left="0"/>
              <w:jc w:val="center"/>
              <w:rPr>
                <w:b/>
              </w:rPr>
            </w:pPr>
            <w:r w:rsidRPr="00AC41E0">
              <w:rPr>
                <w:b/>
              </w:rPr>
              <w:t>Case study – IoT farming in Bungendore, regional NSW</w:t>
            </w:r>
          </w:p>
          <w:p w14:paraId="1315BFDA" w14:textId="09A24769" w:rsidR="00003096" w:rsidRPr="00AC41E0" w:rsidRDefault="00003096" w:rsidP="00BA085F">
            <w:pPr>
              <w:pStyle w:val="DCSbodytext"/>
              <w:ind w:left="0"/>
            </w:pPr>
            <w:r w:rsidRPr="00AC41E0">
              <w:t xml:space="preserve">In 2018 Carwoola Pastoral Company </w:t>
            </w:r>
            <w:r w:rsidR="00370442" w:rsidRPr="00AC41E0">
              <w:t>partners with</w:t>
            </w:r>
            <w:r w:rsidRPr="00AC41E0">
              <w:t xml:space="preserve"> Meat and Livestock Australia (MLA) to create a model farm near Bungendore NSW as an IoT testbed. The model farm consists of four properties with a total footprint of 16,000 acres (6500 ha). </w:t>
            </w:r>
          </w:p>
          <w:p w14:paraId="446DDAFF" w14:textId="4F4F5591" w:rsidR="00003096" w:rsidRPr="00AC41E0" w:rsidRDefault="00003096" w:rsidP="00BA085F">
            <w:pPr>
              <w:pStyle w:val="DCSbodytext"/>
              <w:ind w:left="0"/>
            </w:pPr>
            <w:r w:rsidRPr="00AC41E0">
              <w:t xml:space="preserve">They set up a trial to deploy and test various connectivity and agricultural technology solutions on the farm to understand the benefits of digital farming. The aim was to test, learn and build the foundation for growth at a commercial scale. </w:t>
            </w:r>
          </w:p>
          <w:p w14:paraId="45774972" w14:textId="47762E3C" w:rsidR="00003096" w:rsidRPr="00AC41E0" w:rsidRDefault="00003096" w:rsidP="00BA085F">
            <w:pPr>
              <w:pStyle w:val="DCSbodytext"/>
              <w:ind w:left="0"/>
            </w:pPr>
            <w:r w:rsidRPr="00AC41E0">
              <w:t>The trial used 200 devices and sensors from 22 different service providers to gain practical insights into the current IoT market capability and the benefits it can offer farming. The devices and sensors were for parts of farming deemed to offer the best opportunities for digitisation, including cattle tags, rain gauges, soil probes, pump monitoring</w:t>
            </w:r>
            <w:r w:rsidR="002E1E65" w:rsidRPr="00AC41E0">
              <w:t>,</w:t>
            </w:r>
            <w:r w:rsidRPr="00AC41E0">
              <w:t xml:space="preserve"> and WHS monitors. </w:t>
            </w:r>
          </w:p>
          <w:p w14:paraId="21BD30E7" w14:textId="77777777" w:rsidR="00711D1A" w:rsidRPr="00AC41E0" w:rsidRDefault="00003096" w:rsidP="00BA085F">
            <w:pPr>
              <w:pStyle w:val="DCSbodytext"/>
              <w:ind w:left="0"/>
            </w:pPr>
            <w:r w:rsidRPr="00AC41E0">
              <w:t xml:space="preserve">The results of the trial would be used to identify a set of solutions to be deployed at scale, with a Return on Investment model to be built to quantify the benefits from digitising farm operations. </w:t>
            </w:r>
          </w:p>
          <w:p w14:paraId="693A6976" w14:textId="22EAB8B8" w:rsidR="00003096" w:rsidRPr="00AC41E0" w:rsidRDefault="00003096" w:rsidP="00BA085F">
            <w:pPr>
              <w:pStyle w:val="DCSbodytext"/>
              <w:ind w:left="0"/>
            </w:pPr>
            <w:r w:rsidRPr="00AC41E0">
              <w:t xml:space="preserve">Other lessons from the trial included: </w:t>
            </w:r>
          </w:p>
          <w:p w14:paraId="00ECD5B9" w14:textId="5D1D7F21" w:rsidR="00003096" w:rsidRPr="00AC41E0" w:rsidRDefault="00003096" w:rsidP="00003096">
            <w:pPr>
              <w:pStyle w:val="DCSbodytext"/>
              <w:numPr>
                <w:ilvl w:val="0"/>
                <w:numId w:val="187"/>
              </w:numPr>
            </w:pPr>
            <w:r w:rsidRPr="00AC41E0">
              <w:t>Poor connectivity on the farm constrained the benefits of the pilot. At best, 3G was available. To overcome this, at least one IoT communications network was deployed as part of the trial to test and compare the various options, their pricing</w:t>
            </w:r>
            <w:r w:rsidR="002E1E65" w:rsidRPr="00AC41E0">
              <w:t>,</w:t>
            </w:r>
            <w:r w:rsidRPr="00AC41E0">
              <w:t xml:space="preserve"> and support models. Across the four properties</w:t>
            </w:r>
            <w:r w:rsidR="002E1E65" w:rsidRPr="00AC41E0">
              <w:t>,</w:t>
            </w:r>
            <w:r w:rsidRPr="00AC41E0">
              <w:t xml:space="preserve"> there are now four LoRaWAN gateways, Sigfox gateways, satellite IoT and on-farm Wi-Fi. With mixed topography, the technology mix has been beneficial in providing greater coverage and servicing a diverse range of use cases.  </w:t>
            </w:r>
          </w:p>
          <w:p w14:paraId="18CFC55E" w14:textId="77777777" w:rsidR="00003096" w:rsidRPr="00AC41E0" w:rsidRDefault="00003096" w:rsidP="00003096">
            <w:pPr>
              <w:pStyle w:val="DCSbodytext"/>
              <w:numPr>
                <w:ilvl w:val="0"/>
                <w:numId w:val="187"/>
              </w:numPr>
            </w:pPr>
            <w:r w:rsidRPr="00AC41E0">
              <w:t xml:space="preserve">There was a lack of reporting interoperability resulting from having so many suppliers and sensors. There was no integrated reporting dashboard which meant multiple interfaces for data and dashboards.  </w:t>
            </w:r>
          </w:p>
          <w:p w14:paraId="75D37299" w14:textId="77777777" w:rsidR="00003096" w:rsidRPr="00AC41E0" w:rsidRDefault="00003096" w:rsidP="00003096">
            <w:pPr>
              <w:pStyle w:val="DCSbodytext"/>
              <w:numPr>
                <w:ilvl w:val="0"/>
                <w:numId w:val="187"/>
              </w:numPr>
            </w:pPr>
            <w:r w:rsidRPr="00AC41E0">
              <w:t>Solutions were tested and continuously assessed for their suitability and robustness, creating a feedback loop for the AgTech industry to refine and create fit-for-purpose solutions.</w:t>
            </w:r>
          </w:p>
        </w:tc>
      </w:tr>
    </w:tbl>
    <w:p w14:paraId="79CC6DB2" w14:textId="77777777" w:rsidR="00003096" w:rsidRPr="00AC41E0" w:rsidRDefault="00003096" w:rsidP="00003096">
      <w:pPr>
        <w:pStyle w:val="DCSbodytext"/>
        <w:spacing w:after="0"/>
      </w:pPr>
    </w:p>
    <w:p w14:paraId="11231BFC" w14:textId="5E6BB8DD" w:rsidR="004315C2" w:rsidRPr="00AC41E0" w:rsidRDefault="004315C2">
      <w:pPr>
        <w:rPr>
          <w:rFonts w:ascii="Arial" w:hAnsi="Arial"/>
          <w:sz w:val="22"/>
          <w:lang w:eastAsia="en-US"/>
        </w:rPr>
      </w:pPr>
      <w:r w:rsidRPr="00AC41E0">
        <w:br w:type="page"/>
      </w:r>
    </w:p>
    <w:p w14:paraId="659FEC80" w14:textId="77777777" w:rsidR="001544BC" w:rsidRPr="00AC41E0" w:rsidRDefault="001544BC" w:rsidP="006E4405">
      <w:pPr>
        <w:pStyle w:val="DCSbodytext"/>
        <w:spacing w:after="0"/>
        <w:ind w:left="851"/>
      </w:pPr>
    </w:p>
    <w:tbl>
      <w:tblPr>
        <w:tblStyle w:val="TableGrid"/>
        <w:tblW w:w="8221" w:type="dxa"/>
        <w:tblInd w:w="846" w:type="dxa"/>
        <w:shd w:val="clear" w:color="auto" w:fill="D9D9D9" w:themeFill="background1" w:themeFillShade="D9"/>
        <w:tblLook w:val="04A0" w:firstRow="1" w:lastRow="0" w:firstColumn="1" w:lastColumn="0" w:noHBand="0" w:noVBand="1"/>
      </w:tblPr>
      <w:tblGrid>
        <w:gridCol w:w="8221"/>
      </w:tblGrid>
      <w:tr w:rsidR="006E4405" w:rsidRPr="00AC41E0" w14:paraId="6687D020" w14:textId="77777777" w:rsidTr="003B28E4">
        <w:tc>
          <w:tcPr>
            <w:tcW w:w="822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39D20A" w14:textId="77777777" w:rsidR="003B28E4" w:rsidRPr="00AC41E0" w:rsidRDefault="003B28E4" w:rsidP="003B28E4">
            <w:pPr>
              <w:pStyle w:val="DCSbodytext"/>
              <w:ind w:left="0"/>
              <w:rPr>
                <w:b/>
              </w:rPr>
            </w:pPr>
            <w:r w:rsidRPr="00AC41E0">
              <w:rPr>
                <w:b/>
              </w:rPr>
              <w:t>Case study – IoT network connectivity and cotton farming in regional NSW</w:t>
            </w:r>
          </w:p>
          <w:p w14:paraId="333B9FE0" w14:textId="32534D5C" w:rsidR="003B28E4" w:rsidRPr="00AC41E0" w:rsidRDefault="003B28E4" w:rsidP="003B28E4">
            <w:pPr>
              <w:pStyle w:val="DCSbodytext"/>
              <w:ind w:left="0"/>
            </w:pPr>
            <w:r w:rsidRPr="00AC41E0">
              <w:t>Goanna Ag is partnering with the National Narrowband Network Co (NNNCo) to roll</w:t>
            </w:r>
            <w:r w:rsidR="00C10FBD" w:rsidRPr="00AC41E0">
              <w:t xml:space="preserve"> </w:t>
            </w:r>
            <w:r w:rsidRPr="00AC41E0">
              <w:t xml:space="preserve">out the rural </w:t>
            </w:r>
            <w:r w:rsidR="00754E41" w:rsidRPr="00AC41E0">
              <w:t>LoRaWAN</w:t>
            </w:r>
            <w:r w:rsidRPr="00AC41E0">
              <w:t xml:space="preserve"> network in regional NSW for smarter irrigation in cotton. The network is aimed at enabling IoT powered irrigation solutions for the cotton industry with planned deployments of nearly 100 gateways in NSW and Queensland along with 2000 sensors across cotton farms in 2019. The sensors include soil moisture probes, rain gauges, weather stations</w:t>
            </w:r>
            <w:r w:rsidR="002E1E65" w:rsidRPr="00AC41E0">
              <w:t>,</w:t>
            </w:r>
            <w:r w:rsidRPr="00AC41E0">
              <w:t xml:space="preserve"> and water and fuel tank monitors</w:t>
            </w:r>
            <w:r w:rsidR="005054A7" w:rsidRPr="00AC41E0">
              <w:t xml:space="preserve"> and</w:t>
            </w:r>
            <w:r w:rsidRPr="00AC41E0">
              <w:t xml:space="preserve"> satellite imagery.  </w:t>
            </w:r>
          </w:p>
          <w:p w14:paraId="117130D7" w14:textId="3A0B5E50" w:rsidR="003B28E4" w:rsidRPr="00AC41E0" w:rsidRDefault="003B28E4" w:rsidP="003B28E4">
            <w:pPr>
              <w:pStyle w:val="DCSbodytext"/>
              <w:ind w:left="0"/>
            </w:pPr>
            <w:r w:rsidRPr="00AC41E0">
              <w:t xml:space="preserve">Cotton is a resource-intensive crop and by tapping into the IoT network, farmers can make data-driven decisions to accurately schedule and irrigate cotton farms. The program will provide granular real-time data on a range of measures and enable remote management to monitor sites and send commands from the network back down to a sensor or actuator.  </w:t>
            </w:r>
          </w:p>
          <w:p w14:paraId="6DDCF5C5" w14:textId="38B6CC6E" w:rsidR="005054A7" w:rsidRPr="00AC41E0" w:rsidRDefault="003B28E4" w:rsidP="003B28E4">
            <w:pPr>
              <w:pStyle w:val="DCSbodytext"/>
              <w:ind w:left="0"/>
            </w:pPr>
            <w:r w:rsidRPr="00AC41E0">
              <w:t xml:space="preserve">LoRaWAN has been proven to be successful in Australia. Having a Low-Powered Wireless Area Network (LPWAN) enables connectivity in a regional location which usually has poor connectivity. The network can send small packets of essential data using very low power and at </w:t>
            </w:r>
            <w:r w:rsidR="002E1E65" w:rsidRPr="00AC41E0">
              <w:t xml:space="preserve">a </w:t>
            </w:r>
            <w:r w:rsidRPr="00AC41E0">
              <w:t xml:space="preserve">low cost. </w:t>
            </w:r>
          </w:p>
          <w:p w14:paraId="2E073BA4" w14:textId="767BD389" w:rsidR="006E4405" w:rsidRPr="00AC41E0" w:rsidRDefault="003B28E4" w:rsidP="003B28E4">
            <w:pPr>
              <w:pStyle w:val="DCSbodytext"/>
              <w:ind w:left="0"/>
            </w:pPr>
            <w:r w:rsidRPr="00AC41E0">
              <w:t xml:space="preserve">Having a LoRaWAN network backbone builds rural connectivity and gives farmers the flexibility to adopt different technologies quickly and easily. Any compliant LoRaWAN sensor will be able to connect to the network.  </w:t>
            </w:r>
          </w:p>
        </w:tc>
      </w:tr>
    </w:tbl>
    <w:p w14:paraId="7704DDB1" w14:textId="77777777" w:rsidR="001C7E88" w:rsidRPr="00AC41E0" w:rsidRDefault="001C7E88" w:rsidP="00350A80">
      <w:pPr>
        <w:pStyle w:val="Heading2"/>
        <w:numPr>
          <w:ilvl w:val="0"/>
          <w:numId w:val="0"/>
        </w:numPr>
        <w:ind w:left="794"/>
        <w:rPr>
          <w:rFonts w:ascii="Arial" w:hAnsi="Arial"/>
        </w:rPr>
      </w:pPr>
    </w:p>
    <w:bookmarkEnd w:id="1272"/>
    <w:p w14:paraId="0AA14B31" w14:textId="77777777" w:rsidR="00350A80" w:rsidRPr="00AC41E0" w:rsidRDefault="00350A80" w:rsidP="00350A80">
      <w:pPr>
        <w:pStyle w:val="BodyText"/>
        <w:rPr>
          <w:lang w:eastAsia="en-AU"/>
        </w:rPr>
        <w:sectPr w:rsidR="00350A80" w:rsidRPr="00AC41E0" w:rsidSect="002771AA">
          <w:pgSz w:w="11906" w:h="16838"/>
          <w:pgMar w:top="1440" w:right="1440" w:bottom="1440" w:left="1440" w:header="708" w:footer="708" w:gutter="0"/>
          <w:cols w:space="708"/>
          <w:docGrid w:linePitch="360"/>
        </w:sectPr>
      </w:pPr>
    </w:p>
    <w:p w14:paraId="63509901" w14:textId="76E88091" w:rsidR="00B13F0A" w:rsidRPr="00AC41E0" w:rsidRDefault="00B4367E" w:rsidP="00D4137E">
      <w:pPr>
        <w:pStyle w:val="Heading2"/>
        <w:tabs>
          <w:tab w:val="num" w:pos="868"/>
        </w:tabs>
        <w:ind w:left="868"/>
        <w:rPr>
          <w:rFonts w:ascii="Arial" w:hAnsi="Arial"/>
        </w:rPr>
      </w:pPr>
      <w:bookmarkStart w:id="1273" w:name="_Toc16515366"/>
      <w:bookmarkStart w:id="1274" w:name="_Toc16515560"/>
      <w:bookmarkStart w:id="1275" w:name="_Toc16515754"/>
      <w:bookmarkStart w:id="1276" w:name="_Toc16515996"/>
      <w:bookmarkStart w:id="1277" w:name="_Toc16516467"/>
      <w:bookmarkStart w:id="1278" w:name="_Toc16762241"/>
      <w:bookmarkStart w:id="1279" w:name="_Toc16770020"/>
      <w:bookmarkStart w:id="1280" w:name="_Toc16770214"/>
      <w:bookmarkStart w:id="1281" w:name="_Toc16856122"/>
      <w:bookmarkStart w:id="1282" w:name="_Toc16867895"/>
      <w:bookmarkStart w:id="1283" w:name="_Toc17103568"/>
      <w:bookmarkStart w:id="1284" w:name="_Toc17110215"/>
      <w:bookmarkStart w:id="1285" w:name="_Toc17111342"/>
      <w:bookmarkStart w:id="1286" w:name="_Toc17111542"/>
      <w:bookmarkStart w:id="1287" w:name="_Toc17111941"/>
      <w:bookmarkStart w:id="1288" w:name="_Toc17112141"/>
      <w:bookmarkStart w:id="1289" w:name="_Toc17112342"/>
      <w:bookmarkStart w:id="1290" w:name="_Toc17112544"/>
      <w:bookmarkStart w:id="1291" w:name="_Toc17112742"/>
      <w:bookmarkStart w:id="1292" w:name="_Toc17112940"/>
      <w:bookmarkStart w:id="1293" w:name="_Toc17114439"/>
      <w:bookmarkStart w:id="1294" w:name="_Toc17114636"/>
      <w:bookmarkStart w:id="1295" w:name="_Toc17121193"/>
      <w:bookmarkStart w:id="1296" w:name="_Toc17121390"/>
      <w:bookmarkStart w:id="1297" w:name="_Toc17121585"/>
      <w:bookmarkStart w:id="1298" w:name="_Toc17121780"/>
      <w:bookmarkStart w:id="1299" w:name="_Toc17970605"/>
      <w:bookmarkStart w:id="1300" w:name="_Toc17975398"/>
      <w:bookmarkStart w:id="1301" w:name="_Toc17975604"/>
      <w:bookmarkStart w:id="1302" w:name="_Toc17982678"/>
      <w:bookmarkStart w:id="1303" w:name="_Toc17987993"/>
      <w:bookmarkStart w:id="1304" w:name="_Toc17989404"/>
      <w:bookmarkStart w:id="1305" w:name="_Toc17990466"/>
      <w:bookmarkStart w:id="1306" w:name="_Toc16515367"/>
      <w:bookmarkStart w:id="1307" w:name="_Toc16515561"/>
      <w:bookmarkStart w:id="1308" w:name="_Toc16515755"/>
      <w:bookmarkStart w:id="1309" w:name="_Toc16515997"/>
      <w:bookmarkStart w:id="1310" w:name="_Toc16516468"/>
      <w:bookmarkStart w:id="1311" w:name="_Toc16762242"/>
      <w:bookmarkStart w:id="1312" w:name="_Toc16770021"/>
      <w:bookmarkStart w:id="1313" w:name="_Toc16770215"/>
      <w:bookmarkStart w:id="1314" w:name="_Toc16856123"/>
      <w:bookmarkStart w:id="1315" w:name="_Toc16867896"/>
      <w:bookmarkStart w:id="1316" w:name="_Toc17103569"/>
      <w:bookmarkStart w:id="1317" w:name="_Toc17110216"/>
      <w:bookmarkStart w:id="1318" w:name="_Toc17111343"/>
      <w:bookmarkStart w:id="1319" w:name="_Toc17111543"/>
      <w:bookmarkStart w:id="1320" w:name="_Toc17111942"/>
      <w:bookmarkStart w:id="1321" w:name="_Toc17112142"/>
      <w:bookmarkStart w:id="1322" w:name="_Toc17112343"/>
      <w:bookmarkStart w:id="1323" w:name="_Toc17112545"/>
      <w:bookmarkStart w:id="1324" w:name="_Toc17112743"/>
      <w:bookmarkStart w:id="1325" w:name="_Toc17112941"/>
      <w:bookmarkStart w:id="1326" w:name="_Toc17114440"/>
      <w:bookmarkStart w:id="1327" w:name="_Toc17114637"/>
      <w:bookmarkStart w:id="1328" w:name="_Toc17121194"/>
      <w:bookmarkStart w:id="1329" w:name="_Toc17121391"/>
      <w:bookmarkStart w:id="1330" w:name="_Toc17121586"/>
      <w:bookmarkStart w:id="1331" w:name="_Toc17121781"/>
      <w:bookmarkStart w:id="1332" w:name="_Toc17970606"/>
      <w:bookmarkStart w:id="1333" w:name="_Toc17975399"/>
      <w:bookmarkStart w:id="1334" w:name="_Toc17975605"/>
      <w:bookmarkStart w:id="1335" w:name="_Toc17982679"/>
      <w:bookmarkStart w:id="1336" w:name="_Toc17987994"/>
      <w:bookmarkStart w:id="1337" w:name="_Toc17989405"/>
      <w:bookmarkStart w:id="1338" w:name="_Toc17990467"/>
      <w:bookmarkStart w:id="1339" w:name="_Assurance"/>
      <w:bookmarkStart w:id="1340" w:name="_Toc65760534"/>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r w:rsidRPr="00E46FB0">
        <w:rPr>
          <w:rFonts w:ascii="Arial" w:hAnsi="Arial"/>
        </w:rPr>
        <w:lastRenderedPageBreak/>
        <w:t>Assurance</w:t>
      </w:r>
      <w:bookmarkEnd w:id="1340"/>
    </w:p>
    <w:p w14:paraId="375AE8F5" w14:textId="765729E5" w:rsidR="00707E27" w:rsidRPr="00AC41E0" w:rsidRDefault="00707E27" w:rsidP="00D4137E">
      <w:pPr>
        <w:pStyle w:val="Heading3"/>
        <w:ind w:left="868"/>
        <w:rPr>
          <w:rFonts w:ascii="Arial" w:hAnsi="Arial"/>
        </w:rPr>
      </w:pPr>
      <w:bookmarkStart w:id="1341" w:name="_Toc13489217"/>
      <w:bookmarkStart w:id="1342" w:name="_Toc65760535"/>
      <w:r w:rsidRPr="00AC41E0">
        <w:rPr>
          <w:rFonts w:ascii="Arial" w:hAnsi="Arial"/>
        </w:rPr>
        <w:t>Why is assurance important for IoT</w:t>
      </w:r>
      <w:bookmarkEnd w:id="1341"/>
      <w:r w:rsidR="0057013A" w:rsidRPr="00AC41E0">
        <w:rPr>
          <w:rFonts w:ascii="Arial" w:hAnsi="Arial"/>
        </w:rPr>
        <w:t>?</w:t>
      </w:r>
      <w:bookmarkEnd w:id="1342"/>
    </w:p>
    <w:p w14:paraId="6799519F" w14:textId="57CD691B" w:rsidR="00916A0A" w:rsidRPr="00AC41E0" w:rsidRDefault="00707E27" w:rsidP="00D4137E">
      <w:pPr>
        <w:pStyle w:val="DCSbodytext"/>
        <w:ind w:left="868"/>
      </w:pPr>
      <w:r w:rsidRPr="00AC41E0">
        <w:t xml:space="preserve">Assurance is the process </w:t>
      </w:r>
      <w:r w:rsidR="001B3E5B" w:rsidRPr="00AC41E0">
        <w:t>of</w:t>
      </w:r>
      <w:r w:rsidRPr="00AC41E0">
        <w:t xml:space="preserve"> providing independent confidence for projects. </w:t>
      </w:r>
      <w:r w:rsidR="00916A0A" w:rsidRPr="00AC41E0">
        <w:t>Assurance involves regularly examining a project against an approved business plan and what it was intended to do, or service need</w:t>
      </w:r>
      <w:r w:rsidR="002E1E65" w:rsidRPr="00AC41E0">
        <w:t>s</w:t>
      </w:r>
      <w:r w:rsidR="00916A0A" w:rsidRPr="00AC41E0">
        <w:t xml:space="preserve"> it was intended to meet. </w:t>
      </w:r>
    </w:p>
    <w:p w14:paraId="42A33332" w14:textId="7E462625" w:rsidR="00B33728" w:rsidRPr="00AC41E0" w:rsidRDefault="00B33728" w:rsidP="00D4137E">
      <w:pPr>
        <w:pStyle w:val="DCSbodytext"/>
        <w:ind w:left="868"/>
      </w:pPr>
      <w:r w:rsidRPr="00AC41E0">
        <w:t>An assurance process can increase confidence in the project benefits and reduce the likelihood of investing in IoT solutions that are not fit for purpose, present unmanageable risks, do not deliver benefit</w:t>
      </w:r>
      <w:r w:rsidR="002E1E65" w:rsidRPr="00AC41E0">
        <w:t>s</w:t>
      </w:r>
      <w:r w:rsidRPr="00AC41E0">
        <w:t xml:space="preserve"> or are not interoperable with existing or future technologies. </w:t>
      </w:r>
    </w:p>
    <w:p w14:paraId="64978812" w14:textId="77777777" w:rsidR="000141F8" w:rsidRPr="00AC41E0" w:rsidRDefault="00916A0A" w:rsidP="00D4137E">
      <w:pPr>
        <w:pStyle w:val="DCSbodytext"/>
        <w:ind w:left="868"/>
      </w:pPr>
      <w:r w:rsidRPr="00AC41E0">
        <w:t xml:space="preserve">Assurance </w:t>
      </w:r>
      <w:r w:rsidR="00707E27" w:rsidRPr="00AC41E0">
        <w:t xml:space="preserve">is important for </w:t>
      </w:r>
      <w:r w:rsidR="006B27BC" w:rsidRPr="00AC41E0">
        <w:t>IoT-enabled project</w:t>
      </w:r>
      <w:r w:rsidR="00707E27" w:rsidRPr="00AC41E0">
        <w:t>s because the technology is new</w:t>
      </w:r>
      <w:r w:rsidR="00A3115C" w:rsidRPr="00AC41E0">
        <w:t xml:space="preserve"> and</w:t>
      </w:r>
      <w:r w:rsidR="00707E27" w:rsidRPr="00AC41E0">
        <w:t xml:space="preserve"> brings together numerous areas of expertise</w:t>
      </w:r>
      <w:r w:rsidR="00A3115C" w:rsidRPr="00AC41E0">
        <w:t>. Co</w:t>
      </w:r>
      <w:r w:rsidR="00707E27" w:rsidRPr="00AC41E0">
        <w:t xml:space="preserve">nnectivity is at the core of IoT which means </w:t>
      </w:r>
      <w:r w:rsidR="006B27BC" w:rsidRPr="00AC41E0">
        <w:t>IoT-enabled project</w:t>
      </w:r>
      <w:r w:rsidR="00707E27" w:rsidRPr="00AC41E0">
        <w:t xml:space="preserve">s are more susceptible to a wider range of risks– risks that only increase when we connect IoT solutions to bigger networks. </w:t>
      </w:r>
    </w:p>
    <w:p w14:paraId="770749A0" w14:textId="50426857" w:rsidR="00707E27" w:rsidRPr="00AC41E0" w:rsidRDefault="00707E27" w:rsidP="00D4137E">
      <w:pPr>
        <w:pStyle w:val="DCSbodytext"/>
        <w:ind w:left="868"/>
      </w:pPr>
      <w:r w:rsidRPr="00AC41E0">
        <w:t>The</w:t>
      </w:r>
      <w:r w:rsidR="00396E9B" w:rsidRPr="00AC41E0">
        <w:t xml:space="preserve"> following</w:t>
      </w:r>
      <w:r w:rsidRPr="00AC41E0">
        <w:t xml:space="preserve"> diagram demonstrates the overlap between different areas of expertise and therefore risks. See </w:t>
      </w:r>
      <w:hyperlink w:anchor="_Risks_and_obligations_2" w:history="1">
        <w:r w:rsidR="00EF326D" w:rsidRPr="00AC41E0">
          <w:rPr>
            <w:rStyle w:val="Hyperlink"/>
          </w:rPr>
          <w:t>Chapter 3.4 R</w:t>
        </w:r>
        <w:r w:rsidRPr="00AC41E0">
          <w:rPr>
            <w:rStyle w:val="Hyperlink"/>
          </w:rPr>
          <w:t xml:space="preserve">isks and </w:t>
        </w:r>
        <w:r w:rsidR="00B44F50" w:rsidRPr="00AC41E0">
          <w:rPr>
            <w:rStyle w:val="Hyperlink"/>
          </w:rPr>
          <w:t>o</w:t>
        </w:r>
        <w:r w:rsidRPr="00AC41E0">
          <w:rPr>
            <w:rStyle w:val="Hyperlink"/>
          </w:rPr>
          <w:t>bligations</w:t>
        </w:r>
      </w:hyperlink>
      <w:r w:rsidRPr="00E46FB0">
        <w:t xml:space="preserve"> for further discussion of risks </w:t>
      </w:r>
      <w:r w:rsidR="00E278DB" w:rsidRPr="00AC41E0">
        <w:t>with</w:t>
      </w:r>
      <w:r w:rsidRPr="00AC41E0">
        <w:t xml:space="preserve"> IoT and mitigation techniques. </w:t>
      </w:r>
    </w:p>
    <w:p w14:paraId="0D136C3F" w14:textId="7823D7E9" w:rsidR="000853B3" w:rsidRPr="00AC41E0" w:rsidRDefault="00707E27" w:rsidP="00110CB8">
      <w:pPr>
        <w:pStyle w:val="BodyText"/>
        <w:jc w:val="center"/>
        <w:rPr>
          <w:b/>
          <w:bCs/>
          <w:lang w:eastAsia="en-AU"/>
        </w:rPr>
      </w:pPr>
      <w:r w:rsidRPr="00AC41E0">
        <w:rPr>
          <w:b/>
          <w:bCs/>
        </w:rPr>
        <w:t>Intersection of IoT-related risks with assurance</w:t>
      </w:r>
    </w:p>
    <w:p w14:paraId="5CF2B85A" w14:textId="1BEE8CE5" w:rsidR="003D529A" w:rsidRPr="00E46FB0" w:rsidRDefault="003D529A" w:rsidP="00110CB8">
      <w:pPr>
        <w:pStyle w:val="Heading3"/>
        <w:numPr>
          <w:ilvl w:val="2"/>
          <w:numId w:val="0"/>
        </w:numPr>
        <w:jc w:val="center"/>
        <w:rPr>
          <w:rFonts w:ascii="Arial" w:hAnsi="Arial"/>
        </w:rPr>
      </w:pPr>
      <w:bookmarkStart w:id="1343" w:name="_Toc17970609"/>
      <w:bookmarkStart w:id="1344" w:name="_Toc17975402"/>
      <w:bookmarkStart w:id="1345" w:name="_Toc17975608"/>
      <w:bookmarkStart w:id="1346" w:name="_Toc17982682"/>
      <w:bookmarkStart w:id="1347" w:name="_Toc17987997"/>
      <w:bookmarkStart w:id="1348" w:name="_Toc17989408"/>
      <w:bookmarkStart w:id="1349" w:name="_Toc17990470"/>
      <w:bookmarkStart w:id="1350" w:name="_Toc65571431"/>
      <w:bookmarkStart w:id="1351" w:name="_Toc65760536"/>
      <w:bookmarkStart w:id="1352" w:name="_Toc13489218"/>
      <w:bookmarkEnd w:id="1343"/>
      <w:bookmarkEnd w:id="1344"/>
      <w:bookmarkEnd w:id="1345"/>
      <w:bookmarkEnd w:id="1346"/>
      <w:bookmarkEnd w:id="1347"/>
      <w:bookmarkEnd w:id="1348"/>
      <w:bookmarkEnd w:id="1349"/>
      <w:r w:rsidRPr="00E46FB0">
        <w:rPr>
          <w:noProof/>
        </w:rPr>
        <w:drawing>
          <wp:inline distT="0" distB="0" distL="0" distR="0" wp14:anchorId="21A9CC34" wp14:editId="3A52FEB8">
            <wp:extent cx="4247962" cy="3352800"/>
            <wp:effectExtent l="0" t="0" r="635" b="0"/>
            <wp:docPr id="531754515" name="Picture 531754515" descr="Data, privacy, cyber security, and data all intersect and are different areas of expertise and therefore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754515"/>
                    <pic:cNvPicPr/>
                  </pic:nvPicPr>
                  <pic:blipFill>
                    <a:blip r:embed="rId201">
                      <a:extLst>
                        <a:ext uri="{28A0092B-C50C-407E-A947-70E740481C1C}">
                          <a14:useLocalDpi xmlns:a14="http://schemas.microsoft.com/office/drawing/2010/main" val="0"/>
                        </a:ext>
                      </a:extLst>
                    </a:blip>
                    <a:stretch>
                      <a:fillRect/>
                    </a:stretch>
                  </pic:blipFill>
                  <pic:spPr>
                    <a:xfrm>
                      <a:off x="0" y="0"/>
                      <a:ext cx="4247962" cy="3352800"/>
                    </a:xfrm>
                    <a:prstGeom prst="rect">
                      <a:avLst/>
                    </a:prstGeom>
                  </pic:spPr>
                </pic:pic>
              </a:graphicData>
            </a:graphic>
          </wp:inline>
        </w:drawing>
      </w:r>
      <w:bookmarkEnd w:id="1350"/>
      <w:bookmarkEnd w:id="1351"/>
    </w:p>
    <w:p w14:paraId="299FF7E6" w14:textId="77777777" w:rsidR="000853B3" w:rsidRPr="00AC41E0" w:rsidRDefault="000853B3" w:rsidP="00110CB8">
      <w:pPr>
        <w:pStyle w:val="BodyText"/>
      </w:pPr>
    </w:p>
    <w:p w14:paraId="2863270A" w14:textId="1B671739" w:rsidR="00707E27" w:rsidRPr="00AC41E0" w:rsidRDefault="00707E27" w:rsidP="00D4137E">
      <w:pPr>
        <w:pStyle w:val="Heading3"/>
        <w:ind w:left="868"/>
        <w:rPr>
          <w:rFonts w:ascii="Arial" w:hAnsi="Arial"/>
        </w:rPr>
      </w:pPr>
      <w:bookmarkStart w:id="1353" w:name="_Toc65760537"/>
      <w:r w:rsidRPr="00AC41E0">
        <w:rPr>
          <w:rFonts w:ascii="Arial" w:hAnsi="Arial"/>
        </w:rPr>
        <w:lastRenderedPageBreak/>
        <w:t>What assurance does my project need</w:t>
      </w:r>
      <w:bookmarkEnd w:id="1352"/>
      <w:r w:rsidR="005F787A" w:rsidRPr="00AC41E0">
        <w:rPr>
          <w:rFonts w:ascii="Arial" w:hAnsi="Arial"/>
        </w:rPr>
        <w:t>?</w:t>
      </w:r>
      <w:bookmarkEnd w:id="1353"/>
    </w:p>
    <w:p w14:paraId="7EDD64A0" w14:textId="38FA6D60" w:rsidR="00707E27" w:rsidRPr="00AC41E0" w:rsidRDefault="00707E27" w:rsidP="00DD280E">
      <w:pPr>
        <w:pStyle w:val="DCSbodytext"/>
        <w:spacing w:after="120"/>
        <w:ind w:left="868"/>
      </w:pPr>
      <w:r w:rsidRPr="00AC41E0">
        <w:t xml:space="preserve">You must consider what assurance processes may apply to your </w:t>
      </w:r>
      <w:r w:rsidR="006B27BC" w:rsidRPr="00AC41E0">
        <w:t>IoT-enabled project</w:t>
      </w:r>
      <w:r w:rsidRPr="00AC41E0">
        <w:t xml:space="preserve">. Some degree of assurance should apply to all projects. </w:t>
      </w:r>
      <w:r w:rsidR="001E4190" w:rsidRPr="00AC41E0">
        <w:t>Assurance may be provided via:</w:t>
      </w:r>
      <w:r w:rsidRPr="00AC41E0">
        <w:t xml:space="preserve"> </w:t>
      </w:r>
    </w:p>
    <w:p w14:paraId="1E5B3D98" w14:textId="34CEDAB3" w:rsidR="00974DC9" w:rsidRPr="00AC41E0" w:rsidRDefault="00707E27" w:rsidP="00D978A4">
      <w:pPr>
        <w:pStyle w:val="DCSbodytext"/>
        <w:numPr>
          <w:ilvl w:val="0"/>
          <w:numId w:val="53"/>
        </w:numPr>
        <w:spacing w:after="120"/>
        <w:ind w:left="1228"/>
        <w:rPr>
          <w:color w:val="000000" w:themeColor="text1"/>
        </w:rPr>
      </w:pPr>
      <w:r w:rsidRPr="00AC41E0">
        <w:rPr>
          <w:rStyle w:val="Hyperlink"/>
          <w:color w:val="000000" w:themeColor="text1"/>
          <w:u w:val="none"/>
        </w:rPr>
        <w:t xml:space="preserve">Gateway </w:t>
      </w:r>
      <w:r w:rsidR="003337DA" w:rsidRPr="00AC41E0">
        <w:rPr>
          <w:rStyle w:val="Hyperlink"/>
          <w:color w:val="000000" w:themeColor="text1"/>
          <w:u w:val="none"/>
        </w:rPr>
        <w:t>R</w:t>
      </w:r>
      <w:r w:rsidR="00E476D0" w:rsidRPr="00AC41E0">
        <w:rPr>
          <w:rStyle w:val="Hyperlink"/>
          <w:color w:val="000000" w:themeColor="text1"/>
          <w:u w:val="none"/>
        </w:rPr>
        <w:t>eview</w:t>
      </w:r>
      <w:r w:rsidR="00E6645F" w:rsidRPr="00AC41E0">
        <w:rPr>
          <w:rStyle w:val="Hyperlink"/>
          <w:color w:val="000000" w:themeColor="text1"/>
          <w:u w:val="none"/>
        </w:rPr>
        <w:t>s</w:t>
      </w:r>
      <w:r w:rsidR="00E476D0" w:rsidRPr="00AC41E0">
        <w:rPr>
          <w:rStyle w:val="Hyperlink"/>
          <w:color w:val="000000" w:themeColor="text1"/>
          <w:u w:val="none"/>
        </w:rPr>
        <w:t xml:space="preserve"> </w:t>
      </w:r>
      <w:r w:rsidRPr="00AC41E0">
        <w:rPr>
          <w:rStyle w:val="Hyperlink"/>
          <w:color w:val="000000" w:themeColor="text1"/>
          <w:u w:val="none"/>
        </w:rPr>
        <w:t>for NSW Government</w:t>
      </w:r>
    </w:p>
    <w:p w14:paraId="5C595020" w14:textId="52297402" w:rsidR="00974DC9" w:rsidRPr="00AC41E0" w:rsidRDefault="00800FA6" w:rsidP="00D978A4">
      <w:pPr>
        <w:pStyle w:val="DCSbodytext"/>
        <w:numPr>
          <w:ilvl w:val="0"/>
          <w:numId w:val="53"/>
        </w:numPr>
        <w:ind w:left="1228"/>
      </w:pPr>
      <w:r w:rsidRPr="00AC41E0">
        <w:t>i</w:t>
      </w:r>
      <w:r w:rsidR="00707E27" w:rsidRPr="00AC41E0">
        <w:t xml:space="preserve">nternal assurance at an </w:t>
      </w:r>
      <w:r w:rsidR="00357264" w:rsidRPr="00AC41E0">
        <w:t>organisational</w:t>
      </w:r>
      <w:r w:rsidR="00707E27" w:rsidRPr="00AC41E0">
        <w:t xml:space="preserve"> level</w:t>
      </w:r>
      <w:r w:rsidR="004620A0" w:rsidRPr="00AC41E0">
        <w:t>.</w:t>
      </w:r>
    </w:p>
    <w:p w14:paraId="645B028C" w14:textId="2BEFCD9C" w:rsidR="00707E27" w:rsidRPr="00AC41E0" w:rsidRDefault="00707E27" w:rsidP="00D4137E">
      <w:pPr>
        <w:pStyle w:val="Heading4"/>
        <w:tabs>
          <w:tab w:val="clear" w:pos="1588"/>
          <w:tab w:val="num" w:pos="1662"/>
        </w:tabs>
        <w:ind w:left="1662"/>
        <w:rPr>
          <w:rFonts w:ascii="Arial" w:hAnsi="Arial"/>
        </w:rPr>
      </w:pPr>
      <w:bookmarkStart w:id="1354" w:name="_The_Gateway_process"/>
      <w:bookmarkStart w:id="1355" w:name="_Toc13489220"/>
      <w:bookmarkEnd w:id="1354"/>
      <w:r w:rsidRPr="00AC41E0">
        <w:rPr>
          <w:rFonts w:ascii="Arial" w:hAnsi="Arial"/>
        </w:rPr>
        <w:t xml:space="preserve">Gateway </w:t>
      </w:r>
      <w:r w:rsidR="003337DA" w:rsidRPr="00AC41E0">
        <w:rPr>
          <w:rFonts w:ascii="Arial" w:hAnsi="Arial"/>
        </w:rPr>
        <w:t>R</w:t>
      </w:r>
      <w:r w:rsidR="004620A0" w:rsidRPr="00AC41E0">
        <w:rPr>
          <w:rFonts w:ascii="Arial" w:hAnsi="Arial"/>
        </w:rPr>
        <w:t>eview</w:t>
      </w:r>
      <w:r w:rsidR="00345ABF" w:rsidRPr="00AC41E0">
        <w:rPr>
          <w:rFonts w:ascii="Arial" w:hAnsi="Arial"/>
        </w:rPr>
        <w:t>s</w:t>
      </w:r>
      <w:r w:rsidR="004620A0" w:rsidRPr="00AC41E0">
        <w:rPr>
          <w:rFonts w:ascii="Arial" w:hAnsi="Arial"/>
        </w:rPr>
        <w:t xml:space="preserve"> </w:t>
      </w:r>
      <w:r w:rsidRPr="00AC41E0">
        <w:rPr>
          <w:rFonts w:ascii="Arial" w:hAnsi="Arial"/>
        </w:rPr>
        <w:t>for NSW Government agencies</w:t>
      </w:r>
      <w:bookmarkEnd w:id="1355"/>
    </w:p>
    <w:p w14:paraId="697B67BC" w14:textId="30BC5C6B" w:rsidR="00D86DBE" w:rsidRPr="00AC41E0" w:rsidRDefault="00707E27" w:rsidP="00D4137E">
      <w:pPr>
        <w:pStyle w:val="DCSbodytext"/>
        <w:ind w:left="868"/>
      </w:pPr>
      <w:r w:rsidRPr="00AC41E0">
        <w:t xml:space="preserve">The </w:t>
      </w:r>
      <w:hyperlink r:id="rId202" w:history="1">
        <w:r w:rsidRPr="00AC41E0">
          <w:rPr>
            <w:rStyle w:val="Hyperlink"/>
          </w:rPr>
          <w:t>NSW Gateway Policy</w:t>
        </w:r>
      </w:hyperlink>
      <w:r w:rsidRPr="00E46FB0">
        <w:t xml:space="preserve"> establishe</w:t>
      </w:r>
      <w:r w:rsidR="006C63AE" w:rsidRPr="00AC41E0">
        <w:t>s</w:t>
      </w:r>
      <w:r w:rsidRPr="00AC41E0">
        <w:t xml:space="preserve"> three assurance frameworks</w:t>
      </w:r>
      <w:r w:rsidR="00043FAC" w:rsidRPr="00AC41E0">
        <w:t xml:space="preserve">. Each assurance framework is </w:t>
      </w:r>
      <w:r w:rsidR="006C63AE" w:rsidRPr="00AC41E0">
        <w:t xml:space="preserve">managed by </w:t>
      </w:r>
      <w:r w:rsidR="00043FAC" w:rsidRPr="00AC41E0">
        <w:t>a</w:t>
      </w:r>
      <w:r w:rsidR="006C63AE" w:rsidRPr="00AC41E0">
        <w:t xml:space="preserve"> Gateway Coordination Agenc</w:t>
      </w:r>
      <w:r w:rsidR="00043FAC" w:rsidRPr="00AC41E0">
        <w:t>y (GCA)</w:t>
      </w:r>
      <w:r w:rsidR="00244CCC" w:rsidRPr="00AC41E0">
        <w:t xml:space="preserve"> to deliver </w:t>
      </w:r>
      <w:hyperlink r:id="rId203" w:history="1">
        <w:r w:rsidR="00244CCC" w:rsidRPr="00AC41E0">
          <w:rPr>
            <w:rStyle w:val="Hyperlink"/>
          </w:rPr>
          <w:t>Gateway Reviews</w:t>
        </w:r>
      </w:hyperlink>
      <w:r w:rsidR="00244CCC" w:rsidRPr="00E46FB0">
        <w:t>.</w:t>
      </w:r>
      <w:r w:rsidRPr="00AC41E0">
        <w:t xml:space="preserve"> NSW Treasury is the policy owner responsible for the overall </w:t>
      </w:r>
      <w:r w:rsidR="006C63AE" w:rsidRPr="00AC41E0">
        <w:t xml:space="preserve">NSW </w:t>
      </w:r>
      <w:r w:rsidRPr="00AC41E0">
        <w:t xml:space="preserve">Gateway Policy. </w:t>
      </w:r>
    </w:p>
    <w:p w14:paraId="58F8FBEE" w14:textId="2C6326F0" w:rsidR="00E476D0" w:rsidRPr="00AC41E0" w:rsidRDefault="00E476D0" w:rsidP="00D4137E">
      <w:pPr>
        <w:pStyle w:val="DCSbodytext"/>
        <w:ind w:left="868"/>
      </w:pPr>
      <w:r w:rsidRPr="00AC41E0">
        <w:t xml:space="preserve">Under a Gateway </w:t>
      </w:r>
      <w:r w:rsidR="005808EC" w:rsidRPr="00AC41E0">
        <w:t>R</w:t>
      </w:r>
      <w:r w:rsidRPr="00AC41E0">
        <w:t xml:space="preserve">eview, </w:t>
      </w:r>
      <w:r w:rsidR="00244CCC" w:rsidRPr="00AC41E0">
        <w:t>r</w:t>
      </w:r>
      <w:r w:rsidRPr="00AC41E0">
        <w:t>eviews are conducted by independent experts at up</w:t>
      </w:r>
      <w:r w:rsidR="00EF59EB" w:rsidRPr="00AC41E0">
        <w:t xml:space="preserve"> to</w:t>
      </w:r>
      <w:r w:rsidRPr="00AC41E0">
        <w:t xml:space="preserve"> seven decision points (gates). The project’s key stakeholders are interviewed, and key documents are examined. </w:t>
      </w:r>
      <w:r w:rsidR="00A4764D" w:rsidRPr="00AC41E0">
        <w:t>G</w:t>
      </w:r>
      <w:r w:rsidRPr="00AC41E0">
        <w:t xml:space="preserve">ateway </w:t>
      </w:r>
      <w:r w:rsidR="00A4764D" w:rsidRPr="00AC41E0">
        <w:t>R</w:t>
      </w:r>
      <w:r w:rsidRPr="00AC41E0">
        <w:t xml:space="preserve">eviews are not audits but </w:t>
      </w:r>
      <w:r w:rsidR="00063AAD" w:rsidRPr="00AC41E0">
        <w:t>rather</w:t>
      </w:r>
      <w:r w:rsidRPr="00AC41E0">
        <w:t xml:space="preserve"> confidence reviews, providing an independent view of the project. They aim to prepare the project for success. </w:t>
      </w:r>
    </w:p>
    <w:p w14:paraId="51D0852B" w14:textId="3D1B552D" w:rsidR="00AA3499" w:rsidRPr="00AC41E0" w:rsidRDefault="00877B32" w:rsidP="00C83346">
      <w:pPr>
        <w:pStyle w:val="DCSbodytext"/>
        <w:ind w:left="868"/>
      </w:pPr>
      <w:bookmarkStart w:id="1356" w:name="_Current_assurance_frameworks"/>
      <w:bookmarkEnd w:id="1356"/>
      <w:r w:rsidRPr="00AC41E0">
        <w:t>No assurance framework specialises in IoT</w:t>
      </w:r>
      <w:r w:rsidR="00494B39" w:rsidRPr="00AC41E0">
        <w:t>, but IoT may</w:t>
      </w:r>
      <w:r w:rsidR="00011387" w:rsidRPr="00AC41E0">
        <w:t xml:space="preserve"> still</w:t>
      </w:r>
      <w:r w:rsidR="00494B39" w:rsidRPr="00AC41E0">
        <w:t xml:space="preserve"> fa</w:t>
      </w:r>
      <w:r w:rsidR="00712884" w:rsidRPr="00AC41E0">
        <w:t>ll</w:t>
      </w:r>
      <w:r w:rsidR="00114C02" w:rsidRPr="00AC41E0">
        <w:t xml:space="preserve"> under</w:t>
      </w:r>
      <w:r w:rsidR="00712884" w:rsidRPr="00AC41E0">
        <w:t xml:space="preserve"> </w:t>
      </w:r>
      <w:r w:rsidR="005C2153" w:rsidRPr="00AC41E0">
        <w:t>an</w:t>
      </w:r>
      <w:r w:rsidR="00707E27" w:rsidRPr="00AC41E0">
        <w:t xml:space="preserve"> assurance framework</w:t>
      </w:r>
      <w:r w:rsidR="00712884" w:rsidRPr="00AC41E0">
        <w:t xml:space="preserve">. </w:t>
      </w:r>
      <w:r w:rsidR="00103C9D" w:rsidRPr="00AC41E0">
        <w:t>Use the</w:t>
      </w:r>
      <w:r w:rsidR="00707E27" w:rsidRPr="00AC41E0">
        <w:t xml:space="preserve"> </w:t>
      </w:r>
      <w:r w:rsidR="00103C9D" w:rsidRPr="00AC41E0">
        <w:t xml:space="preserve">decision tree at </w:t>
      </w:r>
      <w:hyperlink r:id="rId204" w:history="1">
        <w:r w:rsidR="00707E27" w:rsidRPr="00AC41E0">
          <w:rPr>
            <w:rStyle w:val="Hyperlink"/>
          </w:rPr>
          <w:t xml:space="preserve">Attachment A of </w:t>
        </w:r>
        <w:r w:rsidR="00103C9D" w:rsidRPr="00AC41E0">
          <w:rPr>
            <w:rStyle w:val="Hyperlink"/>
          </w:rPr>
          <w:t xml:space="preserve">the </w:t>
        </w:r>
        <w:r w:rsidR="00707E27" w:rsidRPr="00AC41E0">
          <w:rPr>
            <w:rStyle w:val="Hyperlink"/>
          </w:rPr>
          <w:t>NSW Gateway Policy</w:t>
        </w:r>
      </w:hyperlink>
      <w:r w:rsidR="00707E27" w:rsidRPr="00E46FB0">
        <w:t xml:space="preserve"> </w:t>
      </w:r>
      <w:r w:rsidR="00103C9D" w:rsidRPr="00AC41E0">
        <w:t>to</w:t>
      </w:r>
      <w:r w:rsidR="00707E27" w:rsidRPr="00AC41E0">
        <w:t xml:space="preserve"> determine what assurance framework your </w:t>
      </w:r>
      <w:r w:rsidR="00103C9D" w:rsidRPr="00AC41E0">
        <w:t>project</w:t>
      </w:r>
      <w:r w:rsidR="00707E27" w:rsidRPr="00AC41E0">
        <w:t xml:space="preserve"> </w:t>
      </w:r>
      <w:r w:rsidR="00103C9D" w:rsidRPr="00AC41E0">
        <w:t>may</w:t>
      </w:r>
      <w:r w:rsidR="00707E27" w:rsidRPr="00AC41E0">
        <w:t xml:space="preserve"> fall under. </w:t>
      </w:r>
      <w:r w:rsidR="009A1422" w:rsidRPr="00AC41E0">
        <w:t xml:space="preserve">If you are unsure of which assurance framework your project may full under, contact the </w:t>
      </w:r>
      <w:hyperlink r:id="rId205" w:history="1">
        <w:r w:rsidR="009A1422" w:rsidRPr="00AC41E0">
          <w:rPr>
            <w:rStyle w:val="Hyperlink"/>
          </w:rPr>
          <w:t>Treasury Gateway team</w:t>
        </w:r>
      </w:hyperlink>
      <w:r w:rsidR="009A1422" w:rsidRPr="00E46FB0">
        <w:t xml:space="preserve"> or the most relevant GCA.  </w:t>
      </w:r>
    </w:p>
    <w:p w14:paraId="2E17056C" w14:textId="6C4F630D" w:rsidR="00154F22" w:rsidRPr="00AC41E0" w:rsidRDefault="00154F22" w:rsidP="00C83346">
      <w:pPr>
        <w:pStyle w:val="DCSbodytext"/>
        <w:ind w:left="868"/>
      </w:pPr>
      <w:r w:rsidRPr="00AC41E0">
        <w:t xml:space="preserve">If your </w:t>
      </w:r>
      <w:r w:rsidR="006B27BC" w:rsidRPr="00AC41E0">
        <w:t>IoT-enabled project</w:t>
      </w:r>
      <w:r w:rsidRPr="00AC41E0">
        <w:t xml:space="preserve">s meet the requirements of an assurance framework, you must register it with the relevant </w:t>
      </w:r>
      <w:r w:rsidR="00EF56B4" w:rsidRPr="00AC41E0">
        <w:t>GCA</w:t>
      </w:r>
      <w:r w:rsidRPr="00AC41E0">
        <w:t xml:space="preserve">. </w:t>
      </w:r>
    </w:p>
    <w:p w14:paraId="76DE0DCF" w14:textId="555BBA4F" w:rsidR="00154F22" w:rsidRPr="00AC41E0" w:rsidRDefault="00707E27" w:rsidP="00D4137E">
      <w:pPr>
        <w:pStyle w:val="DCSbodytext"/>
        <w:ind w:left="868"/>
      </w:pPr>
      <w:r w:rsidRPr="00AC41E0">
        <w:t>The</w:t>
      </w:r>
      <w:r w:rsidR="00EB4E60" w:rsidRPr="00AC41E0">
        <w:t xml:space="preserve"> following</w:t>
      </w:r>
      <w:r w:rsidRPr="00AC41E0">
        <w:t xml:space="preserve"> table sets out the scope and threshold for the three assurance </w:t>
      </w:r>
      <w:r w:rsidR="004F07C3" w:rsidRPr="00AC41E0">
        <w:t>frameworks</w:t>
      </w:r>
      <w:r w:rsidRPr="00AC41E0">
        <w:t xml:space="preserve">. </w:t>
      </w:r>
    </w:p>
    <w:p w14:paraId="1582C545" w14:textId="77777777" w:rsidR="00E35D98" w:rsidRPr="00AC41E0" w:rsidRDefault="00E35D98">
      <w:pPr>
        <w:rPr>
          <w:rFonts w:ascii="Arial" w:hAnsi="Arial"/>
          <w:b/>
          <w:sz w:val="22"/>
          <w:lang w:eastAsia="en-US"/>
        </w:rPr>
      </w:pPr>
      <w:r w:rsidRPr="00AC41E0">
        <w:rPr>
          <w:b/>
        </w:rPr>
        <w:br w:type="page"/>
      </w:r>
    </w:p>
    <w:p w14:paraId="5B9C9AD8" w14:textId="49351C12" w:rsidR="00C14664" w:rsidRPr="00AC41E0" w:rsidRDefault="000C673B" w:rsidP="00D4137E">
      <w:pPr>
        <w:pStyle w:val="DCSbodytext"/>
        <w:ind w:left="868"/>
        <w:jc w:val="center"/>
        <w:rPr>
          <w:b/>
        </w:rPr>
      </w:pPr>
      <w:r w:rsidRPr="00AC41E0">
        <w:rPr>
          <w:b/>
        </w:rPr>
        <w:lastRenderedPageBreak/>
        <w:t>Three assurance frameworks for NSW Government</w:t>
      </w:r>
    </w:p>
    <w:tbl>
      <w:tblPr>
        <w:tblStyle w:val="GridTable4-Accent1"/>
        <w:tblW w:w="8273" w:type="dxa"/>
        <w:tblInd w:w="794" w:type="dxa"/>
        <w:tblLook w:val="04A0" w:firstRow="1" w:lastRow="0" w:firstColumn="1" w:lastColumn="0" w:noHBand="0" w:noVBand="1"/>
      </w:tblPr>
      <w:tblGrid>
        <w:gridCol w:w="1647"/>
        <w:gridCol w:w="2657"/>
        <w:gridCol w:w="1985"/>
        <w:gridCol w:w="1984"/>
      </w:tblGrid>
      <w:tr w:rsidR="001B7C72" w:rsidRPr="00AC41E0" w14:paraId="40C62584" w14:textId="77777777" w:rsidTr="00110C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1F497D" w:themeFill="text2"/>
          </w:tcPr>
          <w:p w14:paraId="313E5CDC" w14:textId="533BA239" w:rsidR="001B7C72" w:rsidRPr="00AC41E0" w:rsidRDefault="001B7C72" w:rsidP="00105BA6">
            <w:pPr>
              <w:pStyle w:val="DCSbodytext"/>
              <w:spacing w:after="120"/>
              <w:ind w:left="0"/>
              <w:jc w:val="center"/>
            </w:pPr>
            <w:r w:rsidRPr="00AC41E0">
              <w:t>Assurance framework and GCA</w:t>
            </w:r>
          </w:p>
        </w:tc>
        <w:tc>
          <w:tcPr>
            <w:tcW w:w="0" w:type="dxa"/>
            <w:tcBorders>
              <w:top w:val="single" w:sz="4" w:space="0" w:color="auto"/>
              <w:left w:val="single" w:sz="4" w:space="0" w:color="auto"/>
              <w:bottom w:val="single" w:sz="4" w:space="0" w:color="auto"/>
              <w:right w:val="single" w:sz="4" w:space="0" w:color="auto"/>
            </w:tcBorders>
            <w:shd w:val="clear" w:color="auto" w:fill="1F497D" w:themeFill="text2"/>
          </w:tcPr>
          <w:p w14:paraId="407D2AF4" w14:textId="71C6FE83" w:rsidR="001B7C72" w:rsidRPr="00AC41E0" w:rsidRDefault="001B7C72" w:rsidP="00105BA6">
            <w:pPr>
              <w:pStyle w:val="DCSbodytext"/>
              <w:spacing w:after="120"/>
              <w:ind w:left="0"/>
              <w:jc w:val="center"/>
              <w:cnfStyle w:val="100000000000" w:firstRow="1" w:lastRow="0" w:firstColumn="0" w:lastColumn="0" w:oddVBand="0" w:evenVBand="0" w:oddHBand="0" w:evenHBand="0" w:firstRowFirstColumn="0" w:firstRowLastColumn="0" w:lastRowFirstColumn="0" w:lastRowLastColumn="0"/>
            </w:pPr>
            <w:r w:rsidRPr="00AC41E0">
              <w:t>Project</w:t>
            </w:r>
            <w:r w:rsidR="00155851" w:rsidRPr="00AC41E0">
              <w:t>s</w:t>
            </w:r>
            <w:r w:rsidRPr="00AC41E0">
              <w:t xml:space="preserve"> covered </w:t>
            </w:r>
            <w:r w:rsidR="00155851" w:rsidRPr="00AC41E0">
              <w:t>by</w:t>
            </w:r>
            <w:r w:rsidRPr="00AC41E0">
              <w:t xml:space="preserve"> the assurance framework</w:t>
            </w:r>
          </w:p>
        </w:tc>
        <w:tc>
          <w:tcPr>
            <w:tcW w:w="0" w:type="dxa"/>
            <w:tcBorders>
              <w:top w:val="single" w:sz="4" w:space="0" w:color="auto"/>
              <w:left w:val="single" w:sz="4" w:space="0" w:color="auto"/>
              <w:bottom w:val="single" w:sz="4" w:space="0" w:color="auto"/>
              <w:right w:val="single" w:sz="4" w:space="0" w:color="auto"/>
            </w:tcBorders>
            <w:shd w:val="clear" w:color="auto" w:fill="1F497D" w:themeFill="text2"/>
          </w:tcPr>
          <w:p w14:paraId="1CE5B3FA" w14:textId="60EB6756" w:rsidR="001B7C72" w:rsidRPr="00AC41E0" w:rsidRDefault="001B7C72" w:rsidP="00105BA6">
            <w:pPr>
              <w:pStyle w:val="DCSbodytext"/>
              <w:spacing w:after="120"/>
              <w:ind w:left="0"/>
              <w:jc w:val="center"/>
              <w:cnfStyle w:val="100000000000" w:firstRow="1" w:lastRow="0" w:firstColumn="0" w:lastColumn="0" w:oddVBand="0" w:evenVBand="0" w:oddHBand="0" w:evenHBand="0" w:firstRowFirstColumn="0" w:firstRowLastColumn="0" w:lastRowFirstColumn="0" w:lastRowLastColumn="0"/>
            </w:pPr>
            <w:r w:rsidRPr="00AC41E0">
              <w:t>Project value ($)</w:t>
            </w:r>
          </w:p>
        </w:tc>
        <w:tc>
          <w:tcPr>
            <w:tcW w:w="0" w:type="dxa"/>
            <w:tcBorders>
              <w:top w:val="single" w:sz="4" w:space="0" w:color="auto"/>
              <w:left w:val="single" w:sz="4" w:space="0" w:color="auto"/>
              <w:bottom w:val="single" w:sz="4" w:space="0" w:color="auto"/>
              <w:right w:val="single" w:sz="4" w:space="0" w:color="auto"/>
            </w:tcBorders>
            <w:shd w:val="clear" w:color="auto" w:fill="1F497D" w:themeFill="text2"/>
          </w:tcPr>
          <w:p w14:paraId="33362F6D" w14:textId="66079049" w:rsidR="001B7C72" w:rsidRPr="00AC41E0" w:rsidRDefault="001B7C72" w:rsidP="00105BA6">
            <w:pPr>
              <w:pStyle w:val="DCSbodytext"/>
              <w:spacing w:after="120"/>
              <w:ind w:left="0"/>
              <w:jc w:val="center"/>
              <w:cnfStyle w:val="100000000000" w:firstRow="1" w:lastRow="0" w:firstColumn="0" w:lastColumn="0" w:oddVBand="0" w:evenVBand="0" w:oddHBand="0" w:evenHBand="0" w:firstRowFirstColumn="0" w:firstRowLastColumn="0" w:lastRowFirstColumn="0" w:lastRowLastColumn="0"/>
            </w:pPr>
            <w:r w:rsidRPr="00AC41E0">
              <w:t xml:space="preserve">Example of </w:t>
            </w:r>
            <w:r w:rsidR="00923CD3" w:rsidRPr="00AC41E0">
              <w:t xml:space="preserve">IoT-enabled </w:t>
            </w:r>
            <w:r w:rsidRPr="00AC41E0">
              <w:t>project</w:t>
            </w:r>
            <w:r w:rsidR="00923CD3" w:rsidRPr="00AC41E0">
              <w:t xml:space="preserve">s </w:t>
            </w:r>
          </w:p>
        </w:tc>
      </w:tr>
      <w:tr w:rsidR="001B7C72" w:rsidRPr="00AC41E0" w14:paraId="5BA0D4CE" w14:textId="77777777" w:rsidTr="00836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Borders>
              <w:top w:val="single" w:sz="4" w:space="0" w:color="auto"/>
            </w:tcBorders>
          </w:tcPr>
          <w:p w14:paraId="10E96109" w14:textId="77777777" w:rsidR="001B7C72" w:rsidRPr="00E46FB0" w:rsidRDefault="00084371" w:rsidP="00C2187D">
            <w:pPr>
              <w:pStyle w:val="DCSbodytext"/>
              <w:spacing w:after="120"/>
              <w:ind w:left="0"/>
              <w:rPr>
                <w:rStyle w:val="Hyperlink"/>
              </w:rPr>
            </w:pPr>
            <w:hyperlink r:id="rId206" w:history="1">
              <w:r w:rsidR="001B7C72" w:rsidRPr="00AC41E0">
                <w:rPr>
                  <w:rStyle w:val="Hyperlink"/>
                </w:rPr>
                <w:t>ICT Assurance Framework</w:t>
              </w:r>
            </w:hyperlink>
          </w:p>
          <w:p w14:paraId="0C9A0648" w14:textId="643C43E6" w:rsidR="001B7C72" w:rsidRPr="00AC41E0" w:rsidRDefault="001B7C72" w:rsidP="00C2187D">
            <w:pPr>
              <w:pStyle w:val="DCSbodytext"/>
              <w:spacing w:after="120"/>
              <w:ind w:left="0"/>
            </w:pPr>
            <w:r w:rsidRPr="00AC41E0">
              <w:t>NSW Department of Customer Service</w:t>
            </w:r>
          </w:p>
        </w:tc>
        <w:tc>
          <w:tcPr>
            <w:tcW w:w="2657" w:type="dxa"/>
            <w:tcBorders>
              <w:top w:val="single" w:sz="4" w:space="0" w:color="auto"/>
            </w:tcBorders>
          </w:tcPr>
          <w:p w14:paraId="009C6C9E" w14:textId="77777777" w:rsidR="001B7C72" w:rsidRPr="00AC41E0" w:rsidRDefault="001B7C72" w:rsidP="00D978A4">
            <w:pPr>
              <w:pStyle w:val="DCSbodytext"/>
              <w:numPr>
                <w:ilvl w:val="0"/>
                <w:numId w:val="59"/>
              </w:numPr>
              <w:spacing w:after="120"/>
              <w:cnfStyle w:val="000000100000" w:firstRow="0" w:lastRow="0" w:firstColumn="0" w:lastColumn="0" w:oddVBand="0" w:evenVBand="0" w:oddHBand="1" w:evenHBand="0" w:firstRowFirstColumn="0" w:firstRowLastColumn="0" w:lastRowFirstColumn="0" w:lastRowLastColumn="0"/>
            </w:pPr>
            <w:r w:rsidRPr="00AC41E0">
              <w:t>Information and Communications Technology (ICT)</w:t>
            </w:r>
          </w:p>
          <w:p w14:paraId="228E0126" w14:textId="77777777" w:rsidR="001B7C72" w:rsidRPr="00AC41E0" w:rsidRDefault="001B7C72" w:rsidP="00D978A4">
            <w:pPr>
              <w:pStyle w:val="DCSbodytext"/>
              <w:numPr>
                <w:ilvl w:val="0"/>
                <w:numId w:val="59"/>
              </w:numPr>
              <w:spacing w:after="120"/>
              <w:cnfStyle w:val="000000100000" w:firstRow="0" w:lastRow="0" w:firstColumn="0" w:lastColumn="0" w:oddVBand="0" w:evenVBand="0" w:oddHBand="1" w:evenHBand="0" w:firstRowFirstColumn="0" w:firstRowLastColumn="0" w:lastRowFirstColumn="0" w:lastRowLastColumn="0"/>
            </w:pPr>
            <w:r w:rsidRPr="00AC41E0">
              <w:t>Programs directed by Cabinet</w:t>
            </w:r>
          </w:p>
          <w:p w14:paraId="0BEFBD05" w14:textId="7EC5ED04" w:rsidR="001B7C72" w:rsidRPr="00AC41E0" w:rsidRDefault="001B7C72" w:rsidP="00D978A4">
            <w:pPr>
              <w:pStyle w:val="DCSbodytext"/>
              <w:numPr>
                <w:ilvl w:val="0"/>
                <w:numId w:val="59"/>
              </w:numPr>
              <w:spacing w:after="120"/>
              <w:cnfStyle w:val="000000100000" w:firstRow="0" w:lastRow="0" w:firstColumn="0" w:lastColumn="0" w:oddVBand="0" w:evenVBand="0" w:oddHBand="1" w:evenHBand="0" w:firstRowFirstColumn="0" w:firstRowLastColumn="0" w:lastRowFirstColumn="0" w:lastRowLastColumn="0"/>
            </w:pPr>
            <w:r w:rsidRPr="00AC41E0">
              <w:t xml:space="preserve">Programs nominated by </w:t>
            </w:r>
            <w:r w:rsidR="00CD3F99" w:rsidRPr="00AC41E0">
              <w:t xml:space="preserve">NSW </w:t>
            </w:r>
            <w:r w:rsidRPr="00AC41E0">
              <w:t>Treasury or self-nominated by</w:t>
            </w:r>
            <w:r w:rsidR="00AA52B5" w:rsidRPr="00AC41E0">
              <w:t xml:space="preserve"> the NSW Government</w:t>
            </w:r>
            <w:r w:rsidRPr="00AC41E0">
              <w:t xml:space="preserve"> agency</w:t>
            </w:r>
            <w:r w:rsidR="00CD3F99" w:rsidRPr="00AC41E0">
              <w:t>.</w:t>
            </w:r>
          </w:p>
        </w:tc>
        <w:tc>
          <w:tcPr>
            <w:tcW w:w="1985" w:type="dxa"/>
            <w:tcBorders>
              <w:top w:val="single" w:sz="4" w:space="0" w:color="auto"/>
            </w:tcBorders>
          </w:tcPr>
          <w:p w14:paraId="07331986" w14:textId="777B4528" w:rsidR="001B7C72" w:rsidRPr="00AC41E0" w:rsidRDefault="001B7C72" w:rsidP="00C2187D">
            <w:pPr>
              <w:pStyle w:val="DCSbodytext"/>
              <w:spacing w:after="120"/>
              <w:ind w:left="0"/>
              <w:cnfStyle w:val="000000100000" w:firstRow="0" w:lastRow="0" w:firstColumn="0" w:lastColumn="0" w:oddVBand="0" w:evenVBand="0" w:oddHBand="1" w:evenHBand="0" w:firstRowFirstColumn="0" w:firstRowLastColumn="0" w:lastRowFirstColumn="0" w:lastRowLastColumn="0"/>
            </w:pPr>
            <w:r w:rsidRPr="00AC41E0">
              <w:t>$10 million or higher (</w:t>
            </w:r>
            <w:r w:rsidR="00340EB9" w:rsidRPr="00AC41E0">
              <w:t xml:space="preserve">unless </w:t>
            </w:r>
            <w:r w:rsidR="002E1E65" w:rsidRPr="00AC41E0">
              <w:t xml:space="preserve">the </w:t>
            </w:r>
            <w:r w:rsidR="00340EB9" w:rsidRPr="00AC41E0">
              <w:t xml:space="preserve">project is of </w:t>
            </w:r>
            <w:r w:rsidRPr="00AC41E0">
              <w:t>or strategic importance/ high risk)</w:t>
            </w:r>
          </w:p>
        </w:tc>
        <w:tc>
          <w:tcPr>
            <w:tcW w:w="1984" w:type="dxa"/>
            <w:tcBorders>
              <w:top w:val="single" w:sz="4" w:space="0" w:color="auto"/>
            </w:tcBorders>
          </w:tcPr>
          <w:p w14:paraId="4E66DFB4" w14:textId="4F18FB21" w:rsidR="001B7C72" w:rsidRPr="00AC41E0" w:rsidRDefault="001B7C72" w:rsidP="00C2187D">
            <w:pPr>
              <w:pStyle w:val="DCSbodytext"/>
              <w:spacing w:after="120"/>
              <w:ind w:left="0"/>
              <w:cnfStyle w:val="000000100000" w:firstRow="0" w:lastRow="0" w:firstColumn="0" w:lastColumn="0" w:oddVBand="0" w:evenVBand="0" w:oddHBand="1" w:evenHBand="0" w:firstRowFirstColumn="0" w:firstRowLastColumn="0" w:lastRowFirstColumn="0" w:lastRowLastColumn="0"/>
            </w:pPr>
            <w:r w:rsidRPr="00AC41E0">
              <w:t xml:space="preserve">Mobile pathology machines to test a patient’s blood at </w:t>
            </w:r>
            <w:r w:rsidR="002E1E65" w:rsidRPr="00AC41E0">
              <w:t xml:space="preserve">the </w:t>
            </w:r>
            <w:r w:rsidRPr="00AC41E0">
              <w:t>point of care.</w:t>
            </w:r>
          </w:p>
        </w:tc>
      </w:tr>
      <w:tr w:rsidR="001B7C72" w:rsidRPr="00AC41E0" w14:paraId="0618A668" w14:textId="77777777" w:rsidTr="00836013">
        <w:tc>
          <w:tcPr>
            <w:cnfStyle w:val="001000000000" w:firstRow="0" w:lastRow="0" w:firstColumn="1" w:lastColumn="0" w:oddVBand="0" w:evenVBand="0" w:oddHBand="0" w:evenHBand="0" w:firstRowFirstColumn="0" w:firstRowLastColumn="0" w:lastRowFirstColumn="0" w:lastRowLastColumn="0"/>
            <w:tcW w:w="1647" w:type="dxa"/>
          </w:tcPr>
          <w:p w14:paraId="0052D7C4" w14:textId="77777777" w:rsidR="001B7C72" w:rsidRPr="00E46FB0" w:rsidRDefault="00084371" w:rsidP="00C2187D">
            <w:pPr>
              <w:pStyle w:val="DCSbodytext"/>
              <w:spacing w:after="120"/>
              <w:ind w:left="0"/>
              <w:rPr>
                <w:rStyle w:val="Hyperlink"/>
              </w:rPr>
            </w:pPr>
            <w:hyperlink r:id="rId207" w:history="1">
              <w:r w:rsidR="001B7C72" w:rsidRPr="00AC41E0">
                <w:rPr>
                  <w:rStyle w:val="Hyperlink"/>
                </w:rPr>
                <w:t>Infrastructure Investment Assurance Framework</w:t>
              </w:r>
            </w:hyperlink>
          </w:p>
          <w:p w14:paraId="4410C990" w14:textId="052C2CA2" w:rsidR="001B7C72" w:rsidRPr="00AC41E0" w:rsidRDefault="001B7C72" w:rsidP="00C2187D">
            <w:pPr>
              <w:pStyle w:val="DCSbodytext"/>
              <w:spacing w:after="120"/>
              <w:ind w:left="0"/>
            </w:pPr>
            <w:r w:rsidRPr="00AC41E0">
              <w:t>Infrastructure NSW</w:t>
            </w:r>
          </w:p>
        </w:tc>
        <w:tc>
          <w:tcPr>
            <w:tcW w:w="2657" w:type="dxa"/>
          </w:tcPr>
          <w:p w14:paraId="0AB8FFB3" w14:textId="77777777" w:rsidR="001B7C72" w:rsidRPr="00AC41E0" w:rsidRDefault="001B7C72" w:rsidP="0003467D">
            <w:pPr>
              <w:pStyle w:val="DCSbodytext"/>
              <w:numPr>
                <w:ilvl w:val="0"/>
                <w:numId w:val="42"/>
              </w:numPr>
              <w:spacing w:after="120"/>
              <w:cnfStyle w:val="000000000000" w:firstRow="0" w:lastRow="0" w:firstColumn="0" w:lastColumn="0" w:oddVBand="0" w:evenVBand="0" w:oddHBand="0" w:evenHBand="0" w:firstRowFirstColumn="0" w:firstRowLastColumn="0" w:lastRowFirstColumn="0" w:lastRowLastColumn="0"/>
            </w:pPr>
            <w:r w:rsidRPr="00AC41E0">
              <w:t xml:space="preserve">Infrastructure </w:t>
            </w:r>
          </w:p>
          <w:p w14:paraId="76362464" w14:textId="77777777" w:rsidR="001B7C72" w:rsidRPr="00AC41E0" w:rsidRDefault="001B7C72" w:rsidP="0003467D">
            <w:pPr>
              <w:pStyle w:val="DCSbodytext"/>
              <w:numPr>
                <w:ilvl w:val="0"/>
                <w:numId w:val="42"/>
              </w:numPr>
              <w:spacing w:after="120"/>
              <w:cnfStyle w:val="000000000000" w:firstRow="0" w:lastRow="0" w:firstColumn="0" w:lastColumn="0" w:oddVBand="0" w:evenVBand="0" w:oddHBand="0" w:evenHBand="0" w:firstRowFirstColumn="0" w:firstRowLastColumn="0" w:lastRowFirstColumn="0" w:lastRowLastColumn="0"/>
            </w:pPr>
            <w:r w:rsidRPr="00AC41E0">
              <w:t xml:space="preserve">Equipment </w:t>
            </w:r>
          </w:p>
          <w:p w14:paraId="161F0A5A" w14:textId="77777777" w:rsidR="001B7C72" w:rsidRPr="00AC41E0" w:rsidRDefault="001B7C72" w:rsidP="0003467D">
            <w:pPr>
              <w:pStyle w:val="DCSbodytext"/>
              <w:numPr>
                <w:ilvl w:val="0"/>
                <w:numId w:val="42"/>
              </w:numPr>
              <w:spacing w:after="120"/>
              <w:cnfStyle w:val="000000000000" w:firstRow="0" w:lastRow="0" w:firstColumn="0" w:lastColumn="0" w:oddVBand="0" w:evenVBand="0" w:oddHBand="0" w:evenHBand="0" w:firstRowFirstColumn="0" w:firstRowLastColumn="0" w:lastRowFirstColumn="0" w:lastRowLastColumn="0"/>
            </w:pPr>
            <w:r w:rsidRPr="00AC41E0">
              <w:t>Property Development</w:t>
            </w:r>
          </w:p>
          <w:p w14:paraId="3FDCDDDC" w14:textId="77777777" w:rsidR="001B7C72" w:rsidRPr="00AC41E0" w:rsidRDefault="001B7C72" w:rsidP="0003467D">
            <w:pPr>
              <w:pStyle w:val="DCSbodytext"/>
              <w:numPr>
                <w:ilvl w:val="0"/>
                <w:numId w:val="42"/>
              </w:numPr>
              <w:spacing w:after="120"/>
              <w:cnfStyle w:val="000000000000" w:firstRow="0" w:lastRow="0" w:firstColumn="0" w:lastColumn="0" w:oddVBand="0" w:evenVBand="0" w:oddHBand="0" w:evenHBand="0" w:firstRowFirstColumn="0" w:firstRowLastColumn="0" w:lastRowFirstColumn="0" w:lastRowLastColumn="0"/>
            </w:pPr>
            <w:r w:rsidRPr="00AC41E0">
              <w:t>Operational Technology</w:t>
            </w:r>
          </w:p>
          <w:p w14:paraId="58C28235" w14:textId="77777777" w:rsidR="001B7C72" w:rsidRPr="00AC41E0" w:rsidRDefault="001B7C72" w:rsidP="0003467D">
            <w:pPr>
              <w:pStyle w:val="DCSbodytext"/>
              <w:numPr>
                <w:ilvl w:val="0"/>
                <w:numId w:val="42"/>
              </w:numPr>
              <w:spacing w:after="120"/>
              <w:cnfStyle w:val="000000000000" w:firstRow="0" w:lastRow="0" w:firstColumn="0" w:lastColumn="0" w:oddVBand="0" w:evenVBand="0" w:oddHBand="0" w:evenHBand="0" w:firstRowFirstColumn="0" w:firstRowLastColumn="0" w:lastRowFirstColumn="0" w:lastRowLastColumn="0"/>
            </w:pPr>
            <w:r w:rsidRPr="00AC41E0">
              <w:t>Programs directed by Cabinet</w:t>
            </w:r>
          </w:p>
          <w:p w14:paraId="53117446" w14:textId="0A22B9DA" w:rsidR="001B7C72" w:rsidRPr="00AC41E0" w:rsidRDefault="001B7C72" w:rsidP="0003467D">
            <w:pPr>
              <w:pStyle w:val="DCSbodytext"/>
              <w:numPr>
                <w:ilvl w:val="0"/>
                <w:numId w:val="42"/>
              </w:numPr>
              <w:spacing w:after="120"/>
              <w:cnfStyle w:val="000000000000" w:firstRow="0" w:lastRow="0" w:firstColumn="0" w:lastColumn="0" w:oddVBand="0" w:evenVBand="0" w:oddHBand="0" w:evenHBand="0" w:firstRowFirstColumn="0" w:firstRowLastColumn="0" w:lastRowFirstColumn="0" w:lastRowLastColumn="0"/>
            </w:pPr>
            <w:r w:rsidRPr="00AC41E0">
              <w:t xml:space="preserve">Programs nominated by </w:t>
            </w:r>
            <w:r w:rsidR="00CD3F99" w:rsidRPr="00AC41E0">
              <w:t xml:space="preserve">NSW </w:t>
            </w:r>
            <w:r w:rsidRPr="00AC41E0">
              <w:t>Treasury or self-nominated by the</w:t>
            </w:r>
            <w:r w:rsidR="00CD3F99" w:rsidRPr="00AC41E0">
              <w:t xml:space="preserve"> NSW Government</w:t>
            </w:r>
            <w:r w:rsidRPr="00AC41E0">
              <w:t xml:space="preserve"> agency</w:t>
            </w:r>
            <w:r w:rsidR="00CD3F99" w:rsidRPr="00AC41E0">
              <w:t>.</w:t>
            </w:r>
          </w:p>
        </w:tc>
        <w:tc>
          <w:tcPr>
            <w:tcW w:w="1985" w:type="dxa"/>
          </w:tcPr>
          <w:p w14:paraId="5FA68EE6" w14:textId="66749617" w:rsidR="001B7C72" w:rsidRPr="00AC41E0" w:rsidRDefault="001B7C72" w:rsidP="00C2187D">
            <w:pPr>
              <w:pStyle w:val="DCSbodytext"/>
              <w:spacing w:after="120"/>
              <w:ind w:left="0"/>
              <w:cnfStyle w:val="000000000000" w:firstRow="0" w:lastRow="0" w:firstColumn="0" w:lastColumn="0" w:oddVBand="0" w:evenVBand="0" w:oddHBand="0" w:evenHBand="0" w:firstRowFirstColumn="0" w:firstRowLastColumn="0" w:lastRowFirstColumn="0" w:lastRowLastColumn="0"/>
            </w:pPr>
            <w:r w:rsidRPr="00AC41E0">
              <w:t>$10 million or higher</w:t>
            </w:r>
          </w:p>
        </w:tc>
        <w:tc>
          <w:tcPr>
            <w:tcW w:w="1984" w:type="dxa"/>
          </w:tcPr>
          <w:p w14:paraId="03E88EB9" w14:textId="77777777" w:rsidR="001B7C72" w:rsidRPr="00AC41E0" w:rsidRDefault="001B7C72" w:rsidP="00C2187D">
            <w:pPr>
              <w:pStyle w:val="DCSbodytext"/>
              <w:spacing w:after="120"/>
              <w:ind w:left="0"/>
              <w:cnfStyle w:val="000000000000" w:firstRow="0" w:lastRow="0" w:firstColumn="0" w:lastColumn="0" w:oddVBand="0" w:evenVBand="0" w:oddHBand="0" w:evenHBand="0" w:firstRowFirstColumn="0" w:firstRowLastColumn="0" w:lastRowFirstColumn="0" w:lastRowLastColumn="0"/>
            </w:pPr>
            <w:r w:rsidRPr="00AC41E0">
              <w:t>Installation of sensors to monitor traffic volumes, types of vehicles and the condition of the road</w:t>
            </w:r>
          </w:p>
          <w:p w14:paraId="13C4F5DC" w14:textId="02817230" w:rsidR="001B7C72" w:rsidRPr="00AC41E0" w:rsidRDefault="001B7C72" w:rsidP="00C2187D">
            <w:pPr>
              <w:pStyle w:val="DCSbodytext"/>
              <w:spacing w:after="120"/>
              <w:ind w:left="0"/>
              <w:cnfStyle w:val="000000000000" w:firstRow="0" w:lastRow="0" w:firstColumn="0" w:lastColumn="0" w:oddVBand="0" w:evenVBand="0" w:oddHBand="0" w:evenHBand="0" w:firstRowFirstColumn="0" w:firstRowLastColumn="0" w:lastRowFirstColumn="0" w:lastRowLastColumn="0"/>
            </w:pPr>
          </w:p>
        </w:tc>
      </w:tr>
      <w:tr w:rsidR="001B7C72" w:rsidRPr="00AC41E0" w14:paraId="6ECCD514" w14:textId="77777777" w:rsidTr="00836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5E15F005" w14:textId="77777777" w:rsidR="001B7C72" w:rsidRPr="00E46FB0" w:rsidRDefault="00084371" w:rsidP="00C2187D">
            <w:pPr>
              <w:pStyle w:val="DCSbodytext"/>
              <w:spacing w:after="120"/>
              <w:ind w:left="0"/>
              <w:rPr>
                <w:rStyle w:val="Hyperlink"/>
              </w:rPr>
            </w:pPr>
            <w:hyperlink r:id="rId208" w:history="1">
              <w:r w:rsidR="001B7C72" w:rsidRPr="00AC41E0">
                <w:rPr>
                  <w:rStyle w:val="Hyperlink"/>
                </w:rPr>
                <w:t>Recurrent Expenditure Assurance Framework</w:t>
              </w:r>
            </w:hyperlink>
          </w:p>
          <w:p w14:paraId="2E6AD1B0" w14:textId="0AA5E89B" w:rsidR="001B7C72" w:rsidRPr="00AC41E0" w:rsidRDefault="001B7C72" w:rsidP="00C2187D">
            <w:pPr>
              <w:pStyle w:val="DCSbodytext"/>
              <w:spacing w:after="120"/>
              <w:ind w:left="0"/>
              <w:rPr>
                <w:rStyle w:val="Hyperlink"/>
                <w:b/>
              </w:rPr>
            </w:pPr>
            <w:r w:rsidRPr="00AC41E0">
              <w:t>NSW Treasury</w:t>
            </w:r>
          </w:p>
        </w:tc>
        <w:tc>
          <w:tcPr>
            <w:tcW w:w="2657" w:type="dxa"/>
          </w:tcPr>
          <w:p w14:paraId="19D92E4B" w14:textId="6121946F" w:rsidR="001B7C72" w:rsidRPr="00AC41E0" w:rsidRDefault="001B7C72" w:rsidP="0003467D">
            <w:pPr>
              <w:pStyle w:val="DCSbodytext"/>
              <w:numPr>
                <w:ilvl w:val="0"/>
                <w:numId w:val="43"/>
              </w:numPr>
              <w:spacing w:after="120"/>
              <w:cnfStyle w:val="000000100000" w:firstRow="0" w:lastRow="0" w:firstColumn="0" w:lastColumn="0" w:oddVBand="0" w:evenVBand="0" w:oddHBand="1" w:evenHBand="0" w:firstRowFirstColumn="0" w:firstRowLastColumn="0" w:lastRowFirstColumn="0" w:lastRowLastColumn="0"/>
            </w:pPr>
            <w:r w:rsidRPr="00AC41E0">
              <w:t>Recurrent expenditure projects and programs (excluding predominantly capital infrastructure and ICT investment)</w:t>
            </w:r>
          </w:p>
          <w:p w14:paraId="3BD1BEA0" w14:textId="60486061" w:rsidR="001B7C72" w:rsidRPr="00AC41E0" w:rsidRDefault="001B7C72" w:rsidP="0003467D">
            <w:pPr>
              <w:pStyle w:val="DCSbodytext"/>
              <w:numPr>
                <w:ilvl w:val="0"/>
                <w:numId w:val="43"/>
              </w:numPr>
              <w:spacing w:after="120"/>
              <w:cnfStyle w:val="000000100000" w:firstRow="0" w:lastRow="0" w:firstColumn="0" w:lastColumn="0" w:oddVBand="0" w:evenVBand="0" w:oddHBand="1" w:evenHBand="0" w:firstRowFirstColumn="0" w:firstRowLastColumn="0" w:lastRowFirstColumn="0" w:lastRowLastColumn="0"/>
            </w:pPr>
            <w:r w:rsidRPr="00AC41E0">
              <w:t>Programs directed by Cabinet</w:t>
            </w:r>
          </w:p>
          <w:p w14:paraId="52FB26A0" w14:textId="7469B582" w:rsidR="001B7C72" w:rsidRPr="00AC41E0" w:rsidRDefault="001B7C72" w:rsidP="0003467D">
            <w:pPr>
              <w:pStyle w:val="DCSbodytext"/>
              <w:numPr>
                <w:ilvl w:val="0"/>
                <w:numId w:val="42"/>
              </w:numPr>
              <w:spacing w:after="120"/>
              <w:cnfStyle w:val="000000100000" w:firstRow="0" w:lastRow="0" w:firstColumn="0" w:lastColumn="0" w:oddVBand="0" w:evenVBand="0" w:oddHBand="1" w:evenHBand="0" w:firstRowFirstColumn="0" w:firstRowLastColumn="0" w:lastRowFirstColumn="0" w:lastRowLastColumn="0"/>
            </w:pPr>
            <w:r w:rsidRPr="00AC41E0">
              <w:t xml:space="preserve">Programs nominated by </w:t>
            </w:r>
            <w:r w:rsidR="002B4106" w:rsidRPr="00AC41E0">
              <w:t xml:space="preserve">NSW </w:t>
            </w:r>
            <w:r w:rsidRPr="00AC41E0">
              <w:t>Treasury or self-nominated by the agency.</w:t>
            </w:r>
          </w:p>
        </w:tc>
        <w:tc>
          <w:tcPr>
            <w:tcW w:w="1985" w:type="dxa"/>
          </w:tcPr>
          <w:p w14:paraId="0805B23A" w14:textId="004BFC41" w:rsidR="001B7C72" w:rsidRPr="00AC41E0" w:rsidRDefault="001B7C72" w:rsidP="00C2187D">
            <w:pPr>
              <w:pStyle w:val="DCSbodytext"/>
              <w:spacing w:after="120"/>
              <w:ind w:left="0"/>
              <w:cnfStyle w:val="000000100000" w:firstRow="0" w:lastRow="0" w:firstColumn="0" w:lastColumn="0" w:oddVBand="0" w:evenVBand="0" w:oddHBand="1" w:evenHBand="0" w:firstRowFirstColumn="0" w:firstRowLastColumn="0" w:lastRowFirstColumn="0" w:lastRowLastColumn="0"/>
            </w:pPr>
            <w:r w:rsidRPr="00AC41E0">
              <w:t>Greater than or equal to $100 million over four years, or greater than or equal to $50 million per annum.</w:t>
            </w:r>
          </w:p>
        </w:tc>
        <w:tc>
          <w:tcPr>
            <w:tcW w:w="1984" w:type="dxa"/>
          </w:tcPr>
          <w:p w14:paraId="5D931656" w14:textId="5F0B2FEC" w:rsidR="001B7C72" w:rsidRPr="00AC41E0" w:rsidRDefault="001B7C72" w:rsidP="00C2187D">
            <w:pPr>
              <w:pStyle w:val="DCSbodytext"/>
              <w:spacing w:after="120"/>
              <w:ind w:left="0"/>
              <w:cnfStyle w:val="000000100000" w:firstRow="0" w:lastRow="0" w:firstColumn="0" w:lastColumn="0" w:oddVBand="0" w:evenVBand="0" w:oddHBand="1" w:evenHBand="0" w:firstRowFirstColumn="0" w:firstRowLastColumn="0" w:lastRowFirstColumn="0" w:lastRowLastColumn="0"/>
            </w:pPr>
            <w:r w:rsidRPr="00AC41E0">
              <w:t>Cleaning contracts that use IoT devices to remotely monitor bathroom cleaning needs.</w:t>
            </w:r>
          </w:p>
        </w:tc>
      </w:tr>
    </w:tbl>
    <w:p w14:paraId="10AF0902" w14:textId="12409FA9" w:rsidR="00E029E7" w:rsidRPr="00AC41E0" w:rsidRDefault="00E029E7" w:rsidP="00D4137E">
      <w:pPr>
        <w:pStyle w:val="DCSbodytext"/>
        <w:ind w:left="868"/>
      </w:pPr>
    </w:p>
    <w:p w14:paraId="21D2EA48" w14:textId="218D4B5C" w:rsidR="00707E27" w:rsidRPr="00AC41E0" w:rsidRDefault="00707E27" w:rsidP="00D4137E">
      <w:pPr>
        <w:pStyle w:val="Heading4"/>
        <w:tabs>
          <w:tab w:val="clear" w:pos="1588"/>
          <w:tab w:val="num" w:pos="1662"/>
        </w:tabs>
        <w:ind w:left="1662"/>
        <w:rPr>
          <w:rFonts w:ascii="Arial" w:hAnsi="Arial"/>
        </w:rPr>
      </w:pPr>
      <w:bookmarkStart w:id="1357" w:name="_ICT_Assurance_Framework"/>
      <w:bookmarkStart w:id="1358" w:name="_Internal_assurance_for"/>
      <w:bookmarkStart w:id="1359" w:name="_Toc13489221"/>
      <w:bookmarkEnd w:id="1357"/>
      <w:bookmarkEnd w:id="1358"/>
      <w:r w:rsidRPr="00AC41E0">
        <w:rPr>
          <w:rFonts w:ascii="Arial" w:hAnsi="Arial"/>
        </w:rPr>
        <w:t>Internal assurance</w:t>
      </w:r>
      <w:bookmarkEnd w:id="1359"/>
    </w:p>
    <w:p w14:paraId="279EDE03" w14:textId="3C97E97A" w:rsidR="00DE064F" w:rsidRPr="00AC41E0" w:rsidRDefault="0077075D" w:rsidP="00D4137E">
      <w:pPr>
        <w:pStyle w:val="DCSbodytext"/>
        <w:ind w:left="868"/>
      </w:pPr>
      <w:r w:rsidRPr="00AC41E0">
        <w:t>You need to engage in some form of internal assurance to monitor the ongoing viability of your project r</w:t>
      </w:r>
      <w:r w:rsidR="00707E27" w:rsidRPr="00AC41E0">
        <w:t xml:space="preserve">egardless of whether your project meets the threshold </w:t>
      </w:r>
      <w:r w:rsidR="007E774B" w:rsidRPr="00AC41E0">
        <w:t>for a Gateway Review</w:t>
      </w:r>
      <w:r w:rsidR="00DA6D1A" w:rsidRPr="00AC41E0">
        <w:t xml:space="preserve"> (or if you are a local council).</w:t>
      </w:r>
      <w:r w:rsidR="00707E27" w:rsidRPr="00AC41E0">
        <w:t xml:space="preserve"> </w:t>
      </w:r>
      <w:r w:rsidR="00BB2187" w:rsidRPr="00AC41E0">
        <w:t>The</w:t>
      </w:r>
      <w:r w:rsidR="00707E27" w:rsidRPr="00AC41E0">
        <w:t xml:space="preserve"> Gateway Assurance process</w:t>
      </w:r>
      <w:r w:rsidR="00170988" w:rsidRPr="00AC41E0">
        <w:t xml:space="preserve"> is</w:t>
      </w:r>
      <w:r w:rsidR="00707E27" w:rsidRPr="00AC41E0">
        <w:t xml:space="preserve"> not a substitute for an internal assurance process. </w:t>
      </w:r>
      <w:r w:rsidR="00B16D51" w:rsidRPr="00AC41E0">
        <w:t xml:space="preserve">Check within your organisation what internal assurance </w:t>
      </w:r>
      <w:r w:rsidR="00D02341" w:rsidRPr="00AC41E0">
        <w:t xml:space="preserve">processes exist. </w:t>
      </w:r>
    </w:p>
    <w:p w14:paraId="0954ACC5" w14:textId="3F1D7890" w:rsidR="00F26062" w:rsidRPr="00AC41E0" w:rsidRDefault="00F26062" w:rsidP="00D4137E">
      <w:pPr>
        <w:pStyle w:val="DCSbodytext"/>
        <w:ind w:left="868"/>
      </w:pPr>
      <w:r w:rsidRPr="00AC41E0">
        <w:t>Take a risk-based approach to ensure the scale of assurance is proportionate to the project. For example</w:t>
      </w:r>
      <w:r w:rsidR="00641CB1" w:rsidRPr="00AC41E0">
        <w:t>,</w:t>
      </w:r>
      <w:r w:rsidRPr="00AC41E0">
        <w:t xml:space="preserve"> low risk/value projects will have a less onerous assurance process involving fewer touchpoints in the project lifecycle</w:t>
      </w:r>
      <w:r w:rsidR="00010E35" w:rsidRPr="00AC41E0">
        <w:t xml:space="preserve"> than a high risk/value project.</w:t>
      </w:r>
      <w:r w:rsidRPr="00AC41E0">
        <w:t xml:space="preserve"> </w:t>
      </w:r>
    </w:p>
    <w:p w14:paraId="2F3D5AD1" w14:textId="7069F353" w:rsidR="00707E27" w:rsidRPr="00AC41E0" w:rsidRDefault="00FD4FD6" w:rsidP="00D4137E">
      <w:pPr>
        <w:pStyle w:val="DCSbodytext"/>
        <w:ind w:left="868"/>
      </w:pPr>
      <w:r w:rsidRPr="00AC41E0">
        <w:t>Remember that a</w:t>
      </w:r>
      <w:r w:rsidR="00707E27" w:rsidRPr="00AC41E0">
        <w:t xml:space="preserve">ssurance can be carried out by anyone independent </w:t>
      </w:r>
      <w:r w:rsidR="000730E8" w:rsidRPr="00AC41E0">
        <w:t>of</w:t>
      </w:r>
      <w:r w:rsidR="00707E27" w:rsidRPr="00AC41E0">
        <w:t xml:space="preserve"> the project</w:t>
      </w:r>
      <w:r w:rsidR="00032884" w:rsidRPr="00AC41E0">
        <w:t>.</w:t>
      </w:r>
      <w:r w:rsidR="00707E27" w:rsidRPr="00AC41E0">
        <w:t xml:space="preserve"> This may be someone within your organisation</w:t>
      </w:r>
      <w:r w:rsidRPr="00AC41E0">
        <w:t xml:space="preserve"> who is not involved in the project</w:t>
      </w:r>
      <w:r w:rsidR="00707E27" w:rsidRPr="00AC41E0">
        <w:t xml:space="preserve">, </w:t>
      </w:r>
      <w:r w:rsidR="00EB2A45" w:rsidRPr="00AC41E0">
        <w:t>by</w:t>
      </w:r>
      <w:r w:rsidR="00707E27" w:rsidRPr="00AC41E0">
        <w:t xml:space="preserve"> a partner agency or </w:t>
      </w:r>
      <w:r w:rsidRPr="00AC41E0">
        <w:t xml:space="preserve">local </w:t>
      </w:r>
      <w:r w:rsidR="00707E27" w:rsidRPr="00AC41E0">
        <w:t>council (</w:t>
      </w:r>
      <w:r w:rsidRPr="00AC41E0">
        <w:t>this</w:t>
      </w:r>
      <w:r w:rsidR="00707E27" w:rsidRPr="00AC41E0">
        <w:t xml:space="preserve"> can assist with buildin</w:t>
      </w:r>
      <w:r w:rsidR="00EB2A45" w:rsidRPr="00AC41E0">
        <w:t>g capability across the sector)</w:t>
      </w:r>
      <w:r w:rsidR="00707E27" w:rsidRPr="00AC41E0">
        <w:t xml:space="preserve"> or </w:t>
      </w:r>
      <w:r w:rsidR="000067D3" w:rsidRPr="00AC41E0">
        <w:t xml:space="preserve">by </w:t>
      </w:r>
      <w:r w:rsidR="00707E27" w:rsidRPr="00AC41E0">
        <w:t>another external person with relevant expertise.</w:t>
      </w:r>
    </w:p>
    <w:p w14:paraId="5C3EC151" w14:textId="28D372CF" w:rsidR="0064591B" w:rsidRPr="00AC41E0" w:rsidRDefault="0064591B" w:rsidP="00F33137">
      <w:pPr>
        <w:pStyle w:val="DCSbodytext"/>
        <w:ind w:left="1701"/>
        <w:rPr>
          <w:i/>
        </w:rPr>
      </w:pPr>
      <w:r w:rsidRPr="00E46FB0">
        <w:rPr>
          <w:i/>
          <w:noProof/>
        </w:rPr>
        <w:drawing>
          <wp:anchor distT="0" distB="0" distL="114300" distR="114300" simplePos="0" relativeHeight="251658269" behindDoc="1" locked="0" layoutInCell="1" allowOverlap="1" wp14:anchorId="3AC429CF" wp14:editId="73C546A1">
            <wp:simplePos x="0" y="0"/>
            <wp:positionH relativeFrom="margin">
              <wp:posOffset>539683</wp:posOffset>
            </wp:positionH>
            <wp:positionV relativeFrom="paragraph">
              <wp:posOffset>33823</wp:posOffset>
            </wp:positionV>
            <wp:extent cx="450850" cy="450850"/>
            <wp:effectExtent l="0" t="0" r="0" b="6350"/>
            <wp:wrapTight wrapText="bothSides">
              <wp:wrapPolygon edited="0">
                <wp:start x="8214" y="0"/>
                <wp:lineTo x="1825" y="3651"/>
                <wp:lineTo x="0" y="9127"/>
                <wp:lineTo x="1825" y="15515"/>
                <wp:lineTo x="7301" y="20992"/>
                <wp:lineTo x="12777" y="20992"/>
                <wp:lineTo x="19166" y="15515"/>
                <wp:lineTo x="20079" y="10039"/>
                <wp:lineTo x="17341" y="3651"/>
                <wp:lineTo x="12777" y="0"/>
                <wp:lineTo x="8214" y="0"/>
              </wp:wrapPolygon>
            </wp:wrapTight>
            <wp:docPr id="27" name="Graphic 27"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r w:rsidRPr="00E46FB0">
        <w:rPr>
          <w:i/>
          <w:iCs/>
        </w:rPr>
        <w:t xml:space="preserve">Tip: Each module in </w:t>
      </w:r>
      <w:r w:rsidR="0091771F" w:rsidRPr="00AC41E0">
        <w:rPr>
          <w:i/>
          <w:iCs/>
        </w:rPr>
        <w:t>this</w:t>
      </w:r>
      <w:r w:rsidRPr="00AC41E0">
        <w:rPr>
          <w:i/>
          <w:iCs/>
        </w:rPr>
        <w:t xml:space="preserve"> policy </w:t>
      </w:r>
      <w:r w:rsidR="00274647" w:rsidRPr="00AC41E0">
        <w:rPr>
          <w:i/>
          <w:iCs/>
        </w:rPr>
        <w:t xml:space="preserve">guidance </w:t>
      </w:r>
      <w:r w:rsidRPr="00AC41E0">
        <w:rPr>
          <w:i/>
          <w:iCs/>
        </w:rPr>
        <w:t>begins with</w:t>
      </w:r>
      <w:r w:rsidR="003D6221" w:rsidRPr="00AC41E0">
        <w:rPr>
          <w:i/>
          <w:iCs/>
        </w:rPr>
        <w:t xml:space="preserve"> a checklist of</w:t>
      </w:r>
      <w:r w:rsidRPr="00AC41E0">
        <w:rPr>
          <w:i/>
          <w:iCs/>
        </w:rPr>
        <w:t xml:space="preserve"> ‘key takeaways’ </w:t>
      </w:r>
      <w:r w:rsidR="003D6221" w:rsidRPr="00AC41E0">
        <w:rPr>
          <w:i/>
          <w:iCs/>
        </w:rPr>
        <w:t xml:space="preserve">(for modules </w:t>
      </w:r>
      <w:r w:rsidRPr="00AC41E0">
        <w:rPr>
          <w:i/>
          <w:iCs/>
        </w:rPr>
        <w:t>1 and 2</w:t>
      </w:r>
      <w:r w:rsidR="003D6221" w:rsidRPr="00AC41E0">
        <w:rPr>
          <w:i/>
          <w:iCs/>
        </w:rPr>
        <w:t xml:space="preserve">) or </w:t>
      </w:r>
      <w:r w:rsidRPr="00AC41E0">
        <w:rPr>
          <w:i/>
          <w:iCs/>
        </w:rPr>
        <w:t xml:space="preserve">‘best practice considerations’ </w:t>
      </w:r>
      <w:r w:rsidR="003D6221" w:rsidRPr="00AC41E0">
        <w:rPr>
          <w:i/>
          <w:iCs/>
        </w:rPr>
        <w:t>(for modules</w:t>
      </w:r>
      <w:r w:rsidRPr="00AC41E0">
        <w:rPr>
          <w:i/>
          <w:iCs/>
        </w:rPr>
        <w:t xml:space="preserve"> 3 to 8</w:t>
      </w:r>
      <w:r w:rsidR="003D6221" w:rsidRPr="00AC41E0">
        <w:rPr>
          <w:i/>
          <w:iCs/>
        </w:rPr>
        <w:t xml:space="preserve">). Be sure to read these checklists and incorporate them into </w:t>
      </w:r>
      <w:r w:rsidRPr="00AC41E0">
        <w:rPr>
          <w:i/>
          <w:iCs/>
        </w:rPr>
        <w:t xml:space="preserve">your project. </w:t>
      </w:r>
    </w:p>
    <w:p w14:paraId="66AD6140" w14:textId="5979949A" w:rsidR="008321D4" w:rsidRPr="00AC41E0" w:rsidRDefault="008321D4" w:rsidP="00D55F6B">
      <w:pPr>
        <w:pStyle w:val="DCSbodytext"/>
        <w:ind w:left="0"/>
        <w:rPr>
          <w:rFonts w:eastAsia="Arial Bold" w:cs="Arial"/>
          <w:b/>
          <w:color w:val="000000"/>
          <w:sz w:val="28"/>
          <w:szCs w:val="40"/>
        </w:rPr>
      </w:pPr>
      <w:r w:rsidRPr="00AC41E0">
        <w:br w:type="page"/>
      </w:r>
    </w:p>
    <w:p w14:paraId="39F53E2F" w14:textId="2D8E465D" w:rsidR="00B13F0A" w:rsidRPr="00AC41E0" w:rsidRDefault="00B4367E" w:rsidP="00D4137E">
      <w:pPr>
        <w:pStyle w:val="Heading1"/>
        <w:tabs>
          <w:tab w:val="clear" w:pos="794"/>
          <w:tab w:val="num" w:pos="868"/>
        </w:tabs>
        <w:ind w:left="868"/>
        <w:rPr>
          <w:rFonts w:ascii="Arial" w:hAnsi="Arial"/>
        </w:rPr>
      </w:pPr>
      <w:bookmarkStart w:id="1360" w:name="_Toc65760538"/>
      <w:r w:rsidRPr="00AC41E0">
        <w:rPr>
          <w:rFonts w:ascii="Arial" w:hAnsi="Arial"/>
        </w:rPr>
        <w:lastRenderedPageBreak/>
        <w:t xml:space="preserve">Making </w:t>
      </w:r>
      <w:r w:rsidR="00D10AEA" w:rsidRPr="00AC41E0">
        <w:rPr>
          <w:rFonts w:ascii="Arial" w:hAnsi="Arial"/>
        </w:rPr>
        <w:t>t</w:t>
      </w:r>
      <w:r w:rsidRPr="00AC41E0">
        <w:rPr>
          <w:rFonts w:ascii="Arial" w:hAnsi="Arial"/>
        </w:rPr>
        <w:t>he Case</w:t>
      </w:r>
      <w:bookmarkEnd w:id="1360"/>
    </w:p>
    <w:bookmarkStart w:id="1361" w:name="_Toc65571434"/>
    <w:bookmarkStart w:id="1362" w:name="_Toc65760539"/>
    <w:p w14:paraId="0C24F74D" w14:textId="62ACA42F" w:rsidR="001D3817" w:rsidRPr="00E46FB0" w:rsidRDefault="000853B3" w:rsidP="00110CB8">
      <w:pPr>
        <w:pStyle w:val="Heading2"/>
        <w:numPr>
          <w:ilvl w:val="0"/>
          <w:numId w:val="0"/>
        </w:numPr>
        <w:ind w:left="794" w:hanging="74"/>
        <w:rPr>
          <w:rFonts w:ascii="Arial" w:hAnsi="Arial"/>
        </w:rPr>
        <w:sectPr w:rsidR="001D3817" w:rsidRPr="00E46FB0" w:rsidSect="002771AA">
          <w:pgSz w:w="11906" w:h="16838"/>
          <w:pgMar w:top="1440" w:right="1440" w:bottom="1440" w:left="1440" w:header="708" w:footer="708" w:gutter="0"/>
          <w:cols w:space="708"/>
          <w:docGrid w:linePitch="360"/>
        </w:sectPr>
      </w:pPr>
      <w:r w:rsidRPr="00E46FB0">
        <w:rPr>
          <w:rStyle w:val="FootnoteReference"/>
          <w:rFonts w:ascii="Arial" w:hAnsi="Arial"/>
          <w:noProof/>
        </w:rPr>
        <mc:AlternateContent>
          <mc:Choice Requires="wps">
            <w:drawing>
              <wp:inline distT="0" distB="0" distL="0" distR="0" wp14:anchorId="14238BCC" wp14:editId="32B6DA17">
                <wp:extent cx="5287645" cy="4011930"/>
                <wp:effectExtent l="0" t="0" r="8255" b="7620"/>
                <wp:docPr id="531754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645" cy="4011930"/>
                        </a:xfrm>
                        <a:prstGeom prst="rect">
                          <a:avLst/>
                        </a:prstGeom>
                        <a:solidFill>
                          <a:schemeClr val="accent5">
                            <a:lumMod val="40000"/>
                            <a:lumOff val="60000"/>
                          </a:schemeClr>
                        </a:solidFill>
                        <a:ln w="9525">
                          <a:noFill/>
                          <a:miter lim="800000"/>
                          <a:headEnd/>
                          <a:tailEnd/>
                        </a:ln>
                      </wps:spPr>
                      <wps:txbx>
                        <w:txbxContent>
                          <w:p w14:paraId="05E60B60" w14:textId="77777777" w:rsidR="004A5EF4" w:rsidRPr="00A57E29" w:rsidRDefault="004A5EF4" w:rsidP="000853B3">
                            <w:pPr>
                              <w:pStyle w:val="DCSbodytext"/>
                              <w:ind w:left="0"/>
                              <w:jc w:val="center"/>
                              <w:rPr>
                                <w:rStyle w:val="Hyperlink"/>
                                <w:rFonts w:ascii="Times New Roman" w:hAnsi="Times New Roman"/>
                                <w:b/>
                                <w:color w:val="auto"/>
                                <w:sz w:val="24"/>
                                <w:u w:val="none"/>
                                <w:lang w:eastAsia="en-AU"/>
                              </w:rPr>
                            </w:pPr>
                            <w:r>
                              <w:rPr>
                                <w:b/>
                              </w:rPr>
                              <w:t>Best practice considerations at this stage in a project</w:t>
                            </w:r>
                          </w:p>
                          <w:p w14:paraId="654F27DB" w14:textId="77777777" w:rsidR="004A5EF4" w:rsidRPr="00F220B2" w:rsidRDefault="004A5EF4" w:rsidP="000853B3">
                            <w:pPr>
                              <w:pStyle w:val="DCSbodytext"/>
                              <w:numPr>
                                <w:ilvl w:val="0"/>
                                <w:numId w:val="169"/>
                              </w:numPr>
                            </w:pPr>
                            <w:r>
                              <w:t>Has the business case accurately budgeted for training, handover and operational readiness tasks?</w:t>
                            </w:r>
                          </w:p>
                          <w:p w14:paraId="28B8EF6D" w14:textId="77777777" w:rsidR="004A5EF4" w:rsidRPr="00DC0A25" w:rsidRDefault="004A5EF4" w:rsidP="000853B3">
                            <w:pPr>
                              <w:pStyle w:val="DCSbodytext"/>
                              <w:numPr>
                                <w:ilvl w:val="0"/>
                                <w:numId w:val="169"/>
                              </w:numPr>
                            </w:pPr>
                            <w:r>
                              <w:t>Is the business base realistic, clear and unambiguous in detailing the outcomes, scope, scale and requirements of the project?</w:t>
                            </w:r>
                          </w:p>
                          <w:p w14:paraId="59C5ED88" w14:textId="77777777" w:rsidR="004A5EF4" w:rsidRPr="006052F6" w:rsidRDefault="004A5EF4" w:rsidP="000853B3">
                            <w:pPr>
                              <w:pStyle w:val="DCSbodytext"/>
                              <w:numPr>
                                <w:ilvl w:val="0"/>
                                <w:numId w:val="169"/>
                              </w:numPr>
                            </w:pPr>
                            <w:r>
                              <w:t>What are the stakeholder issues that may prevent the project from maximising benefit and optimising cost and how will these be addressed through the business case?</w:t>
                            </w:r>
                          </w:p>
                          <w:p w14:paraId="19365872" w14:textId="77777777" w:rsidR="004A5EF4" w:rsidRDefault="004A5EF4" w:rsidP="000853B3">
                            <w:pPr>
                              <w:pStyle w:val="DCSbodytext"/>
                              <w:numPr>
                                <w:ilvl w:val="0"/>
                                <w:numId w:val="169"/>
                              </w:numPr>
                            </w:pPr>
                            <w:r>
                              <w:t>Has the availability of funding for the whole of the project been confirmed? Is the project’s whole of life funding affordable and supported by key stakeholders?</w:t>
                            </w:r>
                          </w:p>
                          <w:p w14:paraId="54EBBF51" w14:textId="77777777" w:rsidR="004A5EF4" w:rsidRDefault="004A5EF4" w:rsidP="000853B3">
                            <w:pPr>
                              <w:pStyle w:val="DCSbodytext"/>
                              <w:numPr>
                                <w:ilvl w:val="0"/>
                                <w:numId w:val="169"/>
                              </w:numPr>
                            </w:pPr>
                            <w:r>
                              <w:t>Has the appropriate financial and cost-benefit analysis of the project been completed?</w:t>
                            </w:r>
                          </w:p>
                          <w:p w14:paraId="73175F37" w14:textId="77777777" w:rsidR="004A5EF4" w:rsidRPr="00A067F6" w:rsidRDefault="004A5EF4" w:rsidP="000853B3">
                            <w:pPr>
                              <w:pStyle w:val="DCSbodytext"/>
                              <w:numPr>
                                <w:ilvl w:val="0"/>
                                <w:numId w:val="166"/>
                              </w:numPr>
                            </w:pPr>
                            <w:r>
                              <w:t>Have you considered the long-term as well as short-term benefits of your project?</w:t>
                            </w:r>
                          </w:p>
                        </w:txbxContent>
                      </wps:txbx>
                      <wps:bodyPr rot="0" vert="horz" wrap="square" lIns="91440" tIns="45720" rIns="91440" bIns="45720" anchor="t" anchorCtr="0">
                        <a:noAutofit/>
                      </wps:bodyPr>
                    </wps:wsp>
                  </a:graphicData>
                </a:graphic>
              </wp:inline>
            </w:drawing>
          </mc:Choice>
          <mc:Fallback>
            <w:pict>
              <v:shape w14:anchorId="14238BCC" id="_x0000_s1038" type="#_x0000_t202" style="width:416.35pt;height:3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" fillcolor="#b6dde8 [1304]" stroked="f">
                <v:textbox>
                  <w:txbxContent>
                    <w:p w14:paraId="05E60B60" w14:textId="77777777" w:rsidR="004A5EF4" w:rsidRPr="00A57E29" w:rsidRDefault="004A5EF4" w:rsidP="000853B3">
                      <w:pPr>
                        <w:pStyle w:val="DCSbodytext"/>
                        <w:ind w:left="0"/>
                        <w:jc w:val="center"/>
                        <w:rPr>
                          <w:rStyle w:val="Hyperlink"/>
                          <w:rFonts w:ascii="Times New Roman" w:hAnsi="Times New Roman"/>
                          <w:b/>
                          <w:color w:val="auto"/>
                          <w:sz w:val="24"/>
                          <w:u w:val="none"/>
                          <w:lang w:eastAsia="en-AU"/>
                        </w:rPr>
                      </w:pPr>
                      <w:r>
                        <w:rPr>
                          <w:b/>
                        </w:rPr>
                        <w:t>Best practice considerations at this stage in a project</w:t>
                      </w:r>
                    </w:p>
                    <w:p w14:paraId="654F27DB" w14:textId="77777777" w:rsidR="004A5EF4" w:rsidRPr="00F220B2" w:rsidRDefault="004A5EF4" w:rsidP="000853B3">
                      <w:pPr>
                        <w:pStyle w:val="DCSbodytext"/>
                        <w:numPr>
                          <w:ilvl w:val="0"/>
                          <w:numId w:val="169"/>
                        </w:numPr>
                      </w:pPr>
                      <w:r>
                        <w:t>Has the business case accurately budgeted for training, handover and operational readiness tasks?</w:t>
                      </w:r>
                    </w:p>
                    <w:p w14:paraId="28B8EF6D" w14:textId="77777777" w:rsidR="004A5EF4" w:rsidRPr="00DC0A25" w:rsidRDefault="004A5EF4" w:rsidP="000853B3">
                      <w:pPr>
                        <w:pStyle w:val="DCSbodytext"/>
                        <w:numPr>
                          <w:ilvl w:val="0"/>
                          <w:numId w:val="169"/>
                        </w:numPr>
                      </w:pPr>
                      <w:r>
                        <w:t>Is the business base realistic, clear and unambiguous in detailing the outcomes, scope, scale and requirements of the project?</w:t>
                      </w:r>
                    </w:p>
                    <w:p w14:paraId="59C5ED88" w14:textId="77777777" w:rsidR="004A5EF4" w:rsidRPr="006052F6" w:rsidRDefault="004A5EF4" w:rsidP="000853B3">
                      <w:pPr>
                        <w:pStyle w:val="DCSbodytext"/>
                        <w:numPr>
                          <w:ilvl w:val="0"/>
                          <w:numId w:val="169"/>
                        </w:numPr>
                      </w:pPr>
                      <w:r>
                        <w:t>What are the stakeholder issues that may prevent the project from maximising benefit and optimising cost and how will these be addressed through the business case?</w:t>
                      </w:r>
                    </w:p>
                    <w:p w14:paraId="19365872" w14:textId="77777777" w:rsidR="004A5EF4" w:rsidRDefault="004A5EF4" w:rsidP="000853B3">
                      <w:pPr>
                        <w:pStyle w:val="DCSbodytext"/>
                        <w:numPr>
                          <w:ilvl w:val="0"/>
                          <w:numId w:val="169"/>
                        </w:numPr>
                      </w:pPr>
                      <w:r>
                        <w:t>Has the availability of funding for the whole of the project been confirmed? Is the project’s whole of life funding affordable and supported by key stakeholders?</w:t>
                      </w:r>
                    </w:p>
                    <w:p w14:paraId="54EBBF51" w14:textId="77777777" w:rsidR="004A5EF4" w:rsidRDefault="004A5EF4" w:rsidP="000853B3">
                      <w:pPr>
                        <w:pStyle w:val="DCSbodytext"/>
                        <w:numPr>
                          <w:ilvl w:val="0"/>
                          <w:numId w:val="169"/>
                        </w:numPr>
                      </w:pPr>
                      <w:r>
                        <w:t>Has the appropriate financial and cost-benefit analysis of the project been completed?</w:t>
                      </w:r>
                    </w:p>
                    <w:p w14:paraId="73175F37" w14:textId="77777777" w:rsidR="004A5EF4" w:rsidRPr="00A067F6" w:rsidRDefault="004A5EF4" w:rsidP="000853B3">
                      <w:pPr>
                        <w:pStyle w:val="DCSbodytext"/>
                        <w:numPr>
                          <w:ilvl w:val="0"/>
                          <w:numId w:val="166"/>
                        </w:numPr>
                      </w:pPr>
                      <w:r>
                        <w:t>Have you considered the long-term as well as short-term benefits of your project?</w:t>
                      </w:r>
                    </w:p>
                  </w:txbxContent>
                </v:textbox>
                <w10:anchorlock/>
              </v:shape>
            </w:pict>
          </mc:Fallback>
        </mc:AlternateContent>
      </w:r>
      <w:bookmarkEnd w:id="1361"/>
      <w:bookmarkEnd w:id="1362"/>
    </w:p>
    <w:p w14:paraId="311CEEB5" w14:textId="2F2A7DB3" w:rsidR="00B4367E" w:rsidRPr="00AC41E0" w:rsidRDefault="00550B70" w:rsidP="000E1EA9">
      <w:pPr>
        <w:pStyle w:val="Heading2"/>
        <w:tabs>
          <w:tab w:val="clear" w:pos="5188"/>
          <w:tab w:val="num" w:pos="794"/>
        </w:tabs>
        <w:ind w:left="851"/>
        <w:rPr>
          <w:rFonts w:ascii="Arial" w:hAnsi="Arial"/>
        </w:rPr>
      </w:pPr>
      <w:bookmarkStart w:id="1363" w:name="_Toc65760540"/>
      <w:r w:rsidRPr="00E46FB0">
        <w:rPr>
          <w:rFonts w:ascii="Arial" w:hAnsi="Arial"/>
        </w:rPr>
        <w:lastRenderedPageBreak/>
        <w:t xml:space="preserve">Business </w:t>
      </w:r>
      <w:r w:rsidR="00E641C9" w:rsidRPr="00AC41E0">
        <w:rPr>
          <w:rFonts w:ascii="Arial" w:hAnsi="Arial"/>
        </w:rPr>
        <w:t>c</w:t>
      </w:r>
      <w:r w:rsidRPr="00AC41E0">
        <w:rPr>
          <w:rFonts w:ascii="Arial" w:hAnsi="Arial"/>
        </w:rPr>
        <w:t>ase</w:t>
      </w:r>
      <w:bookmarkEnd w:id="1363"/>
    </w:p>
    <w:p w14:paraId="25298FA5" w14:textId="462E2A70" w:rsidR="00C40F6E" w:rsidRPr="00AC41E0" w:rsidRDefault="002A68DC" w:rsidP="002A68DC">
      <w:pPr>
        <w:pStyle w:val="DCSbodytext"/>
        <w:rPr>
          <w:lang w:eastAsia="en-AU"/>
        </w:rPr>
      </w:pPr>
      <w:r w:rsidRPr="00AC41E0">
        <w:t xml:space="preserve">Defining your problem and drafting </w:t>
      </w:r>
      <w:r w:rsidR="003E4BB5" w:rsidRPr="00AC41E0">
        <w:t xml:space="preserve">a </w:t>
      </w:r>
      <w:r w:rsidRPr="00AC41E0">
        <w:t xml:space="preserve">business case </w:t>
      </w:r>
      <w:r w:rsidR="002E1E65" w:rsidRPr="00AC41E0">
        <w:t xml:space="preserve">is </w:t>
      </w:r>
      <w:r w:rsidRPr="00AC41E0">
        <w:t xml:space="preserve">key to </w:t>
      </w:r>
      <w:r w:rsidR="00136297" w:rsidRPr="00AC41E0">
        <w:t xml:space="preserve">the success of your </w:t>
      </w:r>
      <w:r w:rsidR="003D5E9D" w:rsidRPr="00AC41E0">
        <w:t>IoT-enabled project</w:t>
      </w:r>
      <w:r w:rsidR="00136297" w:rsidRPr="00AC41E0">
        <w:t xml:space="preserve">. </w:t>
      </w:r>
      <w:r w:rsidRPr="00AC41E0">
        <w:t>This</w:t>
      </w:r>
      <w:r w:rsidR="00136297" w:rsidRPr="00AC41E0">
        <w:t xml:space="preserve"> chapter</w:t>
      </w:r>
      <w:r w:rsidRPr="00AC41E0">
        <w:t xml:space="preserve"> provides guidance on how to make the case for IoT and how to identify your objectives, risks, benefits, costs</w:t>
      </w:r>
      <w:r w:rsidR="002E1E65" w:rsidRPr="00AC41E0">
        <w:t>,</w:t>
      </w:r>
      <w:r w:rsidRPr="00AC41E0">
        <w:t xml:space="preserve"> and stakeholders.</w:t>
      </w:r>
    </w:p>
    <w:p w14:paraId="359FF969" w14:textId="746729AA" w:rsidR="001048A0" w:rsidRPr="00AC41E0" w:rsidRDefault="001048A0" w:rsidP="001048A0">
      <w:pPr>
        <w:pStyle w:val="Heading3"/>
        <w:rPr>
          <w:rFonts w:ascii="Arial" w:hAnsi="Arial"/>
        </w:rPr>
      </w:pPr>
      <w:bookmarkStart w:id="1364" w:name="_Toc65760541"/>
      <w:r w:rsidRPr="00AC41E0">
        <w:rPr>
          <w:rFonts w:ascii="Arial" w:hAnsi="Arial"/>
        </w:rPr>
        <w:t>What is a business case?</w:t>
      </w:r>
      <w:bookmarkEnd w:id="1364"/>
      <w:r w:rsidRPr="00AC41E0">
        <w:rPr>
          <w:rFonts w:ascii="Arial" w:hAnsi="Arial"/>
        </w:rPr>
        <w:tab/>
      </w:r>
    </w:p>
    <w:p w14:paraId="1661D696" w14:textId="531A6934" w:rsidR="00967D2E" w:rsidRPr="00AC41E0" w:rsidRDefault="00967D2E" w:rsidP="00967D2E">
      <w:pPr>
        <w:pStyle w:val="DCSbodytext"/>
      </w:pPr>
      <w:r w:rsidRPr="00AC41E0">
        <w:t>A business case is a document providing justification for a proposed investment or policy decision. For the NSW Government, they are a</w:t>
      </w:r>
      <w:r w:rsidR="004F3A1C" w:rsidRPr="00AC41E0">
        <w:t>n imp</w:t>
      </w:r>
      <w:r w:rsidR="00EB6BDB" w:rsidRPr="00AC41E0">
        <w:t>ort</w:t>
      </w:r>
      <w:r w:rsidR="004F3A1C" w:rsidRPr="00AC41E0">
        <w:t>ant</w:t>
      </w:r>
      <w:r w:rsidRPr="00AC41E0">
        <w:t xml:space="preserve"> tool to inform evidence-based investment decisions by government.</w:t>
      </w:r>
    </w:p>
    <w:p w14:paraId="4271FE40" w14:textId="52C19E5B" w:rsidR="00967D2E" w:rsidRPr="00AC41E0" w:rsidRDefault="00967D2E" w:rsidP="00967D2E">
      <w:pPr>
        <w:pStyle w:val="DCSbodytext"/>
      </w:pPr>
      <w:r w:rsidRPr="00AC41E0">
        <w:t>A business case generally contains analyses of the costs, benefits, risks</w:t>
      </w:r>
      <w:r w:rsidR="002E1E65" w:rsidRPr="00AC41E0">
        <w:t>,</w:t>
      </w:r>
      <w:r w:rsidRPr="00AC41E0">
        <w:t xml:space="preserve"> and assumptions associated with various investment and policy options to achieve policy or program outcomes.</w:t>
      </w:r>
    </w:p>
    <w:p w14:paraId="2A33BB36" w14:textId="1A1C2745" w:rsidR="00967D2E" w:rsidRPr="00AC41E0" w:rsidRDefault="00967D2E" w:rsidP="00967D2E">
      <w:pPr>
        <w:pStyle w:val="DCSbodytext"/>
        <w:spacing w:after="120"/>
      </w:pPr>
      <w:r w:rsidRPr="00AC41E0">
        <w:t xml:space="preserve">NSW Treasury’s </w:t>
      </w:r>
      <w:hyperlink r:id="rId209" w:history="1">
        <w:r w:rsidRPr="00AC41E0">
          <w:rPr>
            <w:rStyle w:val="Hyperlink"/>
          </w:rPr>
          <w:t>NSW Government Business Case Guidelines</w:t>
        </w:r>
      </w:hyperlink>
      <w:r w:rsidRPr="00E46FB0">
        <w:t xml:space="preserve"> indicate five </w:t>
      </w:r>
      <w:r w:rsidR="00DF50F9" w:rsidRPr="00AC41E0">
        <w:t xml:space="preserve">main </w:t>
      </w:r>
      <w:r w:rsidRPr="00AC41E0">
        <w:t xml:space="preserve">components of a business case: </w:t>
      </w:r>
    </w:p>
    <w:p w14:paraId="1DA1D7EB" w14:textId="303338FF" w:rsidR="00967D2E" w:rsidRPr="00AC41E0" w:rsidRDefault="00967D2E" w:rsidP="00003096">
      <w:pPr>
        <w:pStyle w:val="DCSbodytext"/>
        <w:numPr>
          <w:ilvl w:val="0"/>
          <w:numId w:val="132"/>
        </w:numPr>
        <w:spacing w:after="120"/>
      </w:pPr>
      <w:r w:rsidRPr="00AC41E0">
        <w:rPr>
          <w:i/>
        </w:rPr>
        <w:t>A case for change</w:t>
      </w:r>
      <w:r w:rsidR="009F1461" w:rsidRPr="00AC41E0">
        <w:rPr>
          <w:i/>
        </w:rPr>
        <w:t>:</w:t>
      </w:r>
      <w:r w:rsidRPr="00AC41E0">
        <w:t xml:space="preserve"> What is the business need and how does it fit strategically?</w:t>
      </w:r>
    </w:p>
    <w:p w14:paraId="64E508EB" w14:textId="7DB84EBC" w:rsidR="00967D2E" w:rsidRPr="00AC41E0" w:rsidRDefault="00967D2E" w:rsidP="00003096">
      <w:pPr>
        <w:pStyle w:val="DCSbodytext"/>
        <w:numPr>
          <w:ilvl w:val="0"/>
          <w:numId w:val="132"/>
        </w:numPr>
        <w:spacing w:after="120"/>
      </w:pPr>
      <w:r w:rsidRPr="00AC41E0">
        <w:rPr>
          <w:i/>
        </w:rPr>
        <w:t>Cost</w:t>
      </w:r>
      <w:r w:rsidR="009F1461" w:rsidRPr="00AC41E0">
        <w:rPr>
          <w:i/>
        </w:rPr>
        <w:t>-</w:t>
      </w:r>
      <w:r w:rsidRPr="00AC41E0">
        <w:rPr>
          <w:i/>
        </w:rPr>
        <w:t>benefit analysis</w:t>
      </w:r>
      <w:r w:rsidR="009F1461" w:rsidRPr="00AC41E0">
        <w:rPr>
          <w:i/>
        </w:rPr>
        <w:t>:</w:t>
      </w:r>
      <w:r w:rsidRPr="00AC41E0">
        <w:t xml:space="preserve"> What are the options to address an objective and do they maximise social welfare and deliver value for money?</w:t>
      </w:r>
    </w:p>
    <w:p w14:paraId="41940234" w14:textId="22B1887F" w:rsidR="00967D2E" w:rsidRPr="00AC41E0" w:rsidRDefault="00967D2E" w:rsidP="00003096">
      <w:pPr>
        <w:pStyle w:val="DCSbodytext"/>
        <w:numPr>
          <w:ilvl w:val="0"/>
          <w:numId w:val="132"/>
        </w:numPr>
        <w:spacing w:after="120"/>
      </w:pPr>
      <w:r w:rsidRPr="00AC41E0">
        <w:rPr>
          <w:i/>
        </w:rPr>
        <w:t>Financial analysis</w:t>
      </w:r>
      <w:r w:rsidR="009F1461" w:rsidRPr="00AC41E0">
        <w:rPr>
          <w:i/>
        </w:rPr>
        <w:t>:</w:t>
      </w:r>
      <w:r w:rsidR="009F1461" w:rsidRPr="00AC41E0">
        <w:rPr>
          <w:b/>
        </w:rPr>
        <w:t xml:space="preserve"> </w:t>
      </w:r>
      <w:r w:rsidRPr="00AC41E0">
        <w:t xml:space="preserve">Is the intervention financially feasible? Is it affordable? </w:t>
      </w:r>
    </w:p>
    <w:p w14:paraId="66254EC5" w14:textId="0FCE2FE7" w:rsidR="00967D2E" w:rsidRPr="00AC41E0" w:rsidRDefault="00967D2E" w:rsidP="00003096">
      <w:pPr>
        <w:pStyle w:val="DCSbodytext"/>
        <w:numPr>
          <w:ilvl w:val="0"/>
          <w:numId w:val="132"/>
        </w:numPr>
        <w:spacing w:after="120"/>
      </w:pPr>
      <w:r w:rsidRPr="00AC41E0">
        <w:rPr>
          <w:i/>
        </w:rPr>
        <w:t>Commercial analysis</w:t>
      </w:r>
      <w:r w:rsidR="009F1461" w:rsidRPr="00AC41E0">
        <w:rPr>
          <w:i/>
        </w:rPr>
        <w:t>:</w:t>
      </w:r>
      <w:r w:rsidRPr="00AC41E0">
        <w:t xml:space="preserve"> Is there capacity and capability </w:t>
      </w:r>
      <w:r w:rsidR="00043065" w:rsidRPr="00AC41E0">
        <w:t xml:space="preserve">(within your organisation and in the market) </w:t>
      </w:r>
      <w:r w:rsidRPr="00AC41E0">
        <w:t>to procure, supply and maintain the service level proposed?</w:t>
      </w:r>
    </w:p>
    <w:p w14:paraId="404BB927" w14:textId="74107A7F" w:rsidR="00967D2E" w:rsidRPr="00AC41E0" w:rsidRDefault="00967D2E" w:rsidP="00003096">
      <w:pPr>
        <w:pStyle w:val="DCSbodytext"/>
        <w:numPr>
          <w:ilvl w:val="0"/>
          <w:numId w:val="132"/>
        </w:numPr>
      </w:pPr>
      <w:r w:rsidRPr="00AC41E0">
        <w:rPr>
          <w:i/>
        </w:rPr>
        <w:t>Management analysis</w:t>
      </w:r>
      <w:r w:rsidR="009F1461" w:rsidRPr="00AC41E0">
        <w:t xml:space="preserve">: </w:t>
      </w:r>
      <w:r w:rsidRPr="00AC41E0">
        <w:t xml:space="preserve">Can the intervention be delivered? </w:t>
      </w:r>
    </w:p>
    <w:p w14:paraId="2A4171D4" w14:textId="68E4ED29" w:rsidR="00400436" w:rsidRPr="00AC41E0" w:rsidRDefault="00400436" w:rsidP="00400436">
      <w:pPr>
        <w:pStyle w:val="DCSbodytext"/>
      </w:pPr>
      <w:r w:rsidRPr="00AC41E0">
        <w:t>A business case can be a short document of a few pages that contains information on objectives, costs, benefits, risks</w:t>
      </w:r>
      <w:r w:rsidR="002E1E65" w:rsidRPr="00AC41E0">
        <w:t>,</w:t>
      </w:r>
      <w:r w:rsidRPr="00AC41E0">
        <w:t xml:space="preserve"> and stakeholders. Or, it can be a longer, more detailed analysis.</w:t>
      </w:r>
    </w:p>
    <w:p w14:paraId="2BB8A710" w14:textId="77777777" w:rsidR="00400436" w:rsidRPr="00AC41E0" w:rsidRDefault="00400436" w:rsidP="00400436">
      <w:pPr>
        <w:pStyle w:val="DCSbodytext"/>
        <w:spacing w:after="120"/>
      </w:pPr>
      <w:r w:rsidRPr="00AC41E0">
        <w:t xml:space="preserve">The length and detail of your business case can be based on the: </w:t>
      </w:r>
    </w:p>
    <w:p w14:paraId="65EDCA81" w14:textId="77777777" w:rsidR="00400436" w:rsidRPr="00AC41E0" w:rsidRDefault="00400436" w:rsidP="00003096">
      <w:pPr>
        <w:pStyle w:val="DCSbodytext"/>
        <w:numPr>
          <w:ilvl w:val="0"/>
          <w:numId w:val="134"/>
        </w:numPr>
        <w:spacing w:after="120"/>
      </w:pPr>
      <w:r w:rsidRPr="00AC41E0">
        <w:t xml:space="preserve">complexity of your project </w:t>
      </w:r>
    </w:p>
    <w:p w14:paraId="6E7EB1D1" w14:textId="316B3183" w:rsidR="00400436" w:rsidRPr="00AC41E0" w:rsidRDefault="00400436" w:rsidP="00003096">
      <w:pPr>
        <w:pStyle w:val="DCSbodytext"/>
        <w:numPr>
          <w:ilvl w:val="0"/>
          <w:numId w:val="134"/>
        </w:numPr>
        <w:spacing w:after="120"/>
      </w:pPr>
      <w:r w:rsidRPr="00AC41E0">
        <w:t xml:space="preserve">size of </w:t>
      </w:r>
      <w:r w:rsidR="002E1E65" w:rsidRPr="00AC41E0">
        <w:t xml:space="preserve">the </w:t>
      </w:r>
      <w:r w:rsidRPr="00AC41E0">
        <w:t>funding request</w:t>
      </w:r>
    </w:p>
    <w:p w14:paraId="0D78A1E7" w14:textId="77777777" w:rsidR="00400436" w:rsidRPr="00AC41E0" w:rsidRDefault="00400436" w:rsidP="00003096">
      <w:pPr>
        <w:pStyle w:val="DCSbodytext"/>
        <w:numPr>
          <w:ilvl w:val="0"/>
          <w:numId w:val="134"/>
        </w:numPr>
        <w:spacing w:after="120"/>
      </w:pPr>
      <w:r w:rsidRPr="00AC41E0">
        <w:t>potential risks</w:t>
      </w:r>
    </w:p>
    <w:p w14:paraId="67E7E1DF" w14:textId="77777777" w:rsidR="00400436" w:rsidRPr="00AC41E0" w:rsidRDefault="00400436" w:rsidP="00003096">
      <w:pPr>
        <w:pStyle w:val="DCSbodytext"/>
        <w:numPr>
          <w:ilvl w:val="0"/>
          <w:numId w:val="134"/>
        </w:numPr>
        <w:spacing w:after="120"/>
      </w:pPr>
      <w:r w:rsidRPr="00AC41E0">
        <w:t>availability of evidence</w:t>
      </w:r>
    </w:p>
    <w:p w14:paraId="45D128BD" w14:textId="741EDD8E" w:rsidR="00400436" w:rsidRPr="00AC41E0" w:rsidRDefault="00400436" w:rsidP="00003096">
      <w:pPr>
        <w:pStyle w:val="DCSbodytext"/>
        <w:numPr>
          <w:ilvl w:val="0"/>
          <w:numId w:val="134"/>
        </w:numPr>
        <w:spacing w:after="120"/>
      </w:pPr>
      <w:r w:rsidRPr="00AC41E0">
        <w:t xml:space="preserve">contributors involved in the proposal development e.g. one cluster or </w:t>
      </w:r>
      <w:r w:rsidR="002E1E65" w:rsidRPr="00AC41E0">
        <w:t>cross-</w:t>
      </w:r>
      <w:r w:rsidRPr="00AC41E0">
        <w:t>cluster</w:t>
      </w:r>
    </w:p>
    <w:p w14:paraId="0414B6C0" w14:textId="77777777" w:rsidR="00400436" w:rsidRPr="00AC41E0" w:rsidRDefault="00400436" w:rsidP="00003096">
      <w:pPr>
        <w:pStyle w:val="DCSbodytext"/>
        <w:numPr>
          <w:ilvl w:val="0"/>
          <w:numId w:val="134"/>
        </w:numPr>
        <w:spacing w:after="120"/>
      </w:pPr>
      <w:r w:rsidRPr="00AC41E0">
        <w:t>number and type of stakeholders impacted e.g. internal or external</w:t>
      </w:r>
    </w:p>
    <w:p w14:paraId="29B3A04B" w14:textId="77777777" w:rsidR="00400436" w:rsidRPr="00AC41E0" w:rsidRDefault="00400436" w:rsidP="00003096">
      <w:pPr>
        <w:pStyle w:val="DCSbodytext"/>
        <w:numPr>
          <w:ilvl w:val="0"/>
          <w:numId w:val="134"/>
        </w:numPr>
        <w:spacing w:after="120"/>
      </w:pPr>
      <w:r w:rsidRPr="00AC41E0">
        <w:t>criticality of service, e.g. substantial impact to existing service delivery processes</w:t>
      </w:r>
    </w:p>
    <w:p w14:paraId="3A802801" w14:textId="618B8F3E" w:rsidR="009D69E3" w:rsidRPr="00AC41E0" w:rsidRDefault="009D69E3" w:rsidP="00003096">
      <w:pPr>
        <w:pStyle w:val="DCSbodytext"/>
        <w:numPr>
          <w:ilvl w:val="0"/>
          <w:numId w:val="134"/>
        </w:numPr>
        <w:spacing w:after="120"/>
        <w:ind w:left="1151" w:hanging="357"/>
      </w:pPr>
      <w:r w:rsidRPr="00AC41E0">
        <w:t>strategic objectives it needs to align with</w:t>
      </w:r>
    </w:p>
    <w:p w14:paraId="6B192E17" w14:textId="42033868" w:rsidR="00400436" w:rsidRPr="00AC41E0" w:rsidRDefault="00400436" w:rsidP="00003096">
      <w:pPr>
        <w:pStyle w:val="DCSbodytext"/>
        <w:numPr>
          <w:ilvl w:val="0"/>
          <w:numId w:val="134"/>
        </w:numPr>
        <w:spacing w:after="120"/>
        <w:ind w:left="1151" w:hanging="357"/>
      </w:pPr>
      <w:r w:rsidRPr="00AC41E0">
        <w:t>degree of innovation and time involved in the realisation of benefits</w:t>
      </w:r>
      <w:r w:rsidR="009D69E3" w:rsidRPr="00AC41E0">
        <w:t>.</w:t>
      </w:r>
    </w:p>
    <w:p w14:paraId="552FF4F4" w14:textId="21668FFF" w:rsidR="001048A0" w:rsidRPr="00AC41E0" w:rsidRDefault="001048A0" w:rsidP="001048A0">
      <w:pPr>
        <w:pStyle w:val="Heading3"/>
        <w:rPr>
          <w:rFonts w:ascii="Arial" w:hAnsi="Arial"/>
        </w:rPr>
      </w:pPr>
      <w:bookmarkStart w:id="1365" w:name="_Toc65760542"/>
      <w:r w:rsidRPr="00AC41E0">
        <w:rPr>
          <w:rFonts w:ascii="Arial" w:hAnsi="Arial"/>
        </w:rPr>
        <w:lastRenderedPageBreak/>
        <w:t>Why should a business case be prepared?</w:t>
      </w:r>
      <w:bookmarkEnd w:id="1365"/>
    </w:p>
    <w:p w14:paraId="252B48DB" w14:textId="64F22E1C" w:rsidR="00E369E4" w:rsidRPr="00AC41E0" w:rsidRDefault="00E369E4" w:rsidP="00E369E4">
      <w:pPr>
        <w:pStyle w:val="DCSbodytext"/>
      </w:pPr>
      <w:r w:rsidRPr="00AC41E0">
        <w:t>IoT is an emerging technology</w:t>
      </w:r>
      <w:r w:rsidR="00315629" w:rsidRPr="00AC41E0">
        <w:t xml:space="preserve">. This means </w:t>
      </w:r>
      <w:r w:rsidRPr="00AC41E0">
        <w:t>the associated costs, benefits, risks</w:t>
      </w:r>
      <w:r w:rsidR="002E1E65" w:rsidRPr="00AC41E0">
        <w:t>,</w:t>
      </w:r>
      <w:r w:rsidRPr="00AC41E0">
        <w:t xml:space="preserve"> and opportunities are not </w:t>
      </w:r>
      <w:r w:rsidR="006709BE" w:rsidRPr="00AC41E0">
        <w:t>yet easily articulated or forecast</w:t>
      </w:r>
      <w:r w:rsidRPr="00AC41E0">
        <w:t xml:space="preserve">. A robust business case provides </w:t>
      </w:r>
      <w:r w:rsidR="002E1E65" w:rsidRPr="00AC41E0">
        <w:t>decision-</w:t>
      </w:r>
      <w:r w:rsidRPr="00AC41E0">
        <w:t xml:space="preserve">makers with </w:t>
      </w:r>
      <w:r w:rsidR="002E1E65" w:rsidRPr="00AC41E0">
        <w:t xml:space="preserve">the </w:t>
      </w:r>
      <w:r w:rsidRPr="00AC41E0">
        <w:t xml:space="preserve">assurance that your </w:t>
      </w:r>
      <w:r w:rsidR="003D5E9D" w:rsidRPr="00AC41E0">
        <w:t>IoT-enabled project</w:t>
      </w:r>
      <w:r w:rsidRPr="00AC41E0">
        <w:t xml:space="preserve"> provides value for money, risks have been considered and mitigated, project management is </w:t>
      </w:r>
      <w:r w:rsidR="0026290E" w:rsidRPr="00AC41E0">
        <w:t>sound,</w:t>
      </w:r>
      <w:r w:rsidRPr="00AC41E0">
        <w:t xml:space="preserve"> and the project is consistent with </w:t>
      </w:r>
      <w:r w:rsidR="00EB6BDB" w:rsidRPr="00AC41E0">
        <w:t>g</w:t>
      </w:r>
      <w:r w:rsidRPr="00AC41E0">
        <w:t xml:space="preserve">overnment priorities and objectives. </w:t>
      </w:r>
    </w:p>
    <w:p w14:paraId="0896D1D4" w14:textId="58FE6420" w:rsidR="00E369E4" w:rsidRPr="00AC41E0" w:rsidRDefault="00E369E4" w:rsidP="00E369E4">
      <w:pPr>
        <w:pStyle w:val="DCSbodytext"/>
        <w:spacing w:after="120"/>
      </w:pPr>
      <w:r w:rsidRPr="00AC41E0">
        <w:t xml:space="preserve">Business cases are prepared for different reasons: </w:t>
      </w:r>
    </w:p>
    <w:p w14:paraId="1CFC6472" w14:textId="3ACB41AF" w:rsidR="00E369E4" w:rsidRPr="00AC41E0" w:rsidRDefault="00EB6BDB" w:rsidP="00003096">
      <w:pPr>
        <w:pStyle w:val="DCSbodytext"/>
        <w:numPr>
          <w:ilvl w:val="1"/>
          <w:numId w:val="133"/>
        </w:numPr>
        <w:spacing w:after="120"/>
        <w:ind w:left="1276" w:hanging="425"/>
      </w:pPr>
      <w:r w:rsidRPr="00AC41E0">
        <w:t xml:space="preserve">to </w:t>
      </w:r>
      <w:r w:rsidR="00E369E4" w:rsidRPr="00AC41E0">
        <w:t xml:space="preserve">inform an investment or regulatory decision </w:t>
      </w:r>
    </w:p>
    <w:p w14:paraId="19A62642" w14:textId="61ACAF38" w:rsidR="00E369E4" w:rsidRPr="00AC41E0" w:rsidRDefault="00EB6BDB" w:rsidP="00003096">
      <w:pPr>
        <w:pStyle w:val="DCSbodytext"/>
        <w:numPr>
          <w:ilvl w:val="1"/>
          <w:numId w:val="133"/>
        </w:numPr>
        <w:spacing w:after="120"/>
        <w:ind w:left="1276" w:hanging="425"/>
      </w:pPr>
      <w:r w:rsidRPr="00AC41E0">
        <w:t xml:space="preserve">to </w:t>
      </w:r>
      <w:r w:rsidR="00E369E4" w:rsidRPr="00AC41E0">
        <w:t xml:space="preserve">demonstrate that adequate due diligence and thinking was undertaken </w:t>
      </w:r>
    </w:p>
    <w:p w14:paraId="16167856" w14:textId="282BF3FB" w:rsidR="00E369E4" w:rsidRPr="00AC41E0" w:rsidRDefault="00EB6BDB" w:rsidP="00003096">
      <w:pPr>
        <w:pStyle w:val="DCSbodytext"/>
        <w:numPr>
          <w:ilvl w:val="1"/>
          <w:numId w:val="133"/>
        </w:numPr>
        <w:ind w:left="1276" w:hanging="425"/>
      </w:pPr>
      <w:r w:rsidRPr="00AC41E0">
        <w:t xml:space="preserve">to </w:t>
      </w:r>
      <w:r w:rsidR="00E369E4" w:rsidRPr="00AC41E0">
        <w:t>obtain approval including funding.</w:t>
      </w:r>
    </w:p>
    <w:p w14:paraId="1158B0FC" w14:textId="740B3384" w:rsidR="00B10118" w:rsidRPr="00AC41E0" w:rsidRDefault="00B10118" w:rsidP="00AA2E46">
      <w:pPr>
        <w:pStyle w:val="DCSbodytext"/>
        <w:ind w:left="1560"/>
        <w:rPr>
          <w:i/>
        </w:rPr>
      </w:pPr>
      <w:r w:rsidRPr="00E46FB0">
        <w:rPr>
          <w:i/>
          <w:noProof/>
        </w:rPr>
        <w:drawing>
          <wp:anchor distT="0" distB="0" distL="114300" distR="114300" simplePos="0" relativeHeight="251658273" behindDoc="1" locked="0" layoutInCell="1" allowOverlap="1" wp14:anchorId="38C2236F" wp14:editId="3C2E1AEF">
            <wp:simplePos x="0" y="0"/>
            <wp:positionH relativeFrom="margin">
              <wp:posOffset>505460</wp:posOffset>
            </wp:positionH>
            <wp:positionV relativeFrom="paragraph">
              <wp:posOffset>2540</wp:posOffset>
            </wp:positionV>
            <wp:extent cx="389255" cy="389255"/>
            <wp:effectExtent l="0" t="0" r="0" b="0"/>
            <wp:wrapTight wrapText="bothSides">
              <wp:wrapPolygon edited="0">
                <wp:start x="7400" y="0"/>
                <wp:lineTo x="0" y="5285"/>
                <wp:lineTo x="0" y="13742"/>
                <wp:lineTo x="6343" y="20085"/>
                <wp:lineTo x="12685" y="20085"/>
                <wp:lineTo x="14799" y="16914"/>
                <wp:lineTo x="20085" y="10571"/>
                <wp:lineTo x="20085" y="5285"/>
                <wp:lineTo x="11628" y="0"/>
                <wp:lineTo x="7400" y="0"/>
              </wp:wrapPolygon>
            </wp:wrapTight>
            <wp:docPr id="21" name="Graphic 21"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r w:rsidRPr="00E46FB0">
        <w:rPr>
          <w:i/>
          <w:iCs/>
        </w:rPr>
        <w:t xml:space="preserve">Tip: NSW Government agencies will soon be able to apply for investment from the new Digital Restart </w:t>
      </w:r>
      <w:r w:rsidRPr="00AC41E0">
        <w:rPr>
          <w:i/>
          <w:iCs/>
        </w:rPr>
        <w:t>Fund</w:t>
      </w:r>
      <w:r w:rsidR="00731061" w:rsidRPr="00AC41E0">
        <w:rPr>
          <w:i/>
          <w:iCs/>
        </w:rPr>
        <w:t xml:space="preserve"> announced as part of the NSW</w:t>
      </w:r>
      <w:r w:rsidR="00A41B78" w:rsidRPr="00AC41E0">
        <w:rPr>
          <w:i/>
          <w:iCs/>
        </w:rPr>
        <w:t xml:space="preserve"> Budget</w:t>
      </w:r>
      <w:r w:rsidR="00731061" w:rsidRPr="00AC41E0">
        <w:rPr>
          <w:i/>
          <w:iCs/>
        </w:rPr>
        <w:t xml:space="preserve"> 2019-20</w:t>
      </w:r>
      <w:r w:rsidR="00A41B78" w:rsidRPr="00AC41E0">
        <w:rPr>
          <w:i/>
          <w:iCs/>
        </w:rPr>
        <w:t xml:space="preserve">. The Digital Restart Fund will be </w:t>
      </w:r>
      <w:r w:rsidRPr="00AC41E0">
        <w:rPr>
          <w:i/>
          <w:iCs/>
        </w:rPr>
        <w:t xml:space="preserve">a $100 million fund to accelerate whole of government digital transformation projects over the next two years. </w:t>
      </w:r>
      <w:r w:rsidR="000927CB" w:rsidRPr="00AC41E0">
        <w:rPr>
          <w:i/>
          <w:iCs/>
        </w:rPr>
        <w:t>You may be able to see</w:t>
      </w:r>
      <w:r w:rsidR="003D3536" w:rsidRPr="00AC41E0">
        <w:rPr>
          <w:i/>
          <w:iCs/>
        </w:rPr>
        <w:t>k</w:t>
      </w:r>
      <w:r w:rsidR="000927CB" w:rsidRPr="00AC41E0">
        <w:rPr>
          <w:i/>
          <w:iCs/>
        </w:rPr>
        <w:t xml:space="preserve"> funding for </w:t>
      </w:r>
      <w:r w:rsidR="003D3536" w:rsidRPr="00AC41E0">
        <w:rPr>
          <w:i/>
          <w:iCs/>
        </w:rPr>
        <w:t>new</w:t>
      </w:r>
      <w:r w:rsidR="00C44262" w:rsidRPr="00AC41E0">
        <w:rPr>
          <w:i/>
          <w:iCs/>
        </w:rPr>
        <w:t xml:space="preserve"> </w:t>
      </w:r>
      <w:r w:rsidRPr="00AC41E0">
        <w:rPr>
          <w:i/>
          <w:iCs/>
        </w:rPr>
        <w:t xml:space="preserve">IoT-enabled projects. </w:t>
      </w:r>
    </w:p>
    <w:p w14:paraId="217319C8" w14:textId="77777777" w:rsidR="001048A0" w:rsidRPr="00AC41E0" w:rsidRDefault="001048A0" w:rsidP="001048A0">
      <w:pPr>
        <w:pStyle w:val="Heading3"/>
        <w:rPr>
          <w:rFonts w:ascii="Arial" w:hAnsi="Arial"/>
        </w:rPr>
      </w:pPr>
      <w:bookmarkStart w:id="1366" w:name="_Toc65760543"/>
      <w:r w:rsidRPr="00AC41E0">
        <w:rPr>
          <w:rFonts w:ascii="Arial" w:hAnsi="Arial"/>
        </w:rPr>
        <w:t>When should a business case be prepared?</w:t>
      </w:r>
      <w:bookmarkEnd w:id="1366"/>
    </w:p>
    <w:p w14:paraId="109E39A8" w14:textId="4B49C567" w:rsidR="00CF11BE" w:rsidRPr="00AC41E0" w:rsidRDefault="00CF11BE" w:rsidP="00CF11BE">
      <w:pPr>
        <w:pStyle w:val="DCSbodytext"/>
      </w:pPr>
      <w:r w:rsidRPr="00AC41E0">
        <w:t xml:space="preserve">Business cases may need to be submitted to NSW Treasury as part of the annual outcome-based budget process, or as part of the Gateway </w:t>
      </w:r>
      <w:r w:rsidR="00B9088A" w:rsidRPr="00AC41E0">
        <w:t>R</w:t>
      </w:r>
      <w:r w:rsidRPr="00AC41E0">
        <w:t xml:space="preserve">eview process. </w:t>
      </w:r>
      <w:hyperlink w:anchor="_Assurance" w:history="1">
        <w:r w:rsidR="00476BC8" w:rsidRPr="00AC41E0">
          <w:rPr>
            <w:rStyle w:val="Hyperlink"/>
          </w:rPr>
          <w:t>Chapter 3.9 A</w:t>
        </w:r>
        <w:r w:rsidRPr="00AC41E0">
          <w:rPr>
            <w:rStyle w:val="Hyperlink"/>
          </w:rPr>
          <w:t>ssurance</w:t>
        </w:r>
      </w:hyperlink>
      <w:r w:rsidRPr="00E46FB0">
        <w:t xml:space="preserve"> </w:t>
      </w:r>
      <w:r w:rsidR="00B9088A" w:rsidRPr="00AC41E0">
        <w:t xml:space="preserve">provides </w:t>
      </w:r>
      <w:r w:rsidRPr="00AC41E0">
        <w:t xml:space="preserve">information on the Gateway </w:t>
      </w:r>
      <w:r w:rsidR="00B9088A" w:rsidRPr="00AC41E0">
        <w:t>R</w:t>
      </w:r>
      <w:r w:rsidRPr="00AC41E0">
        <w:t xml:space="preserve">eview process </w:t>
      </w:r>
      <w:r w:rsidR="00E057F2" w:rsidRPr="00AC41E0">
        <w:t>and when it applie</w:t>
      </w:r>
      <w:r w:rsidR="00B875BF" w:rsidRPr="00AC41E0">
        <w:t>s</w:t>
      </w:r>
      <w:r w:rsidRPr="00AC41E0">
        <w:t>.</w:t>
      </w:r>
    </w:p>
    <w:p w14:paraId="2116992E" w14:textId="7969562D" w:rsidR="00CF11BE" w:rsidRPr="00AC41E0" w:rsidRDefault="006020B0" w:rsidP="00CF11BE">
      <w:pPr>
        <w:pStyle w:val="DCSbodytext"/>
      </w:pPr>
      <w:r w:rsidRPr="00AC41E0">
        <w:t xml:space="preserve">It is </w:t>
      </w:r>
      <w:r w:rsidR="00CF11BE" w:rsidRPr="00AC41E0">
        <w:t xml:space="preserve">good practice to prepare business cases for proposed investments as part of your </w:t>
      </w:r>
      <w:r w:rsidRPr="00AC41E0">
        <w:t xml:space="preserve">organisation’s </w:t>
      </w:r>
      <w:r w:rsidR="00CF11BE" w:rsidRPr="00AC41E0">
        <w:t xml:space="preserve">internal decision-making process. Discuss </w:t>
      </w:r>
      <w:r w:rsidR="006074F8" w:rsidRPr="00AC41E0">
        <w:t>the requirements for the</w:t>
      </w:r>
      <w:r w:rsidR="00CF11BE" w:rsidRPr="00AC41E0">
        <w:t xml:space="preserve"> project with your organisation’s </w:t>
      </w:r>
      <w:r w:rsidR="00A01328" w:rsidRPr="00AC41E0">
        <w:t>P</w:t>
      </w:r>
      <w:r w:rsidR="00CF11BE" w:rsidRPr="00AC41E0">
        <w:t xml:space="preserve">roject </w:t>
      </w:r>
      <w:r w:rsidR="00A01328" w:rsidRPr="00AC41E0">
        <w:t>M</w:t>
      </w:r>
      <w:r w:rsidR="00CF11BE" w:rsidRPr="00AC41E0">
        <w:t xml:space="preserve">anagement </w:t>
      </w:r>
      <w:r w:rsidR="00A01328" w:rsidRPr="00AC41E0">
        <w:t>O</w:t>
      </w:r>
      <w:r w:rsidR="00CF11BE" w:rsidRPr="00AC41E0">
        <w:t>ffice.</w:t>
      </w:r>
    </w:p>
    <w:p w14:paraId="29CF9CE1" w14:textId="57B0CB65" w:rsidR="001048A0" w:rsidRPr="00AC41E0" w:rsidRDefault="001048A0" w:rsidP="001048A0">
      <w:pPr>
        <w:pStyle w:val="Heading3"/>
        <w:rPr>
          <w:rFonts w:ascii="Arial" w:hAnsi="Arial"/>
        </w:rPr>
      </w:pPr>
      <w:bookmarkStart w:id="1367" w:name="_Toc65760544"/>
      <w:r w:rsidRPr="00AC41E0">
        <w:rPr>
          <w:rFonts w:ascii="Arial" w:hAnsi="Arial"/>
        </w:rPr>
        <w:t>How to prepare a business case</w:t>
      </w:r>
      <w:bookmarkEnd w:id="1367"/>
    </w:p>
    <w:p w14:paraId="67A41744" w14:textId="39DFE740" w:rsidR="00D26131" w:rsidRPr="00AC41E0" w:rsidRDefault="00D26131" w:rsidP="0022369F">
      <w:pPr>
        <w:pStyle w:val="DCSbodytext"/>
        <w:spacing w:after="120"/>
      </w:pPr>
      <w:r w:rsidRPr="00AC41E0">
        <w:t xml:space="preserve">There are three main stages </w:t>
      </w:r>
      <w:r w:rsidR="002E1E65" w:rsidRPr="00AC41E0">
        <w:t xml:space="preserve">of </w:t>
      </w:r>
      <w:r w:rsidRPr="00AC41E0">
        <w:t>business case development:</w:t>
      </w:r>
    </w:p>
    <w:p w14:paraId="1D1D8A7C" w14:textId="77777777" w:rsidR="00D26131" w:rsidRPr="00AC41E0" w:rsidRDefault="00D26131" w:rsidP="00003096">
      <w:pPr>
        <w:pStyle w:val="DCSbodytext"/>
        <w:numPr>
          <w:ilvl w:val="0"/>
          <w:numId w:val="141"/>
        </w:numPr>
        <w:spacing w:after="120"/>
      </w:pPr>
      <w:r w:rsidRPr="00AC41E0">
        <w:t>Stage 0 – Problem Definition</w:t>
      </w:r>
    </w:p>
    <w:p w14:paraId="1156776A" w14:textId="77777777" w:rsidR="00D26131" w:rsidRPr="00AC41E0" w:rsidRDefault="00D26131" w:rsidP="00003096">
      <w:pPr>
        <w:pStyle w:val="DCSbodytext"/>
        <w:numPr>
          <w:ilvl w:val="0"/>
          <w:numId w:val="141"/>
        </w:numPr>
        <w:spacing w:after="120"/>
      </w:pPr>
      <w:r w:rsidRPr="00AC41E0">
        <w:t>Stage 1 – Strategic Business Case</w:t>
      </w:r>
    </w:p>
    <w:p w14:paraId="3D2FD21C" w14:textId="77777777" w:rsidR="00D26131" w:rsidRPr="00AC41E0" w:rsidRDefault="00D26131" w:rsidP="00003096">
      <w:pPr>
        <w:pStyle w:val="DCSbodytext"/>
        <w:numPr>
          <w:ilvl w:val="0"/>
          <w:numId w:val="141"/>
        </w:numPr>
      </w:pPr>
      <w:r w:rsidRPr="00AC41E0">
        <w:t>Stage 2 – Detailed Business Case</w:t>
      </w:r>
    </w:p>
    <w:p w14:paraId="4F5B2D91" w14:textId="77777777" w:rsidR="00246E21" w:rsidRPr="00AC41E0" w:rsidRDefault="001853B6" w:rsidP="00552E06">
      <w:pPr>
        <w:pStyle w:val="DCSbodytext"/>
        <w:rPr>
          <w:rStyle w:val="Hyperlink"/>
          <w:color w:val="000000" w:themeColor="text1"/>
          <w:u w:val="none"/>
        </w:rPr>
        <w:sectPr w:rsidR="00246E21" w:rsidRPr="00AC41E0" w:rsidSect="00246E21">
          <w:pgSz w:w="11906" w:h="16838"/>
          <w:pgMar w:top="1440" w:right="1440" w:bottom="1440" w:left="1440" w:header="708" w:footer="708" w:gutter="0"/>
          <w:cols w:space="708"/>
          <w:docGrid w:linePitch="360"/>
        </w:sectPr>
      </w:pPr>
      <w:r w:rsidRPr="00AC41E0">
        <w:rPr>
          <w:rStyle w:val="Hyperlink"/>
          <w:color w:val="auto"/>
          <w:u w:val="none"/>
        </w:rPr>
        <w:t xml:space="preserve">The following table summarises </w:t>
      </w:r>
      <w:r w:rsidR="00E84BFD" w:rsidRPr="00AC41E0">
        <w:rPr>
          <w:rStyle w:val="Hyperlink"/>
          <w:color w:val="auto"/>
          <w:u w:val="none"/>
        </w:rPr>
        <w:t xml:space="preserve">what is involved in the three stages. </w:t>
      </w:r>
      <w:r w:rsidR="00E84BFD" w:rsidRPr="00AC41E0">
        <w:t xml:space="preserve">For more detailed information, including on how to complete the activities and analyses in each stage, refer to the </w:t>
      </w:r>
      <w:hyperlink r:id="rId210" w:history="1">
        <w:r w:rsidR="00E84BFD" w:rsidRPr="00AC41E0">
          <w:rPr>
            <w:rStyle w:val="Hyperlink"/>
          </w:rPr>
          <w:t>NSW Government Business Case Guidelines</w:t>
        </w:r>
      </w:hyperlink>
      <w:r w:rsidR="00E84BFD" w:rsidRPr="00E46FB0">
        <w:rPr>
          <w:rStyle w:val="Hyperlink"/>
          <w:color w:val="000000" w:themeColor="text1"/>
          <w:u w:val="none"/>
        </w:rPr>
        <w:t>.</w:t>
      </w:r>
      <w:r w:rsidR="00E84BFD" w:rsidRPr="00AC41E0">
        <w:rPr>
          <w:rStyle w:val="Hyperlink"/>
          <w:color w:val="000000" w:themeColor="text1"/>
          <w:u w:val="none"/>
        </w:rPr>
        <w:t xml:space="preserve"> </w:t>
      </w:r>
    </w:p>
    <w:p w14:paraId="248DE391" w14:textId="6BF29DE6" w:rsidR="00D26131" w:rsidRPr="00AC41E0" w:rsidRDefault="00351F28" w:rsidP="00D55F6B">
      <w:pPr>
        <w:pStyle w:val="DCSbodytext"/>
        <w:ind w:left="0"/>
        <w:jc w:val="center"/>
        <w:rPr>
          <w:b/>
        </w:rPr>
      </w:pPr>
      <w:r w:rsidRPr="00AC41E0">
        <w:rPr>
          <w:b/>
        </w:rPr>
        <w:lastRenderedPageBreak/>
        <w:t>Three stages of a business case</w:t>
      </w:r>
    </w:p>
    <w:tbl>
      <w:tblPr>
        <w:tblStyle w:val="GridTable4-Accent1"/>
        <w:tblW w:w="14317" w:type="dxa"/>
        <w:tblInd w:w="-142" w:type="dxa"/>
        <w:tblLook w:val="04A0" w:firstRow="1" w:lastRow="0" w:firstColumn="1" w:lastColumn="0" w:noHBand="0" w:noVBand="1"/>
        <w:tblCaption w:val="Business case stages overview"/>
      </w:tblPr>
      <w:tblGrid>
        <w:gridCol w:w="2694"/>
        <w:gridCol w:w="3402"/>
        <w:gridCol w:w="3402"/>
        <w:gridCol w:w="4819"/>
      </w:tblGrid>
      <w:tr w:rsidR="005B793A" w:rsidRPr="00AC41E0" w14:paraId="3DACF507" w14:textId="77777777" w:rsidTr="005B79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Borders>
              <w:top w:val="nil"/>
              <w:left w:val="nil"/>
              <w:bottom w:val="single" w:sz="4" w:space="0" w:color="95B3D7" w:themeColor="accent1" w:themeTint="99"/>
              <w:right w:val="single" w:sz="4" w:space="0" w:color="auto"/>
            </w:tcBorders>
            <w:shd w:val="clear" w:color="auto" w:fill="FFFFFF" w:themeFill="background1"/>
          </w:tcPr>
          <w:p w14:paraId="725FEF0A" w14:textId="0713C2E8" w:rsidR="00D26131" w:rsidRPr="00AC41E0" w:rsidRDefault="00D26131">
            <w:pPr>
              <w:spacing w:after="120"/>
              <w:jc w:val="center"/>
              <w:rPr>
                <w:rFonts w:ascii="Arial" w:hAnsi="Arial" w:cs="Arial"/>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00F6AF8F" w14:textId="3C03ADE8" w:rsidR="00351F28" w:rsidRPr="00AC41E0" w:rsidRDefault="00D26131" w:rsidP="00374CED">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AC41E0">
              <w:rPr>
                <w:rFonts w:ascii="Arial" w:hAnsi="Arial" w:cs="Arial"/>
                <w:sz w:val="22"/>
                <w:szCs w:val="22"/>
              </w:rPr>
              <w:t>Stage 0:</w:t>
            </w:r>
          </w:p>
          <w:p w14:paraId="656249C4" w14:textId="77CFFBAA" w:rsidR="00D26131" w:rsidRPr="00AC41E0" w:rsidRDefault="00D26131" w:rsidP="00374CED">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C41E0">
              <w:rPr>
                <w:rFonts w:ascii="Arial" w:hAnsi="Arial" w:cs="Arial"/>
                <w:sz w:val="22"/>
                <w:szCs w:val="22"/>
              </w:rPr>
              <w:t>Problem Definition</w:t>
            </w:r>
          </w:p>
        </w:tc>
        <w:tc>
          <w:tcPr>
            <w:tcW w:w="3402"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77FE1A45" w14:textId="74336EBA" w:rsidR="00351F28" w:rsidRPr="00AC41E0" w:rsidRDefault="00D26131" w:rsidP="00374CED">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AC41E0">
              <w:rPr>
                <w:rFonts w:ascii="Arial" w:hAnsi="Arial" w:cs="Arial"/>
                <w:sz w:val="22"/>
                <w:szCs w:val="22"/>
              </w:rPr>
              <w:t>Stage 1:</w:t>
            </w:r>
          </w:p>
          <w:p w14:paraId="06B4DD37" w14:textId="12B9ABBD" w:rsidR="00D26131" w:rsidRPr="00AC41E0" w:rsidRDefault="00D26131" w:rsidP="00374CED">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C41E0">
              <w:rPr>
                <w:rFonts w:ascii="Arial" w:hAnsi="Arial" w:cs="Arial"/>
                <w:sz w:val="22"/>
                <w:szCs w:val="22"/>
              </w:rPr>
              <w:t>Strategic Business Case (SBC)</w:t>
            </w:r>
          </w:p>
        </w:tc>
        <w:tc>
          <w:tcPr>
            <w:tcW w:w="4819"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1DBECE79" w14:textId="742BC06A" w:rsidR="00351F28" w:rsidRPr="00AC41E0" w:rsidRDefault="00D26131" w:rsidP="00374CED">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AC41E0">
              <w:rPr>
                <w:rFonts w:ascii="Arial" w:hAnsi="Arial" w:cs="Arial"/>
                <w:sz w:val="22"/>
                <w:szCs w:val="22"/>
              </w:rPr>
              <w:t>Stage 2:</w:t>
            </w:r>
          </w:p>
          <w:p w14:paraId="639747DE" w14:textId="6A42BFA3" w:rsidR="00D26131" w:rsidRPr="00AC41E0" w:rsidRDefault="00D26131" w:rsidP="00374CED">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C41E0">
              <w:rPr>
                <w:rFonts w:ascii="Arial" w:hAnsi="Arial" w:cs="Arial"/>
                <w:sz w:val="22"/>
                <w:szCs w:val="22"/>
              </w:rPr>
              <w:t>Detailed Business Case (DBC)</w:t>
            </w:r>
          </w:p>
        </w:tc>
      </w:tr>
      <w:tr w:rsidR="00274C23" w:rsidRPr="00AC41E0" w14:paraId="23DADD1D" w14:textId="77777777" w:rsidTr="005B7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5B3D7" w:themeColor="accent1" w:themeTint="99"/>
            </w:tcBorders>
            <w:hideMark/>
          </w:tcPr>
          <w:p w14:paraId="2F40DE2B" w14:textId="77777777" w:rsidR="00D26131" w:rsidRPr="00AC41E0" w:rsidRDefault="00D26131">
            <w:pPr>
              <w:spacing w:after="120"/>
              <w:jc w:val="center"/>
              <w:rPr>
                <w:rFonts w:ascii="Arial" w:hAnsi="Arial" w:cs="Arial"/>
                <w:sz w:val="22"/>
                <w:szCs w:val="22"/>
              </w:rPr>
            </w:pPr>
            <w:r w:rsidRPr="00AC41E0">
              <w:rPr>
                <w:rFonts w:ascii="Arial" w:hAnsi="Arial" w:cs="Arial"/>
                <w:sz w:val="22"/>
                <w:szCs w:val="22"/>
              </w:rPr>
              <w:t>Overview</w:t>
            </w:r>
          </w:p>
        </w:tc>
        <w:tc>
          <w:tcPr>
            <w:tcW w:w="3402" w:type="dxa"/>
            <w:tcBorders>
              <w:top w:val="single" w:sz="4" w:space="0" w:color="auto"/>
            </w:tcBorders>
            <w:hideMark/>
          </w:tcPr>
          <w:p w14:paraId="6697DC2E" w14:textId="588176C6" w:rsidR="00D26131" w:rsidRPr="00AC41E0" w:rsidRDefault="00D26131" w:rsidP="00003096">
            <w:pPr>
              <w:pStyle w:val="ListParagraph"/>
              <w:numPr>
                <w:ilvl w:val="0"/>
                <w:numId w:val="182"/>
              </w:numPr>
              <w:spacing w:after="120"/>
              <w:ind w:left="170" w:hanging="170"/>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This stage outlines the need</w:t>
            </w:r>
            <w:r w:rsidR="00AA337C" w:rsidRPr="00AC41E0">
              <w:rPr>
                <w:rFonts w:ascii="Arial" w:hAnsi="Arial" w:cs="Arial"/>
              </w:rPr>
              <w:t>,</w:t>
            </w:r>
            <w:r w:rsidR="003F76A5" w:rsidRPr="00AC41E0">
              <w:rPr>
                <w:rFonts w:ascii="Arial" w:hAnsi="Arial" w:cs="Arial"/>
              </w:rPr>
              <w:t xml:space="preserve"> </w:t>
            </w:r>
            <w:r w:rsidRPr="00AC41E0">
              <w:rPr>
                <w:rFonts w:ascii="Arial" w:hAnsi="Arial" w:cs="Arial"/>
              </w:rPr>
              <w:t xml:space="preserve">opportunity or the case for change. It is a short, high-level document based on the evidence available at the time. </w:t>
            </w:r>
          </w:p>
        </w:tc>
        <w:tc>
          <w:tcPr>
            <w:tcW w:w="3402" w:type="dxa"/>
            <w:tcBorders>
              <w:top w:val="single" w:sz="4" w:space="0" w:color="auto"/>
            </w:tcBorders>
            <w:hideMark/>
          </w:tcPr>
          <w:p w14:paraId="63E714EC" w14:textId="5DB75E7C" w:rsidR="003F76A5" w:rsidRPr="00AC41E0" w:rsidRDefault="00D26131" w:rsidP="00003096">
            <w:pPr>
              <w:pStyle w:val="ListParagraph"/>
              <w:numPr>
                <w:ilvl w:val="0"/>
                <w:numId w:val="182"/>
              </w:numPr>
              <w:spacing w:after="120"/>
              <w:ind w:left="178" w:hanging="178"/>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 xml:space="preserve">This stage provides the </w:t>
            </w:r>
            <w:r w:rsidR="002E1E65" w:rsidRPr="00AC41E0">
              <w:rPr>
                <w:rFonts w:ascii="Arial" w:hAnsi="Arial" w:cs="Arial"/>
              </w:rPr>
              <w:t>decision-</w:t>
            </w:r>
            <w:r w:rsidRPr="00AC41E0">
              <w:rPr>
                <w:rFonts w:ascii="Arial" w:hAnsi="Arial" w:cs="Arial"/>
              </w:rPr>
              <w:t xml:space="preserve">makers with an indication of whether there are beneficial options to address the objectives. </w:t>
            </w:r>
          </w:p>
          <w:p w14:paraId="2F51C793" w14:textId="77777777" w:rsidR="00D26131" w:rsidRPr="00AC41E0" w:rsidRDefault="00D26131" w:rsidP="00003096">
            <w:pPr>
              <w:pStyle w:val="ListParagraph"/>
              <w:numPr>
                <w:ilvl w:val="0"/>
                <w:numId w:val="182"/>
              </w:numPr>
              <w:spacing w:after="120"/>
              <w:ind w:left="178" w:hanging="178"/>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 xml:space="preserve">The evidence expected at this stage is preliminary. </w:t>
            </w:r>
          </w:p>
        </w:tc>
        <w:tc>
          <w:tcPr>
            <w:tcW w:w="4819" w:type="dxa"/>
            <w:tcBorders>
              <w:top w:val="single" w:sz="4" w:space="0" w:color="auto"/>
            </w:tcBorders>
            <w:hideMark/>
          </w:tcPr>
          <w:p w14:paraId="09A36D3E" w14:textId="77777777" w:rsidR="00A174C3" w:rsidRPr="00AC41E0" w:rsidRDefault="00D26131" w:rsidP="00003096">
            <w:pPr>
              <w:pStyle w:val="ListParagraph"/>
              <w:numPr>
                <w:ilvl w:val="0"/>
                <w:numId w:val="182"/>
              </w:numPr>
              <w:spacing w:after="120"/>
              <w:ind w:left="178" w:hanging="178"/>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 xml:space="preserve">This stage builds on the analysis undertaken in Stage 1 to select a preferred option. </w:t>
            </w:r>
          </w:p>
          <w:p w14:paraId="6F622964" w14:textId="0303B200" w:rsidR="00D26131" w:rsidRPr="00AC41E0" w:rsidRDefault="00D26131" w:rsidP="00003096">
            <w:pPr>
              <w:pStyle w:val="ListParagraph"/>
              <w:numPr>
                <w:ilvl w:val="0"/>
                <w:numId w:val="182"/>
              </w:numPr>
              <w:spacing w:after="120"/>
              <w:ind w:left="178" w:hanging="178"/>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 xml:space="preserve">It also includes the commercial and management arrangements for </w:t>
            </w:r>
            <w:r w:rsidR="002E1E65" w:rsidRPr="00AC41E0">
              <w:rPr>
                <w:rFonts w:ascii="Arial" w:hAnsi="Arial" w:cs="Arial"/>
              </w:rPr>
              <w:t xml:space="preserve">the </w:t>
            </w:r>
            <w:r w:rsidRPr="00AC41E0">
              <w:rPr>
                <w:rFonts w:ascii="Arial" w:hAnsi="Arial" w:cs="Arial"/>
              </w:rPr>
              <w:t>procurement and delivery of the project</w:t>
            </w:r>
            <w:r w:rsidR="00A174C3" w:rsidRPr="00AC41E0">
              <w:rPr>
                <w:rFonts w:ascii="Arial" w:hAnsi="Arial" w:cs="Arial"/>
              </w:rPr>
              <w:t>.</w:t>
            </w:r>
          </w:p>
        </w:tc>
      </w:tr>
      <w:tr w:rsidR="00274C23" w:rsidRPr="00AC41E0" w14:paraId="1DE3B1D1" w14:textId="77777777" w:rsidTr="005B793A">
        <w:tc>
          <w:tcPr>
            <w:cnfStyle w:val="001000000000" w:firstRow="0" w:lastRow="0" w:firstColumn="1" w:lastColumn="0" w:oddVBand="0" w:evenVBand="0" w:oddHBand="0" w:evenHBand="0" w:firstRowFirstColumn="0" w:firstRowLastColumn="0" w:lastRowFirstColumn="0" w:lastRowLastColumn="0"/>
            <w:tcW w:w="2694" w:type="dxa"/>
            <w:hideMark/>
          </w:tcPr>
          <w:p w14:paraId="1E6157B6" w14:textId="77777777" w:rsidR="00D26131" w:rsidRPr="00AC41E0" w:rsidRDefault="00D26131">
            <w:pPr>
              <w:spacing w:after="120"/>
              <w:jc w:val="center"/>
              <w:rPr>
                <w:rFonts w:ascii="Arial" w:hAnsi="Arial" w:cs="Arial"/>
                <w:sz w:val="22"/>
                <w:szCs w:val="22"/>
              </w:rPr>
            </w:pPr>
            <w:r w:rsidRPr="00AC41E0">
              <w:rPr>
                <w:rFonts w:ascii="Arial" w:hAnsi="Arial" w:cs="Arial"/>
                <w:sz w:val="22"/>
                <w:szCs w:val="22"/>
              </w:rPr>
              <w:t>Purpose</w:t>
            </w:r>
          </w:p>
        </w:tc>
        <w:tc>
          <w:tcPr>
            <w:tcW w:w="3402" w:type="dxa"/>
            <w:hideMark/>
          </w:tcPr>
          <w:p w14:paraId="176EA11C" w14:textId="3A918D82" w:rsidR="00D26131" w:rsidRPr="00AC41E0" w:rsidRDefault="00D26131" w:rsidP="00003096">
            <w:pPr>
              <w:pStyle w:val="ListParagraph"/>
              <w:numPr>
                <w:ilvl w:val="0"/>
                <w:numId w:val="135"/>
              </w:numPr>
              <w:spacing w:after="120" w:line="240" w:lineRule="auto"/>
              <w:ind w:left="170" w:hanging="170"/>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Needs analysis and confirmation</w:t>
            </w:r>
            <w:r w:rsidR="00EC18C4" w:rsidRPr="00AC41E0">
              <w:rPr>
                <w:rFonts w:ascii="Arial" w:hAnsi="Arial" w:cs="Arial"/>
              </w:rPr>
              <w:t>.</w:t>
            </w:r>
          </w:p>
          <w:p w14:paraId="0A27674C" w14:textId="397C0D87" w:rsidR="00D26131" w:rsidRPr="00AC41E0" w:rsidRDefault="00D26131" w:rsidP="00003096">
            <w:pPr>
              <w:pStyle w:val="ListParagraph"/>
              <w:numPr>
                <w:ilvl w:val="0"/>
                <w:numId w:val="135"/>
              </w:numPr>
              <w:spacing w:after="120" w:line="240" w:lineRule="auto"/>
              <w:ind w:left="170" w:hanging="170"/>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 xml:space="preserve">Seek approval to proceed with </w:t>
            </w:r>
            <w:r w:rsidR="002E1E65" w:rsidRPr="00AC41E0">
              <w:rPr>
                <w:rFonts w:ascii="Arial" w:hAnsi="Arial" w:cs="Arial"/>
              </w:rPr>
              <w:t xml:space="preserve">the </w:t>
            </w:r>
            <w:r w:rsidRPr="00AC41E0">
              <w:rPr>
                <w:rFonts w:ascii="Arial" w:hAnsi="Arial" w:cs="Arial"/>
              </w:rPr>
              <w:t xml:space="preserve">development of </w:t>
            </w:r>
            <w:r w:rsidR="002E1E65" w:rsidRPr="00AC41E0">
              <w:rPr>
                <w:rFonts w:ascii="Arial" w:hAnsi="Arial" w:cs="Arial"/>
              </w:rPr>
              <w:t xml:space="preserve">a </w:t>
            </w:r>
            <w:r w:rsidRPr="00AC41E0">
              <w:rPr>
                <w:rFonts w:ascii="Arial" w:hAnsi="Arial" w:cs="Arial"/>
              </w:rPr>
              <w:t>Strategic Business Case</w:t>
            </w:r>
            <w:r w:rsidR="00EC18C4" w:rsidRPr="00AC41E0">
              <w:rPr>
                <w:rFonts w:ascii="Arial" w:hAnsi="Arial" w:cs="Arial"/>
              </w:rPr>
              <w:t>.</w:t>
            </w:r>
          </w:p>
          <w:p w14:paraId="24B283F6" w14:textId="5B4D6C73" w:rsidR="00D26131" w:rsidRPr="00AC41E0" w:rsidRDefault="00AE5A3E" w:rsidP="00003096">
            <w:pPr>
              <w:pStyle w:val="ListParagraph"/>
              <w:numPr>
                <w:ilvl w:val="0"/>
                <w:numId w:val="135"/>
              </w:numPr>
              <w:spacing w:after="120" w:line="240" w:lineRule="auto"/>
              <w:ind w:left="170" w:hanging="170"/>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E</w:t>
            </w:r>
            <w:r w:rsidR="00D26131" w:rsidRPr="00AC41E0">
              <w:rPr>
                <w:rFonts w:ascii="Arial" w:hAnsi="Arial" w:cs="Arial"/>
              </w:rPr>
              <w:t>ngage with stakeholders during this stage, including users of the service</w:t>
            </w:r>
            <w:r w:rsidR="004F34E8" w:rsidRPr="00AC41E0">
              <w:rPr>
                <w:rFonts w:ascii="Arial" w:hAnsi="Arial" w:cs="Arial"/>
              </w:rPr>
              <w:t>.</w:t>
            </w:r>
          </w:p>
        </w:tc>
        <w:tc>
          <w:tcPr>
            <w:tcW w:w="3402" w:type="dxa"/>
            <w:hideMark/>
          </w:tcPr>
          <w:p w14:paraId="6F7D346E" w14:textId="582FBDCF" w:rsidR="00D26131" w:rsidRPr="00AC41E0" w:rsidRDefault="00D26131" w:rsidP="00003096">
            <w:pPr>
              <w:pStyle w:val="ListParagraph"/>
              <w:numPr>
                <w:ilvl w:val="0"/>
                <w:numId w:val="135"/>
              </w:numPr>
              <w:spacing w:after="120" w:line="240" w:lineRule="auto"/>
              <w:ind w:left="178" w:hanging="178"/>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Option(s) analysis</w:t>
            </w:r>
            <w:r w:rsidR="00EC18C4" w:rsidRPr="00AC41E0">
              <w:rPr>
                <w:rFonts w:ascii="Arial" w:hAnsi="Arial" w:cs="Arial"/>
              </w:rPr>
              <w:t>.</w:t>
            </w:r>
          </w:p>
          <w:p w14:paraId="3151456A" w14:textId="671FC484" w:rsidR="00D26131" w:rsidRPr="00AC41E0" w:rsidRDefault="00D26131" w:rsidP="00003096">
            <w:pPr>
              <w:pStyle w:val="ListParagraph"/>
              <w:numPr>
                <w:ilvl w:val="0"/>
                <w:numId w:val="135"/>
              </w:numPr>
              <w:spacing w:after="120" w:line="240" w:lineRule="auto"/>
              <w:ind w:left="178" w:hanging="178"/>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 xml:space="preserve">Reconfirm </w:t>
            </w:r>
            <w:r w:rsidR="002E1E65" w:rsidRPr="00AC41E0">
              <w:rPr>
                <w:rFonts w:ascii="Arial" w:hAnsi="Arial" w:cs="Arial"/>
              </w:rPr>
              <w:t xml:space="preserve">the </w:t>
            </w:r>
            <w:r w:rsidRPr="00AC41E0">
              <w:rPr>
                <w:rFonts w:ascii="Arial" w:hAnsi="Arial" w:cs="Arial"/>
              </w:rPr>
              <w:t>need for action and case for change</w:t>
            </w:r>
            <w:r w:rsidR="00EC18C4" w:rsidRPr="00AC41E0">
              <w:rPr>
                <w:rFonts w:ascii="Arial" w:hAnsi="Arial" w:cs="Arial"/>
              </w:rPr>
              <w:t>.</w:t>
            </w:r>
          </w:p>
          <w:p w14:paraId="15E0CB40" w14:textId="28267245" w:rsidR="00D26131" w:rsidRPr="00AC41E0" w:rsidRDefault="00D26131" w:rsidP="00003096">
            <w:pPr>
              <w:pStyle w:val="ListParagraph"/>
              <w:numPr>
                <w:ilvl w:val="0"/>
                <w:numId w:val="135"/>
              </w:numPr>
              <w:spacing w:after="120" w:line="240" w:lineRule="auto"/>
              <w:ind w:left="178" w:hanging="178"/>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Consider value for money and feasibility</w:t>
            </w:r>
            <w:r w:rsidR="00EC18C4" w:rsidRPr="00AC41E0">
              <w:rPr>
                <w:rFonts w:ascii="Arial" w:hAnsi="Arial" w:cs="Arial"/>
              </w:rPr>
              <w:t>.</w:t>
            </w:r>
          </w:p>
          <w:p w14:paraId="6BE2249F" w14:textId="48C2D8F0" w:rsidR="00D26131" w:rsidRPr="00AC41E0" w:rsidRDefault="00D26131" w:rsidP="00003096">
            <w:pPr>
              <w:pStyle w:val="ListParagraph"/>
              <w:numPr>
                <w:ilvl w:val="0"/>
                <w:numId w:val="135"/>
              </w:numPr>
              <w:spacing w:after="120" w:line="240" w:lineRule="auto"/>
              <w:ind w:left="178" w:hanging="178"/>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 xml:space="preserve">Seek approval to proceed with </w:t>
            </w:r>
            <w:r w:rsidR="002E1E65" w:rsidRPr="00AC41E0">
              <w:rPr>
                <w:rFonts w:ascii="Arial" w:hAnsi="Arial" w:cs="Arial"/>
              </w:rPr>
              <w:t xml:space="preserve">the </w:t>
            </w:r>
            <w:r w:rsidRPr="00AC41E0">
              <w:rPr>
                <w:rFonts w:ascii="Arial" w:hAnsi="Arial" w:cs="Arial"/>
              </w:rPr>
              <w:t>development of Detailed Business Case.</w:t>
            </w:r>
          </w:p>
        </w:tc>
        <w:tc>
          <w:tcPr>
            <w:tcW w:w="4819" w:type="dxa"/>
            <w:hideMark/>
          </w:tcPr>
          <w:p w14:paraId="5DA3E7D0" w14:textId="208323BD" w:rsidR="00D26131" w:rsidRPr="00AC41E0" w:rsidRDefault="00D26131" w:rsidP="00003096">
            <w:pPr>
              <w:pStyle w:val="ListParagraph"/>
              <w:numPr>
                <w:ilvl w:val="0"/>
                <w:numId w:val="135"/>
              </w:numPr>
              <w:tabs>
                <w:tab w:val="left" w:pos="178"/>
              </w:tabs>
              <w:spacing w:after="120" w:line="240" w:lineRule="auto"/>
              <w:ind w:left="178" w:hanging="14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Option selection</w:t>
            </w:r>
            <w:r w:rsidR="00EC18C4" w:rsidRPr="00AC41E0">
              <w:rPr>
                <w:rFonts w:ascii="Arial" w:hAnsi="Arial" w:cs="Arial"/>
              </w:rPr>
              <w:t>.</w:t>
            </w:r>
          </w:p>
          <w:p w14:paraId="740100BC" w14:textId="61FECC45" w:rsidR="00D26131" w:rsidRPr="00AC41E0" w:rsidRDefault="00D26131" w:rsidP="00003096">
            <w:pPr>
              <w:pStyle w:val="ListParagraph"/>
              <w:numPr>
                <w:ilvl w:val="0"/>
                <w:numId w:val="135"/>
              </w:numPr>
              <w:tabs>
                <w:tab w:val="left" w:pos="178"/>
              </w:tabs>
              <w:spacing w:after="120" w:line="240" w:lineRule="auto"/>
              <w:ind w:left="178" w:hanging="14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More comprehensive analysis</w:t>
            </w:r>
            <w:r w:rsidR="00EC18C4" w:rsidRPr="00AC41E0">
              <w:rPr>
                <w:rFonts w:ascii="Arial" w:hAnsi="Arial" w:cs="Arial"/>
              </w:rPr>
              <w:t>.</w:t>
            </w:r>
          </w:p>
          <w:p w14:paraId="658614E5" w14:textId="06EF5F44" w:rsidR="00D26131" w:rsidRPr="00AC41E0" w:rsidRDefault="00D26131" w:rsidP="00003096">
            <w:pPr>
              <w:pStyle w:val="ListParagraph"/>
              <w:numPr>
                <w:ilvl w:val="0"/>
                <w:numId w:val="135"/>
              </w:numPr>
              <w:tabs>
                <w:tab w:val="left" w:pos="178"/>
              </w:tabs>
              <w:spacing w:after="120" w:line="240" w:lineRule="auto"/>
              <w:ind w:left="178" w:hanging="14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Develop commercial plans</w:t>
            </w:r>
            <w:r w:rsidR="00EC18C4" w:rsidRPr="00AC41E0">
              <w:rPr>
                <w:rFonts w:ascii="Arial" w:hAnsi="Arial" w:cs="Arial"/>
              </w:rPr>
              <w:t>.</w:t>
            </w:r>
            <w:r w:rsidRPr="00AC41E0">
              <w:rPr>
                <w:rFonts w:ascii="Arial" w:hAnsi="Arial" w:cs="Arial"/>
              </w:rPr>
              <w:t xml:space="preserve"> </w:t>
            </w:r>
          </w:p>
          <w:p w14:paraId="63DC84E8" w14:textId="1BCF0A63" w:rsidR="00D26131" w:rsidRPr="00AC41E0" w:rsidRDefault="00D26131" w:rsidP="00003096">
            <w:pPr>
              <w:pStyle w:val="ListParagraph"/>
              <w:numPr>
                <w:ilvl w:val="0"/>
                <w:numId w:val="135"/>
              </w:numPr>
              <w:tabs>
                <w:tab w:val="left" w:pos="178"/>
              </w:tabs>
              <w:spacing w:after="120" w:line="240" w:lineRule="auto"/>
              <w:ind w:left="178" w:hanging="14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Develop management arrangements</w:t>
            </w:r>
            <w:r w:rsidR="004F34E8" w:rsidRPr="00AC41E0">
              <w:rPr>
                <w:rFonts w:ascii="Arial" w:hAnsi="Arial" w:cs="Arial"/>
              </w:rPr>
              <w:t>.</w:t>
            </w:r>
          </w:p>
        </w:tc>
      </w:tr>
      <w:tr w:rsidR="00274C23" w:rsidRPr="00AC41E0" w14:paraId="4234220A" w14:textId="77777777" w:rsidTr="005B7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14:paraId="43296A3B" w14:textId="77777777" w:rsidR="00D26131" w:rsidRPr="00AC41E0" w:rsidRDefault="00D26131">
            <w:pPr>
              <w:spacing w:after="120"/>
              <w:jc w:val="center"/>
              <w:rPr>
                <w:rFonts w:ascii="Arial" w:hAnsi="Arial" w:cs="Arial"/>
                <w:sz w:val="22"/>
                <w:szCs w:val="22"/>
              </w:rPr>
            </w:pPr>
            <w:r w:rsidRPr="00AC41E0">
              <w:rPr>
                <w:rFonts w:ascii="Arial" w:hAnsi="Arial" w:cs="Arial"/>
                <w:sz w:val="22"/>
                <w:szCs w:val="22"/>
              </w:rPr>
              <w:t>Approach</w:t>
            </w:r>
          </w:p>
        </w:tc>
        <w:tc>
          <w:tcPr>
            <w:tcW w:w="3402" w:type="dxa"/>
            <w:hideMark/>
          </w:tcPr>
          <w:p w14:paraId="26DD21F7" w14:textId="289FE042" w:rsidR="00D26131" w:rsidRPr="00AC41E0" w:rsidRDefault="00D26131" w:rsidP="00003096">
            <w:pPr>
              <w:pStyle w:val="ListParagraph"/>
              <w:numPr>
                <w:ilvl w:val="0"/>
                <w:numId w:val="136"/>
              </w:numPr>
              <w:spacing w:after="120" w:line="240" w:lineRule="auto"/>
              <w:ind w:left="170" w:hanging="170"/>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Identify the need for government intervention and make the case for change</w:t>
            </w:r>
            <w:r w:rsidR="00EC18C4" w:rsidRPr="00AC41E0">
              <w:rPr>
                <w:rFonts w:ascii="Arial" w:hAnsi="Arial" w:cs="Arial"/>
              </w:rPr>
              <w:t>.</w:t>
            </w:r>
          </w:p>
          <w:p w14:paraId="0C6CD3FB" w14:textId="760958FC" w:rsidR="00D26131" w:rsidRPr="00AC41E0" w:rsidRDefault="00D26131" w:rsidP="00003096">
            <w:pPr>
              <w:pStyle w:val="ListParagraph"/>
              <w:numPr>
                <w:ilvl w:val="0"/>
                <w:numId w:val="136"/>
              </w:numPr>
              <w:spacing w:after="120" w:line="240" w:lineRule="auto"/>
              <w:ind w:left="170" w:hanging="170"/>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Identify the problem, benefits, strategic response, costs, risks</w:t>
            </w:r>
            <w:r w:rsidR="002E1E65" w:rsidRPr="00AC41E0">
              <w:rPr>
                <w:rFonts w:ascii="Arial" w:hAnsi="Arial" w:cs="Arial"/>
              </w:rPr>
              <w:t>,</w:t>
            </w:r>
            <w:r w:rsidRPr="00AC41E0">
              <w:rPr>
                <w:rFonts w:ascii="Arial" w:hAnsi="Arial" w:cs="Arial"/>
              </w:rPr>
              <w:t xml:space="preserve"> and stakeholders.</w:t>
            </w:r>
          </w:p>
        </w:tc>
        <w:tc>
          <w:tcPr>
            <w:tcW w:w="3402" w:type="dxa"/>
            <w:hideMark/>
          </w:tcPr>
          <w:p w14:paraId="460CF017" w14:textId="6711F0BE" w:rsidR="00D26131" w:rsidRPr="00AC41E0" w:rsidRDefault="00D26131" w:rsidP="00003096">
            <w:pPr>
              <w:pStyle w:val="ListParagraph"/>
              <w:numPr>
                <w:ilvl w:val="0"/>
                <w:numId w:val="137"/>
              </w:numPr>
              <w:spacing w:after="120" w:line="240" w:lineRule="auto"/>
              <w:ind w:left="178" w:hanging="178"/>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Confirm the case for change</w:t>
            </w:r>
            <w:r w:rsidR="00EC18C4" w:rsidRPr="00AC41E0">
              <w:rPr>
                <w:rFonts w:ascii="Arial" w:hAnsi="Arial" w:cs="Arial"/>
              </w:rPr>
              <w:t>.</w:t>
            </w:r>
          </w:p>
          <w:p w14:paraId="79638D20" w14:textId="5EB0ABE3" w:rsidR="00D26131" w:rsidRPr="00AC41E0" w:rsidRDefault="00D26131" w:rsidP="00003096">
            <w:pPr>
              <w:pStyle w:val="ListParagraph"/>
              <w:numPr>
                <w:ilvl w:val="0"/>
                <w:numId w:val="137"/>
              </w:numPr>
              <w:spacing w:after="120" w:line="240" w:lineRule="auto"/>
              <w:ind w:left="178" w:hanging="178"/>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 xml:space="preserve">Identify and screen options that meet the intervention objectives based on a </w:t>
            </w:r>
            <w:r w:rsidR="002E1E65" w:rsidRPr="00AC41E0">
              <w:rPr>
                <w:rFonts w:ascii="Arial" w:hAnsi="Arial" w:cs="Arial"/>
              </w:rPr>
              <w:t>high-</w:t>
            </w:r>
            <w:r w:rsidRPr="00AC41E0">
              <w:rPr>
                <w:rFonts w:ascii="Arial" w:hAnsi="Arial" w:cs="Arial"/>
              </w:rPr>
              <w:t>level analysis</w:t>
            </w:r>
            <w:r w:rsidR="00F047D3" w:rsidRPr="00AC41E0">
              <w:rPr>
                <w:rFonts w:ascii="Arial" w:hAnsi="Arial" w:cs="Arial"/>
              </w:rPr>
              <w:t>.</w:t>
            </w:r>
          </w:p>
        </w:tc>
        <w:tc>
          <w:tcPr>
            <w:tcW w:w="4819" w:type="dxa"/>
            <w:hideMark/>
          </w:tcPr>
          <w:p w14:paraId="7B29FE9B" w14:textId="364D92C0" w:rsidR="00D26131" w:rsidRPr="00AC41E0" w:rsidRDefault="00D26131" w:rsidP="00003096">
            <w:pPr>
              <w:pStyle w:val="ListParagraph"/>
              <w:numPr>
                <w:ilvl w:val="0"/>
                <w:numId w:val="138"/>
              </w:numPr>
              <w:spacing w:after="120" w:line="240" w:lineRule="auto"/>
              <w:ind w:left="178" w:hanging="178"/>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 xml:space="preserve">Confirm </w:t>
            </w:r>
            <w:r w:rsidR="00F047D3" w:rsidRPr="00AC41E0">
              <w:rPr>
                <w:rFonts w:ascii="Arial" w:hAnsi="Arial" w:cs="Arial"/>
              </w:rPr>
              <w:t xml:space="preserve">the </w:t>
            </w:r>
            <w:r w:rsidRPr="00AC41E0">
              <w:rPr>
                <w:rFonts w:ascii="Arial" w:hAnsi="Arial" w:cs="Arial"/>
              </w:rPr>
              <w:t>way forward</w:t>
            </w:r>
            <w:r w:rsidR="00EC18C4" w:rsidRPr="00AC41E0">
              <w:rPr>
                <w:rFonts w:ascii="Arial" w:hAnsi="Arial" w:cs="Arial"/>
              </w:rPr>
              <w:t>.</w:t>
            </w:r>
          </w:p>
          <w:p w14:paraId="1519756D" w14:textId="59038E8A" w:rsidR="00D26131" w:rsidRPr="00AC41E0" w:rsidRDefault="00D26131" w:rsidP="00003096">
            <w:pPr>
              <w:pStyle w:val="ListParagraph"/>
              <w:numPr>
                <w:ilvl w:val="0"/>
                <w:numId w:val="138"/>
              </w:numPr>
              <w:spacing w:after="120" w:line="240" w:lineRule="auto"/>
              <w:ind w:left="178" w:hanging="178"/>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Shortlist options</w:t>
            </w:r>
            <w:r w:rsidR="00EC18C4" w:rsidRPr="00AC41E0">
              <w:rPr>
                <w:rFonts w:ascii="Arial" w:hAnsi="Arial" w:cs="Arial"/>
              </w:rPr>
              <w:t>.</w:t>
            </w:r>
          </w:p>
          <w:p w14:paraId="0CBA867B" w14:textId="78802636" w:rsidR="00D26131" w:rsidRPr="00AC41E0" w:rsidRDefault="00D26131" w:rsidP="00003096">
            <w:pPr>
              <w:pStyle w:val="ListParagraph"/>
              <w:numPr>
                <w:ilvl w:val="0"/>
                <w:numId w:val="138"/>
              </w:numPr>
              <w:spacing w:after="120" w:line="240" w:lineRule="auto"/>
              <w:ind w:left="178" w:hanging="178"/>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Select the preferred option based on a thorough analysis</w:t>
            </w:r>
            <w:r w:rsidR="00EC18C4" w:rsidRPr="00AC41E0">
              <w:rPr>
                <w:rFonts w:ascii="Arial" w:hAnsi="Arial" w:cs="Arial"/>
              </w:rPr>
              <w:t>.</w:t>
            </w:r>
          </w:p>
          <w:p w14:paraId="6AC5D2C8" w14:textId="19595ECE" w:rsidR="00D26131" w:rsidRPr="00AC41E0" w:rsidRDefault="00D26131" w:rsidP="00003096">
            <w:pPr>
              <w:pStyle w:val="ListParagraph"/>
              <w:numPr>
                <w:ilvl w:val="0"/>
                <w:numId w:val="138"/>
              </w:numPr>
              <w:spacing w:after="120" w:line="240" w:lineRule="auto"/>
              <w:ind w:left="178" w:hanging="178"/>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Assess commercial and management aspects for the selected option</w:t>
            </w:r>
            <w:r w:rsidR="008964B7" w:rsidRPr="00AC41E0">
              <w:rPr>
                <w:rFonts w:ascii="Arial" w:hAnsi="Arial" w:cs="Arial"/>
              </w:rPr>
              <w:t>.</w:t>
            </w:r>
          </w:p>
        </w:tc>
      </w:tr>
      <w:tr w:rsidR="00274C23" w:rsidRPr="00AC41E0" w14:paraId="27ECF242" w14:textId="77777777" w:rsidTr="005B793A">
        <w:tc>
          <w:tcPr>
            <w:cnfStyle w:val="001000000000" w:firstRow="0" w:lastRow="0" w:firstColumn="1" w:lastColumn="0" w:oddVBand="0" w:evenVBand="0" w:oddHBand="0" w:evenHBand="0" w:firstRowFirstColumn="0" w:firstRowLastColumn="0" w:lastRowFirstColumn="0" w:lastRowLastColumn="0"/>
            <w:tcW w:w="2694" w:type="dxa"/>
            <w:hideMark/>
          </w:tcPr>
          <w:p w14:paraId="650ABC50" w14:textId="77777777" w:rsidR="00D26131" w:rsidRPr="00AC41E0" w:rsidRDefault="00D26131">
            <w:pPr>
              <w:spacing w:after="120"/>
              <w:jc w:val="center"/>
              <w:rPr>
                <w:rFonts w:ascii="Arial" w:hAnsi="Arial" w:cs="Arial"/>
                <w:sz w:val="22"/>
                <w:szCs w:val="22"/>
              </w:rPr>
            </w:pPr>
            <w:r w:rsidRPr="00AC41E0">
              <w:rPr>
                <w:rFonts w:ascii="Arial" w:hAnsi="Arial" w:cs="Arial"/>
                <w:sz w:val="22"/>
                <w:szCs w:val="22"/>
              </w:rPr>
              <w:t>Output</w:t>
            </w:r>
          </w:p>
        </w:tc>
        <w:tc>
          <w:tcPr>
            <w:tcW w:w="3402" w:type="dxa"/>
            <w:hideMark/>
          </w:tcPr>
          <w:p w14:paraId="67E72B5E" w14:textId="1496B910" w:rsidR="00D26131" w:rsidRPr="00AC41E0" w:rsidRDefault="00D26131" w:rsidP="00003096">
            <w:pPr>
              <w:pStyle w:val="ListParagraph"/>
              <w:numPr>
                <w:ilvl w:val="0"/>
                <w:numId w:val="138"/>
              </w:numPr>
              <w:spacing w:after="120" w:line="240" w:lineRule="auto"/>
              <w:ind w:left="170" w:hanging="170"/>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 xml:space="preserve">Progress with Strategic Business Case. You may need </w:t>
            </w:r>
            <w:r w:rsidRPr="00AC41E0">
              <w:rPr>
                <w:rFonts w:ascii="Arial" w:hAnsi="Arial" w:cs="Arial"/>
              </w:rPr>
              <w:lastRenderedPageBreak/>
              <w:t>approval from key stakeholder</w:t>
            </w:r>
            <w:r w:rsidR="008964B7" w:rsidRPr="00AC41E0">
              <w:rPr>
                <w:rFonts w:ascii="Arial" w:hAnsi="Arial" w:cs="Arial"/>
              </w:rPr>
              <w:t>s</w:t>
            </w:r>
            <w:r w:rsidRPr="00AC41E0">
              <w:rPr>
                <w:rFonts w:ascii="Arial" w:hAnsi="Arial" w:cs="Arial"/>
              </w:rPr>
              <w:t xml:space="preserve"> to proceed past this stage.</w:t>
            </w:r>
          </w:p>
          <w:p w14:paraId="2A779AFA" w14:textId="6140F09D" w:rsidR="00D26131" w:rsidRPr="00AC41E0" w:rsidRDefault="00D26131" w:rsidP="00003096">
            <w:pPr>
              <w:pStyle w:val="ListParagraph"/>
              <w:numPr>
                <w:ilvl w:val="0"/>
                <w:numId w:val="138"/>
              </w:numPr>
              <w:spacing w:after="120" w:line="240" w:lineRule="auto"/>
              <w:ind w:left="170" w:hanging="170"/>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If necessary, seek funding approval for the next stage based on the output of this stage.</w:t>
            </w:r>
          </w:p>
        </w:tc>
        <w:tc>
          <w:tcPr>
            <w:tcW w:w="3402" w:type="dxa"/>
            <w:hideMark/>
          </w:tcPr>
          <w:p w14:paraId="49813CE4" w14:textId="24956A5A" w:rsidR="00D26131" w:rsidRPr="00AC41E0" w:rsidRDefault="00D26131" w:rsidP="00003096">
            <w:pPr>
              <w:pStyle w:val="ListParagraph"/>
              <w:numPr>
                <w:ilvl w:val="0"/>
                <w:numId w:val="138"/>
              </w:numPr>
              <w:spacing w:after="120" w:line="240" w:lineRule="auto"/>
              <w:ind w:left="178" w:hanging="178"/>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lastRenderedPageBreak/>
              <w:t>Confirm way forward</w:t>
            </w:r>
            <w:r w:rsidR="00EC18C4" w:rsidRPr="00AC41E0">
              <w:rPr>
                <w:rFonts w:ascii="Arial" w:hAnsi="Arial" w:cs="Arial"/>
              </w:rPr>
              <w:t>.</w:t>
            </w:r>
          </w:p>
          <w:p w14:paraId="7E09C905" w14:textId="6746DCE7" w:rsidR="00D26131" w:rsidRPr="00AC41E0" w:rsidRDefault="00D26131" w:rsidP="00003096">
            <w:pPr>
              <w:pStyle w:val="ListParagraph"/>
              <w:numPr>
                <w:ilvl w:val="0"/>
                <w:numId w:val="138"/>
              </w:numPr>
              <w:spacing w:after="120" w:line="240" w:lineRule="auto"/>
              <w:ind w:left="178" w:hanging="178"/>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lastRenderedPageBreak/>
              <w:t>Progress with Detailed Business Case</w:t>
            </w:r>
            <w:r w:rsidR="00EC18C4" w:rsidRPr="00AC41E0">
              <w:rPr>
                <w:rFonts w:ascii="Arial" w:hAnsi="Arial" w:cs="Arial"/>
              </w:rPr>
              <w:t>.</w:t>
            </w:r>
          </w:p>
          <w:p w14:paraId="5871CEFC" w14:textId="1921A329" w:rsidR="00D26131" w:rsidRPr="00AC41E0" w:rsidRDefault="00D26131" w:rsidP="00003096">
            <w:pPr>
              <w:pStyle w:val="ListParagraph"/>
              <w:numPr>
                <w:ilvl w:val="0"/>
                <w:numId w:val="138"/>
              </w:numPr>
              <w:spacing w:after="120" w:line="240" w:lineRule="auto"/>
              <w:ind w:left="178" w:hanging="178"/>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If necessary, seek funding approval for the next stage based on the output of this stage</w:t>
            </w:r>
            <w:r w:rsidR="00E41E73" w:rsidRPr="00AC41E0">
              <w:rPr>
                <w:rFonts w:ascii="Arial" w:hAnsi="Arial" w:cs="Arial"/>
              </w:rPr>
              <w:t>.</w:t>
            </w:r>
          </w:p>
        </w:tc>
        <w:tc>
          <w:tcPr>
            <w:tcW w:w="4819" w:type="dxa"/>
            <w:hideMark/>
          </w:tcPr>
          <w:p w14:paraId="211E714A" w14:textId="2A01D7D1" w:rsidR="00D26131" w:rsidRPr="00AC41E0" w:rsidRDefault="00D26131" w:rsidP="00003096">
            <w:pPr>
              <w:pStyle w:val="ListParagraph"/>
              <w:numPr>
                <w:ilvl w:val="0"/>
                <w:numId w:val="138"/>
              </w:numPr>
              <w:spacing w:after="120" w:line="240" w:lineRule="auto"/>
              <w:ind w:left="178" w:hanging="178"/>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lastRenderedPageBreak/>
              <w:t xml:space="preserve">Confirm </w:t>
            </w:r>
            <w:r w:rsidR="002E1E65" w:rsidRPr="00AC41E0">
              <w:rPr>
                <w:rFonts w:ascii="Arial" w:hAnsi="Arial" w:cs="Arial"/>
              </w:rPr>
              <w:t xml:space="preserve">the </w:t>
            </w:r>
            <w:r w:rsidRPr="00AC41E0">
              <w:rPr>
                <w:rFonts w:ascii="Arial" w:hAnsi="Arial" w:cs="Arial"/>
              </w:rPr>
              <w:t>preferred option</w:t>
            </w:r>
            <w:r w:rsidR="00E41E73" w:rsidRPr="00AC41E0">
              <w:rPr>
                <w:rFonts w:ascii="Arial" w:hAnsi="Arial" w:cs="Arial"/>
              </w:rPr>
              <w:t>.</w:t>
            </w:r>
            <w:r w:rsidRPr="00AC41E0">
              <w:rPr>
                <w:rFonts w:ascii="Arial" w:hAnsi="Arial" w:cs="Arial"/>
              </w:rPr>
              <w:t xml:space="preserve"> </w:t>
            </w:r>
          </w:p>
        </w:tc>
      </w:tr>
      <w:tr w:rsidR="00274C23" w:rsidRPr="00AC41E0" w14:paraId="05B6B898" w14:textId="77777777" w:rsidTr="005B7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14:paraId="4816A7AA" w14:textId="182B2B8A" w:rsidR="00D26131" w:rsidRPr="00AC41E0" w:rsidRDefault="00D26131">
            <w:pPr>
              <w:spacing w:after="120"/>
              <w:jc w:val="center"/>
              <w:rPr>
                <w:rFonts w:ascii="Arial" w:hAnsi="Arial" w:cs="Arial"/>
                <w:sz w:val="22"/>
                <w:szCs w:val="22"/>
              </w:rPr>
            </w:pPr>
            <w:r w:rsidRPr="00AC41E0">
              <w:rPr>
                <w:rFonts w:ascii="Arial" w:hAnsi="Arial" w:cs="Arial"/>
                <w:sz w:val="22"/>
                <w:szCs w:val="22"/>
              </w:rPr>
              <w:t xml:space="preserve">Relevance for </w:t>
            </w:r>
            <w:r w:rsidR="003D5E9D" w:rsidRPr="00AC41E0">
              <w:rPr>
                <w:rFonts w:ascii="Arial" w:hAnsi="Arial" w:cs="Arial"/>
                <w:sz w:val="22"/>
                <w:szCs w:val="22"/>
              </w:rPr>
              <w:t>IoT-enabled project</w:t>
            </w:r>
            <w:r w:rsidRPr="00AC41E0">
              <w:rPr>
                <w:rFonts w:ascii="Arial" w:hAnsi="Arial" w:cs="Arial"/>
                <w:sz w:val="22"/>
                <w:szCs w:val="22"/>
              </w:rPr>
              <w:t>s</w:t>
            </w:r>
          </w:p>
        </w:tc>
        <w:tc>
          <w:tcPr>
            <w:tcW w:w="3402" w:type="dxa"/>
            <w:hideMark/>
          </w:tcPr>
          <w:p w14:paraId="282B0EDC" w14:textId="186B1594" w:rsidR="00D26131" w:rsidRPr="00AC41E0" w:rsidRDefault="00D26131" w:rsidP="00003096">
            <w:pPr>
              <w:pStyle w:val="ListParagraph"/>
              <w:numPr>
                <w:ilvl w:val="0"/>
                <w:numId w:val="183"/>
              </w:numPr>
              <w:spacing w:after="120"/>
              <w:ind w:left="170" w:hanging="170"/>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This stage is to be completed when you are still analysing the problem or benefit you are trying to address</w:t>
            </w:r>
            <w:r w:rsidR="008E0DAB" w:rsidRPr="00AC41E0">
              <w:rPr>
                <w:rFonts w:ascii="Arial" w:hAnsi="Arial" w:cs="Arial"/>
              </w:rPr>
              <w:t xml:space="preserve"> – </w:t>
            </w:r>
            <w:r w:rsidRPr="00AC41E0">
              <w:rPr>
                <w:rFonts w:ascii="Arial" w:hAnsi="Arial" w:cs="Arial"/>
              </w:rPr>
              <w:t>before you have identified an IoT solution as your preferred option.</w:t>
            </w:r>
          </w:p>
        </w:tc>
        <w:tc>
          <w:tcPr>
            <w:tcW w:w="3402" w:type="dxa"/>
            <w:hideMark/>
          </w:tcPr>
          <w:p w14:paraId="16E5C931" w14:textId="3ABF126F" w:rsidR="00D26131" w:rsidRPr="00AC41E0" w:rsidRDefault="00D26131" w:rsidP="00003096">
            <w:pPr>
              <w:pStyle w:val="ListParagraph"/>
              <w:numPr>
                <w:ilvl w:val="0"/>
                <w:numId w:val="183"/>
              </w:numPr>
              <w:spacing w:after="120"/>
              <w:ind w:left="178" w:hanging="178"/>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At this stage</w:t>
            </w:r>
            <w:r w:rsidR="002E1E65" w:rsidRPr="00AC41E0">
              <w:rPr>
                <w:rFonts w:ascii="Arial" w:hAnsi="Arial" w:cs="Arial"/>
              </w:rPr>
              <w:t>,</w:t>
            </w:r>
            <w:r w:rsidRPr="00AC41E0">
              <w:rPr>
                <w:rFonts w:ascii="Arial" w:hAnsi="Arial" w:cs="Arial"/>
              </w:rPr>
              <w:t xml:space="preserve"> you will identify an IoT solution as a potential option, among other possible options. You may still be comparing IoT solutions with a non-IoT solution. </w:t>
            </w:r>
            <w:r w:rsidR="00C8794B" w:rsidRPr="00AC41E0">
              <w:rPr>
                <w:rFonts w:ascii="Arial" w:hAnsi="Arial" w:cs="Arial"/>
              </w:rPr>
              <w:t>S</w:t>
            </w:r>
            <w:r w:rsidRPr="00AC41E0">
              <w:rPr>
                <w:rFonts w:ascii="Arial" w:hAnsi="Arial" w:cs="Arial"/>
              </w:rPr>
              <w:t xml:space="preserve">ee </w:t>
            </w:r>
            <w:hyperlink w:anchor="_Is_IoT_the" w:history="1">
              <w:r w:rsidR="00274C23" w:rsidRPr="00AC41E0">
                <w:rPr>
                  <w:rStyle w:val="Hyperlink"/>
                  <w:rFonts w:ascii="Arial" w:hAnsi="Arial" w:cs="Arial"/>
                </w:rPr>
                <w:t>Chapter 2.1 Is IoT the appropriate tool to use?</w:t>
              </w:r>
            </w:hyperlink>
            <w:r w:rsidR="00274C23" w:rsidRPr="00E46FB0">
              <w:rPr>
                <w:rFonts w:ascii="Arial" w:hAnsi="Arial" w:cs="Arial"/>
              </w:rPr>
              <w:t xml:space="preserve"> f</w:t>
            </w:r>
            <w:r w:rsidRPr="00AC41E0">
              <w:rPr>
                <w:rFonts w:ascii="Arial" w:hAnsi="Arial" w:cs="Arial"/>
              </w:rPr>
              <w:t xml:space="preserve">or </w:t>
            </w:r>
            <w:r w:rsidR="004342DD" w:rsidRPr="00AC41E0">
              <w:rPr>
                <w:rFonts w:ascii="Arial" w:hAnsi="Arial" w:cs="Arial"/>
              </w:rPr>
              <w:t xml:space="preserve">help </w:t>
            </w:r>
            <w:r w:rsidRPr="00AC41E0">
              <w:rPr>
                <w:rFonts w:ascii="Arial" w:hAnsi="Arial" w:cs="Arial"/>
              </w:rPr>
              <w:t xml:space="preserve">with this analysis.  </w:t>
            </w:r>
          </w:p>
        </w:tc>
        <w:tc>
          <w:tcPr>
            <w:tcW w:w="4819" w:type="dxa"/>
            <w:hideMark/>
          </w:tcPr>
          <w:p w14:paraId="08642A48" w14:textId="1DC22416" w:rsidR="00D26131" w:rsidRPr="00AC41E0" w:rsidRDefault="00D26131" w:rsidP="00003096">
            <w:pPr>
              <w:pStyle w:val="ListParagraph"/>
              <w:numPr>
                <w:ilvl w:val="0"/>
                <w:numId w:val="183"/>
              </w:numPr>
              <w:spacing w:after="120"/>
              <w:ind w:left="178" w:hanging="178"/>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At this stage</w:t>
            </w:r>
            <w:r w:rsidR="002E1E65" w:rsidRPr="00AC41E0">
              <w:rPr>
                <w:rFonts w:ascii="Arial" w:hAnsi="Arial" w:cs="Arial"/>
              </w:rPr>
              <w:t>,</w:t>
            </w:r>
            <w:r w:rsidRPr="00AC41E0">
              <w:rPr>
                <w:rFonts w:ascii="Arial" w:hAnsi="Arial" w:cs="Arial"/>
              </w:rPr>
              <w:t xml:space="preserve"> you analyse whether an identified IoT solution is the best option. Depending on the complexity of your project and the information available</w:t>
            </w:r>
            <w:r w:rsidR="002A5220" w:rsidRPr="00AC41E0">
              <w:rPr>
                <w:rFonts w:ascii="Arial" w:hAnsi="Arial" w:cs="Arial"/>
              </w:rPr>
              <w:t>,</w:t>
            </w:r>
            <w:r w:rsidRPr="00AC41E0">
              <w:rPr>
                <w:rFonts w:ascii="Arial" w:hAnsi="Arial" w:cs="Arial"/>
              </w:rPr>
              <w:t xml:space="preserve"> your DBC may be quite short. </w:t>
            </w:r>
          </w:p>
        </w:tc>
      </w:tr>
    </w:tbl>
    <w:p w14:paraId="4DD447AE" w14:textId="77777777" w:rsidR="00D26131" w:rsidRPr="00AC41E0" w:rsidRDefault="00D26131" w:rsidP="00D26131">
      <w:pPr>
        <w:rPr>
          <w:rFonts w:ascii="Arial" w:hAnsi="Arial" w:cs="Arial"/>
        </w:rPr>
      </w:pPr>
    </w:p>
    <w:p w14:paraId="63CEBB58" w14:textId="196EB22C" w:rsidR="00D26131" w:rsidRPr="00AC41E0" w:rsidRDefault="00540EC9">
      <w:pPr>
        <w:pStyle w:val="DCSbodytext"/>
      </w:pPr>
      <w:r w:rsidRPr="00AC41E0">
        <w:t>T</w:t>
      </w:r>
      <w:r w:rsidR="00D01ECF" w:rsidRPr="00AC41E0">
        <w:t xml:space="preserve">he three stages of a business case </w:t>
      </w:r>
      <w:r w:rsidRPr="00AC41E0">
        <w:t>include</w:t>
      </w:r>
      <w:r w:rsidR="00D26131" w:rsidRPr="00AC41E0">
        <w:t xml:space="preserve"> </w:t>
      </w:r>
      <w:r w:rsidR="00780940" w:rsidRPr="00AC41E0">
        <w:t>activities</w:t>
      </w:r>
      <w:r w:rsidR="007A75B7" w:rsidRPr="00AC41E0">
        <w:t xml:space="preserve"> aligned to different stages in the </w:t>
      </w:r>
      <w:r w:rsidR="00945BAA" w:rsidRPr="00AC41E0">
        <w:t>business case development process</w:t>
      </w:r>
      <w:r w:rsidR="00D26131" w:rsidRPr="00AC41E0">
        <w:t xml:space="preserve">. </w:t>
      </w:r>
      <w:r w:rsidR="00945BAA" w:rsidRPr="00AC41E0">
        <w:t>You may or may not be required to complete every activity – this depends</w:t>
      </w:r>
      <w:r w:rsidR="00D26131" w:rsidRPr="00AC41E0">
        <w:t xml:space="preserve"> on the complexity and size of your </w:t>
      </w:r>
      <w:r w:rsidR="003D5E9D" w:rsidRPr="00AC41E0">
        <w:t>IoT-enabled project</w:t>
      </w:r>
      <w:r w:rsidR="00D26131" w:rsidRPr="00AC41E0">
        <w:t xml:space="preserve">. The below table outlines the </w:t>
      </w:r>
      <w:r w:rsidR="001867AB" w:rsidRPr="00AC41E0">
        <w:t xml:space="preserve">key </w:t>
      </w:r>
      <w:r w:rsidR="00D26131" w:rsidRPr="00AC41E0">
        <w:t xml:space="preserve">activities </w:t>
      </w:r>
      <w:r w:rsidR="001867AB" w:rsidRPr="00AC41E0">
        <w:t xml:space="preserve">that </w:t>
      </w:r>
      <w:r w:rsidR="006D69D9" w:rsidRPr="00AC41E0">
        <w:t xml:space="preserve">need to </w:t>
      </w:r>
      <w:r w:rsidR="001867AB" w:rsidRPr="00AC41E0">
        <w:t>be completed for a</w:t>
      </w:r>
      <w:r w:rsidR="00D26131" w:rsidRPr="00AC41E0">
        <w:t xml:space="preserve"> best-practice approach.</w:t>
      </w:r>
    </w:p>
    <w:p w14:paraId="217BD096" w14:textId="6104FBA1" w:rsidR="003E4BB5" w:rsidRPr="00AC41E0" w:rsidRDefault="003E4BB5" w:rsidP="003E4BB5">
      <w:pPr>
        <w:pStyle w:val="DCSbodytext"/>
        <w:ind w:left="1560"/>
        <w:rPr>
          <w:rStyle w:val="Hyperlink"/>
          <w:i/>
          <w:color w:val="auto"/>
          <w:u w:val="none"/>
        </w:rPr>
      </w:pPr>
      <w:r w:rsidRPr="00E46FB0">
        <w:rPr>
          <w:i/>
          <w:noProof/>
        </w:rPr>
        <w:drawing>
          <wp:anchor distT="0" distB="0" distL="114300" distR="114300" simplePos="0" relativeHeight="251658271" behindDoc="1" locked="0" layoutInCell="1" allowOverlap="1" wp14:anchorId="25FDBD12" wp14:editId="124B2652">
            <wp:simplePos x="0" y="0"/>
            <wp:positionH relativeFrom="margin">
              <wp:posOffset>497427</wp:posOffset>
            </wp:positionH>
            <wp:positionV relativeFrom="paragraph">
              <wp:posOffset>31082</wp:posOffset>
            </wp:positionV>
            <wp:extent cx="389255" cy="389255"/>
            <wp:effectExtent l="0" t="0" r="0" b="0"/>
            <wp:wrapTight wrapText="bothSides">
              <wp:wrapPolygon edited="0">
                <wp:start x="7400" y="0"/>
                <wp:lineTo x="0" y="5285"/>
                <wp:lineTo x="0" y="13742"/>
                <wp:lineTo x="6343" y="20085"/>
                <wp:lineTo x="12685" y="20085"/>
                <wp:lineTo x="14799" y="16914"/>
                <wp:lineTo x="20085" y="10571"/>
                <wp:lineTo x="20085" y="5285"/>
                <wp:lineTo x="11628" y="0"/>
                <wp:lineTo x="7400" y="0"/>
              </wp:wrapPolygon>
            </wp:wrapTight>
            <wp:docPr id="531754506" name="Graphic 531754506"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r w:rsidRPr="00E46FB0">
        <w:rPr>
          <w:rStyle w:val="Hyperlink"/>
          <w:i/>
          <w:iCs/>
          <w:color w:val="auto"/>
          <w:u w:val="none"/>
        </w:rPr>
        <w:t>Tip: For complex projects, develop your business case in stages</w:t>
      </w:r>
      <w:r w:rsidR="007255E4" w:rsidRPr="00AC41E0">
        <w:rPr>
          <w:rStyle w:val="Hyperlink"/>
          <w:i/>
          <w:iCs/>
          <w:color w:val="auto"/>
          <w:u w:val="none"/>
        </w:rPr>
        <w:t xml:space="preserve"> (i.e. problem definition, strategic business case, detailed business case)</w:t>
      </w:r>
      <w:r w:rsidRPr="00AC41E0">
        <w:rPr>
          <w:rStyle w:val="Hyperlink"/>
          <w:i/>
          <w:iCs/>
          <w:color w:val="auto"/>
          <w:u w:val="none"/>
        </w:rPr>
        <w:t xml:space="preserve"> and seek approval at each stage. For smaller, less complex projects where a detailed and lengthy business case and analysis is not required, you can develop the business case in one go and seek approval for the entire business case. </w:t>
      </w:r>
    </w:p>
    <w:p w14:paraId="704523B6" w14:textId="77777777" w:rsidR="003E4BB5" w:rsidRPr="00AC41E0" w:rsidRDefault="003E4BB5" w:rsidP="00374CED">
      <w:pPr>
        <w:pStyle w:val="DCSbodytext"/>
        <w:spacing w:after="0"/>
      </w:pPr>
    </w:p>
    <w:p w14:paraId="34BBD6F5" w14:textId="77777777" w:rsidR="00C606D5" w:rsidRPr="00AC41E0" w:rsidRDefault="00C606D5" w:rsidP="002771AA">
      <w:pPr>
        <w:pStyle w:val="DCSbodytext"/>
        <w:jc w:val="center"/>
        <w:rPr>
          <w:b/>
        </w:rPr>
        <w:sectPr w:rsidR="00C606D5" w:rsidRPr="00AC41E0" w:rsidSect="000B721D">
          <w:pgSz w:w="16838" w:h="11906" w:orient="landscape"/>
          <w:pgMar w:top="1440" w:right="1440" w:bottom="1440" w:left="1440" w:header="708" w:footer="708" w:gutter="0"/>
          <w:cols w:space="708"/>
          <w:docGrid w:linePitch="360"/>
        </w:sectPr>
      </w:pPr>
    </w:p>
    <w:p w14:paraId="0CF616B5" w14:textId="3C8AD28A" w:rsidR="00D26131" w:rsidRPr="00AC41E0" w:rsidRDefault="005868C4" w:rsidP="002771AA">
      <w:pPr>
        <w:pStyle w:val="DCSbodytext"/>
        <w:jc w:val="center"/>
        <w:rPr>
          <w:b/>
        </w:rPr>
      </w:pPr>
      <w:r w:rsidRPr="00E46FB0">
        <w:rPr>
          <w:b/>
        </w:rPr>
        <w:lastRenderedPageBreak/>
        <w:t>A</w:t>
      </w:r>
      <w:r w:rsidRPr="00AC41E0">
        <w:rPr>
          <w:b/>
        </w:rPr>
        <w:t>ctivities</w:t>
      </w:r>
      <w:r w:rsidR="00615C88" w:rsidRPr="00AC41E0">
        <w:rPr>
          <w:b/>
        </w:rPr>
        <w:t xml:space="preserve"> throughout</w:t>
      </w:r>
      <w:r w:rsidR="00F73DA4" w:rsidRPr="00AC41E0">
        <w:rPr>
          <w:b/>
        </w:rPr>
        <w:t xml:space="preserve"> the </w:t>
      </w:r>
      <w:r w:rsidR="00170FEC" w:rsidRPr="00AC41E0">
        <w:rPr>
          <w:b/>
        </w:rPr>
        <w:t xml:space="preserve">three </w:t>
      </w:r>
      <w:r w:rsidR="00F73DA4" w:rsidRPr="00AC41E0">
        <w:rPr>
          <w:b/>
        </w:rPr>
        <w:t>stages of a b</w:t>
      </w:r>
      <w:r w:rsidR="00D26131" w:rsidRPr="00AC41E0">
        <w:rPr>
          <w:b/>
        </w:rPr>
        <w:t>usiness case</w:t>
      </w:r>
    </w:p>
    <w:tbl>
      <w:tblPr>
        <w:tblStyle w:val="GridTable4-Accent1"/>
        <w:tblW w:w="13036" w:type="dxa"/>
        <w:tblInd w:w="851" w:type="dxa"/>
        <w:tblLayout w:type="fixed"/>
        <w:tblLook w:val="04A0" w:firstRow="1" w:lastRow="0" w:firstColumn="1" w:lastColumn="0" w:noHBand="0" w:noVBand="1"/>
      </w:tblPr>
      <w:tblGrid>
        <w:gridCol w:w="2121"/>
        <w:gridCol w:w="3260"/>
        <w:gridCol w:w="3402"/>
        <w:gridCol w:w="4253"/>
      </w:tblGrid>
      <w:tr w:rsidR="0008118B" w:rsidRPr="00AC41E0" w14:paraId="02DF9851" w14:textId="77777777" w:rsidTr="00DE59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1"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57D1DB45" w14:textId="318AD616" w:rsidR="00D26131" w:rsidRPr="00AC41E0" w:rsidRDefault="00494D9A">
            <w:pPr>
              <w:spacing w:after="120"/>
              <w:jc w:val="center"/>
              <w:rPr>
                <w:rFonts w:ascii="Arial" w:hAnsi="Arial" w:cs="Arial"/>
                <w:sz w:val="22"/>
                <w:szCs w:val="22"/>
              </w:rPr>
            </w:pPr>
            <w:r w:rsidRPr="00AC41E0">
              <w:rPr>
                <w:rFonts w:ascii="Arial" w:hAnsi="Arial" w:cs="Arial"/>
                <w:sz w:val="22"/>
                <w:szCs w:val="22"/>
              </w:rPr>
              <w:t>Type</w:t>
            </w:r>
            <w:r w:rsidR="006A083F" w:rsidRPr="00AC41E0">
              <w:rPr>
                <w:rFonts w:ascii="Arial" w:hAnsi="Arial" w:cs="Arial"/>
                <w:sz w:val="22"/>
                <w:szCs w:val="22"/>
              </w:rPr>
              <w:t xml:space="preserve"> of </w:t>
            </w:r>
            <w:r w:rsidR="005868C4" w:rsidRPr="00AC41E0">
              <w:rPr>
                <w:rFonts w:ascii="Arial" w:hAnsi="Arial" w:cs="Arial"/>
                <w:sz w:val="22"/>
                <w:szCs w:val="22"/>
              </w:rPr>
              <w:t>activities</w:t>
            </w:r>
            <w:r w:rsidRPr="00AC41E0">
              <w:rPr>
                <w:rFonts w:ascii="Arial" w:hAnsi="Arial" w:cs="Arial"/>
                <w:sz w:val="22"/>
                <w:szCs w:val="22"/>
              </w:rPr>
              <w:t xml:space="preserve"> involved</w:t>
            </w:r>
          </w:p>
        </w:tc>
        <w:tc>
          <w:tcPr>
            <w:tcW w:w="3260"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28D5C4C7" w14:textId="77777777" w:rsidR="00D26131" w:rsidRPr="00AC41E0" w:rsidRDefault="00D26131" w:rsidP="00374CED">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C41E0">
              <w:rPr>
                <w:rFonts w:ascii="Arial" w:hAnsi="Arial" w:cs="Arial"/>
                <w:sz w:val="22"/>
                <w:szCs w:val="22"/>
              </w:rPr>
              <w:t>Stage 0: Problem definition</w:t>
            </w:r>
          </w:p>
        </w:tc>
        <w:tc>
          <w:tcPr>
            <w:tcW w:w="3402"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2BEAD08C" w14:textId="77777777" w:rsidR="00D26131" w:rsidRPr="00AC41E0" w:rsidRDefault="00D26131" w:rsidP="00374CED">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C41E0">
              <w:rPr>
                <w:rFonts w:ascii="Arial" w:hAnsi="Arial" w:cs="Arial"/>
                <w:sz w:val="22"/>
                <w:szCs w:val="22"/>
              </w:rPr>
              <w:t>Stage 1: Strategic business case</w:t>
            </w:r>
          </w:p>
        </w:tc>
        <w:tc>
          <w:tcPr>
            <w:tcW w:w="4253"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6A4F64EC" w14:textId="77777777" w:rsidR="00D26131" w:rsidRPr="00AC41E0" w:rsidRDefault="00D26131" w:rsidP="00374CED">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C41E0">
              <w:rPr>
                <w:rFonts w:ascii="Arial" w:hAnsi="Arial" w:cs="Arial"/>
                <w:sz w:val="22"/>
                <w:szCs w:val="22"/>
              </w:rPr>
              <w:t>Stage 2: Detailed business case</w:t>
            </w:r>
          </w:p>
        </w:tc>
      </w:tr>
      <w:tr w:rsidR="0008118B" w:rsidRPr="00AC41E0" w14:paraId="47C4D5F4" w14:textId="77777777" w:rsidTr="00DE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top w:val="single" w:sz="4" w:space="0" w:color="auto"/>
            </w:tcBorders>
            <w:hideMark/>
          </w:tcPr>
          <w:p w14:paraId="56E30216" w14:textId="77777777" w:rsidR="00D26131" w:rsidRPr="00AC41E0" w:rsidRDefault="00D26131" w:rsidP="0022369F">
            <w:pPr>
              <w:spacing w:after="120"/>
              <w:jc w:val="center"/>
              <w:rPr>
                <w:rFonts w:ascii="Arial" w:hAnsi="Arial" w:cs="Arial"/>
                <w:sz w:val="22"/>
                <w:szCs w:val="22"/>
              </w:rPr>
            </w:pPr>
            <w:r w:rsidRPr="00AC41E0">
              <w:rPr>
                <w:rFonts w:ascii="Arial" w:hAnsi="Arial" w:cs="Arial"/>
                <w:sz w:val="22"/>
                <w:szCs w:val="22"/>
              </w:rPr>
              <w:t>Case for change</w:t>
            </w:r>
          </w:p>
        </w:tc>
        <w:tc>
          <w:tcPr>
            <w:tcW w:w="3260" w:type="dxa"/>
            <w:tcBorders>
              <w:top w:val="single" w:sz="4" w:space="0" w:color="auto"/>
            </w:tcBorders>
            <w:hideMark/>
          </w:tcPr>
          <w:p w14:paraId="5DD3FBB5" w14:textId="4327774E" w:rsidR="00D26131" w:rsidRPr="00AC41E0" w:rsidRDefault="00D26131" w:rsidP="00003096">
            <w:pPr>
              <w:pStyle w:val="ListParagraph"/>
              <w:numPr>
                <w:ilvl w:val="0"/>
                <w:numId w:val="164"/>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Define business need</w:t>
            </w:r>
            <w:r w:rsidR="00292E1F" w:rsidRPr="00AC41E0">
              <w:rPr>
                <w:rFonts w:ascii="Arial" w:hAnsi="Arial" w:cs="Arial"/>
              </w:rPr>
              <w:t>s</w:t>
            </w:r>
            <w:r w:rsidRPr="00AC41E0">
              <w:rPr>
                <w:rFonts w:ascii="Arial" w:hAnsi="Arial" w:cs="Arial"/>
              </w:rPr>
              <w:t>/</w:t>
            </w:r>
            <w:r w:rsidR="00292E1F" w:rsidRPr="00AC41E0">
              <w:rPr>
                <w:rFonts w:ascii="Arial" w:hAnsi="Arial" w:cs="Arial"/>
              </w:rPr>
              <w:t>challenges</w:t>
            </w:r>
            <w:r w:rsidRPr="00AC41E0">
              <w:rPr>
                <w:rFonts w:ascii="Arial" w:hAnsi="Arial" w:cs="Arial"/>
              </w:rPr>
              <w:t xml:space="preserve"> or </w:t>
            </w:r>
            <w:r w:rsidR="00292E1F" w:rsidRPr="00AC41E0">
              <w:rPr>
                <w:rFonts w:ascii="Arial" w:hAnsi="Arial" w:cs="Arial"/>
              </w:rPr>
              <w:t>opportunities</w:t>
            </w:r>
            <w:r w:rsidR="007F610C" w:rsidRPr="00AC41E0">
              <w:rPr>
                <w:rFonts w:ascii="Arial" w:hAnsi="Arial" w:cs="Arial"/>
              </w:rPr>
              <w:t>.</w:t>
            </w:r>
          </w:p>
          <w:p w14:paraId="286C26F2" w14:textId="01BFDCFF" w:rsidR="00D26131" w:rsidRPr="00AC41E0" w:rsidRDefault="00D26131" w:rsidP="00003096">
            <w:pPr>
              <w:pStyle w:val="ListParagraph"/>
              <w:numPr>
                <w:ilvl w:val="0"/>
                <w:numId w:val="164"/>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Business case objective(s)</w:t>
            </w:r>
            <w:r w:rsidR="007F610C" w:rsidRPr="00AC41E0">
              <w:rPr>
                <w:rFonts w:ascii="Arial" w:hAnsi="Arial" w:cs="Arial"/>
              </w:rPr>
              <w:t>.</w:t>
            </w:r>
          </w:p>
          <w:p w14:paraId="581EE3BC" w14:textId="3643E555" w:rsidR="00D26131" w:rsidRPr="00AC41E0" w:rsidRDefault="00D26131" w:rsidP="00003096">
            <w:pPr>
              <w:pStyle w:val="ListParagraph"/>
              <w:numPr>
                <w:ilvl w:val="0"/>
                <w:numId w:val="164"/>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State outcomes</w:t>
            </w:r>
            <w:r w:rsidR="00821B7F" w:rsidRPr="00AC41E0">
              <w:rPr>
                <w:rFonts w:ascii="Arial" w:hAnsi="Arial" w:cs="Arial"/>
              </w:rPr>
              <w:t xml:space="preserve">/ </w:t>
            </w:r>
            <w:r w:rsidRPr="00AC41E0">
              <w:rPr>
                <w:rFonts w:ascii="Arial" w:hAnsi="Arial" w:cs="Arial"/>
              </w:rPr>
              <w:t>outcome indicators</w:t>
            </w:r>
            <w:r w:rsidR="007F610C" w:rsidRPr="00AC41E0">
              <w:rPr>
                <w:rFonts w:ascii="Arial" w:hAnsi="Arial" w:cs="Arial"/>
              </w:rPr>
              <w:t>.</w:t>
            </w:r>
          </w:p>
          <w:p w14:paraId="34138AA0" w14:textId="65C1B176" w:rsidR="00D26131" w:rsidRPr="00AC41E0" w:rsidRDefault="00D26131" w:rsidP="00003096">
            <w:pPr>
              <w:pStyle w:val="ListParagraph"/>
              <w:numPr>
                <w:ilvl w:val="0"/>
                <w:numId w:val="164"/>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 xml:space="preserve">Define benefits and define </w:t>
            </w:r>
            <w:r w:rsidR="004F61C2" w:rsidRPr="00AC41E0">
              <w:rPr>
                <w:rFonts w:ascii="Arial" w:hAnsi="Arial" w:cs="Arial"/>
              </w:rPr>
              <w:t xml:space="preserve">project </w:t>
            </w:r>
            <w:r w:rsidRPr="00AC41E0">
              <w:rPr>
                <w:rFonts w:ascii="Arial" w:hAnsi="Arial" w:cs="Arial"/>
              </w:rPr>
              <w:t>KPIs</w:t>
            </w:r>
            <w:r w:rsidR="007F610C" w:rsidRPr="00AC41E0">
              <w:rPr>
                <w:rFonts w:ascii="Arial" w:hAnsi="Arial" w:cs="Arial"/>
              </w:rPr>
              <w:t>.</w:t>
            </w:r>
          </w:p>
          <w:p w14:paraId="6CB9E21B" w14:textId="2B35ABF6" w:rsidR="00D26131" w:rsidRPr="00AC41E0" w:rsidRDefault="00D26131" w:rsidP="00003096">
            <w:pPr>
              <w:pStyle w:val="ListParagraph"/>
              <w:numPr>
                <w:ilvl w:val="0"/>
                <w:numId w:val="164"/>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Identify relevant stakeholders</w:t>
            </w:r>
            <w:r w:rsidR="007F610C" w:rsidRPr="00AC41E0">
              <w:rPr>
                <w:rFonts w:ascii="Arial" w:hAnsi="Arial" w:cs="Arial"/>
              </w:rPr>
              <w:t>.</w:t>
            </w:r>
          </w:p>
          <w:p w14:paraId="322418AD" w14:textId="4512D502" w:rsidR="00D26131" w:rsidRPr="00AC41E0" w:rsidRDefault="00D26131" w:rsidP="00003096">
            <w:pPr>
              <w:pStyle w:val="ListParagraph"/>
              <w:numPr>
                <w:ilvl w:val="0"/>
                <w:numId w:val="164"/>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Identify strategic responses /interventions to achieve objectives</w:t>
            </w:r>
            <w:r w:rsidR="007F610C" w:rsidRPr="00AC41E0">
              <w:rPr>
                <w:rFonts w:ascii="Arial" w:hAnsi="Arial" w:cs="Arial"/>
              </w:rPr>
              <w:t>.</w:t>
            </w:r>
          </w:p>
          <w:p w14:paraId="2DD369DC" w14:textId="5C18BB95" w:rsidR="00D26131" w:rsidRPr="00AC41E0" w:rsidRDefault="00292E1F" w:rsidP="00003096">
            <w:pPr>
              <w:pStyle w:val="ListParagraph"/>
              <w:numPr>
                <w:ilvl w:val="0"/>
                <w:numId w:val="164"/>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High-</w:t>
            </w:r>
            <w:r w:rsidR="00D26131" w:rsidRPr="00AC41E0">
              <w:rPr>
                <w:rFonts w:ascii="Arial" w:hAnsi="Arial" w:cs="Arial"/>
              </w:rPr>
              <w:t>level cost estimates for the responses identified</w:t>
            </w:r>
            <w:r w:rsidR="007F610C" w:rsidRPr="00AC41E0">
              <w:rPr>
                <w:rFonts w:ascii="Arial" w:hAnsi="Arial" w:cs="Arial"/>
              </w:rPr>
              <w:t>.</w:t>
            </w:r>
          </w:p>
        </w:tc>
        <w:tc>
          <w:tcPr>
            <w:tcW w:w="3402" w:type="dxa"/>
            <w:tcBorders>
              <w:top w:val="single" w:sz="4" w:space="0" w:color="auto"/>
            </w:tcBorders>
          </w:tcPr>
          <w:p w14:paraId="2A43F775" w14:textId="13D0853C" w:rsidR="00D26131" w:rsidRPr="00AC41E0" w:rsidRDefault="00D26131" w:rsidP="00003096">
            <w:pPr>
              <w:pStyle w:val="ListParagraph"/>
              <w:numPr>
                <w:ilvl w:val="0"/>
                <w:numId w:val="164"/>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Review the case for change</w:t>
            </w:r>
            <w:r w:rsidR="007F610C" w:rsidRPr="00AC41E0">
              <w:rPr>
                <w:rFonts w:ascii="Arial" w:hAnsi="Arial" w:cs="Arial"/>
              </w:rPr>
              <w:t>.</w:t>
            </w:r>
          </w:p>
        </w:tc>
        <w:tc>
          <w:tcPr>
            <w:tcW w:w="4253" w:type="dxa"/>
            <w:tcBorders>
              <w:top w:val="single" w:sz="4" w:space="0" w:color="auto"/>
            </w:tcBorders>
          </w:tcPr>
          <w:p w14:paraId="1D4DABCF" w14:textId="1A064B55" w:rsidR="00D26131" w:rsidRPr="00AC41E0" w:rsidRDefault="0098604D" w:rsidP="0022369F">
            <w:pPr>
              <w:pStyle w:val="ListParagraph"/>
              <w:spacing w:after="120"/>
              <w:ind w:left="320" w:hanging="284"/>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 xml:space="preserve">13. </w:t>
            </w:r>
            <w:r w:rsidR="00D26131" w:rsidRPr="00AC41E0">
              <w:rPr>
                <w:rFonts w:ascii="Arial" w:hAnsi="Arial" w:cs="Arial"/>
              </w:rPr>
              <w:t>Confirm the case for change</w:t>
            </w:r>
            <w:r w:rsidR="007F610C" w:rsidRPr="00AC41E0">
              <w:rPr>
                <w:rFonts w:ascii="Arial" w:hAnsi="Arial" w:cs="Arial"/>
              </w:rPr>
              <w:t>.</w:t>
            </w:r>
          </w:p>
        </w:tc>
      </w:tr>
      <w:tr w:rsidR="0008118B" w:rsidRPr="00AC41E0" w14:paraId="48BBB85E" w14:textId="77777777" w:rsidTr="00DE5918">
        <w:tc>
          <w:tcPr>
            <w:cnfStyle w:val="001000000000" w:firstRow="0" w:lastRow="0" w:firstColumn="1" w:lastColumn="0" w:oddVBand="0" w:evenVBand="0" w:oddHBand="0" w:evenHBand="0" w:firstRowFirstColumn="0" w:firstRowLastColumn="0" w:lastRowFirstColumn="0" w:lastRowLastColumn="0"/>
            <w:tcW w:w="2121" w:type="dxa"/>
            <w:hideMark/>
          </w:tcPr>
          <w:p w14:paraId="6550BC7E" w14:textId="37384237" w:rsidR="00D26131" w:rsidRPr="00AC41E0" w:rsidRDefault="00D26131" w:rsidP="0022369F">
            <w:pPr>
              <w:spacing w:after="120"/>
              <w:jc w:val="center"/>
              <w:rPr>
                <w:rFonts w:ascii="Arial" w:hAnsi="Arial" w:cs="Arial"/>
                <w:sz w:val="22"/>
                <w:szCs w:val="22"/>
              </w:rPr>
            </w:pPr>
            <w:r w:rsidRPr="00AC41E0">
              <w:rPr>
                <w:rFonts w:ascii="Arial" w:hAnsi="Arial" w:cs="Arial"/>
                <w:sz w:val="22"/>
                <w:szCs w:val="22"/>
              </w:rPr>
              <w:t>Cost</w:t>
            </w:r>
            <w:r w:rsidR="00585157" w:rsidRPr="00AC41E0">
              <w:rPr>
                <w:rFonts w:ascii="Arial" w:hAnsi="Arial" w:cs="Arial"/>
                <w:sz w:val="22"/>
                <w:szCs w:val="22"/>
              </w:rPr>
              <w:t>-b</w:t>
            </w:r>
            <w:r w:rsidRPr="00AC41E0">
              <w:rPr>
                <w:rFonts w:ascii="Arial" w:hAnsi="Arial" w:cs="Arial"/>
                <w:sz w:val="22"/>
                <w:szCs w:val="22"/>
              </w:rPr>
              <w:t>enefit Analysis (CBA)</w:t>
            </w:r>
          </w:p>
        </w:tc>
        <w:tc>
          <w:tcPr>
            <w:tcW w:w="3260" w:type="dxa"/>
          </w:tcPr>
          <w:p w14:paraId="655C1938" w14:textId="77777777" w:rsidR="00D26131" w:rsidRPr="00AC41E0" w:rsidRDefault="00D26131" w:rsidP="0022369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402" w:type="dxa"/>
            <w:hideMark/>
          </w:tcPr>
          <w:p w14:paraId="19406551" w14:textId="7045F16A" w:rsidR="00D26131" w:rsidRPr="00AC41E0" w:rsidRDefault="00D26131" w:rsidP="00003096">
            <w:pPr>
              <w:pStyle w:val="ListParagraph"/>
              <w:numPr>
                <w:ilvl w:val="0"/>
                <w:numId w:val="164"/>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Identify and assess the long list of options (option appraisal)</w:t>
            </w:r>
            <w:r w:rsidR="007F610C" w:rsidRPr="00AC41E0">
              <w:rPr>
                <w:rFonts w:ascii="Arial" w:hAnsi="Arial" w:cs="Arial"/>
              </w:rPr>
              <w:t>.</w:t>
            </w:r>
          </w:p>
          <w:p w14:paraId="567BA473" w14:textId="19084F81" w:rsidR="00D26131" w:rsidRPr="00AC41E0" w:rsidRDefault="00D26131" w:rsidP="00003096">
            <w:pPr>
              <w:pStyle w:val="ListParagraph"/>
              <w:numPr>
                <w:ilvl w:val="0"/>
                <w:numId w:val="164"/>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 xml:space="preserve">Assess and narrow </w:t>
            </w:r>
            <w:r w:rsidR="00292E1F" w:rsidRPr="00AC41E0">
              <w:rPr>
                <w:rFonts w:ascii="Arial" w:hAnsi="Arial" w:cs="Arial"/>
              </w:rPr>
              <w:t>d</w:t>
            </w:r>
            <w:r w:rsidRPr="00AC41E0">
              <w:rPr>
                <w:rFonts w:ascii="Arial" w:hAnsi="Arial" w:cs="Arial"/>
              </w:rPr>
              <w:t xml:space="preserve">own your options (conduct a stage 1 </w:t>
            </w:r>
            <w:r w:rsidR="009E2383" w:rsidRPr="00AC41E0">
              <w:rPr>
                <w:rFonts w:ascii="Arial" w:hAnsi="Arial" w:cs="Arial"/>
              </w:rPr>
              <w:t xml:space="preserve">CBA </w:t>
            </w:r>
            <w:r w:rsidRPr="00AC41E0">
              <w:rPr>
                <w:rFonts w:ascii="Arial" w:hAnsi="Arial" w:cs="Arial"/>
              </w:rPr>
              <w:t xml:space="preserve">– see </w:t>
            </w:r>
            <w:hyperlink w:anchor="_Cost-benefit_analysis" w:history="1">
              <w:r w:rsidRPr="00AC41E0">
                <w:rPr>
                  <w:rStyle w:val="Hyperlink"/>
                  <w:rFonts w:ascii="Arial" w:hAnsi="Arial" w:cs="Arial"/>
                </w:rPr>
                <w:t>Chapter 4.2 C</w:t>
              </w:r>
              <w:r w:rsidR="009E2383" w:rsidRPr="00AC41E0">
                <w:rPr>
                  <w:rStyle w:val="Hyperlink"/>
                  <w:rFonts w:ascii="Arial" w:hAnsi="Arial" w:cs="Arial"/>
                </w:rPr>
                <w:t>ost-benefit analysis</w:t>
              </w:r>
            </w:hyperlink>
            <w:r w:rsidRPr="00E46FB0">
              <w:rPr>
                <w:rFonts w:ascii="Arial" w:hAnsi="Arial" w:cs="Arial"/>
              </w:rPr>
              <w:t xml:space="preserve"> for guidance</w:t>
            </w:r>
            <w:r w:rsidR="009E2383" w:rsidRPr="00AC41E0">
              <w:rPr>
                <w:rFonts w:ascii="Arial" w:hAnsi="Arial" w:cs="Arial"/>
              </w:rPr>
              <w:t>)</w:t>
            </w:r>
            <w:r w:rsidR="007F610C" w:rsidRPr="00AC41E0">
              <w:rPr>
                <w:rFonts w:ascii="Arial" w:hAnsi="Arial" w:cs="Arial"/>
              </w:rPr>
              <w:t>.</w:t>
            </w:r>
          </w:p>
        </w:tc>
        <w:tc>
          <w:tcPr>
            <w:tcW w:w="4253" w:type="dxa"/>
            <w:hideMark/>
          </w:tcPr>
          <w:p w14:paraId="6060A951" w14:textId="7E84BB0A" w:rsidR="00D26131" w:rsidRPr="00AC41E0" w:rsidRDefault="00D26131" w:rsidP="00003096">
            <w:pPr>
              <w:pStyle w:val="ListParagraph"/>
              <w:numPr>
                <w:ilvl w:val="0"/>
                <w:numId w:val="165"/>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Revisit the CBA and confirm the shortlist of options</w:t>
            </w:r>
            <w:r w:rsidR="007F610C" w:rsidRPr="00AC41E0">
              <w:rPr>
                <w:rFonts w:ascii="Arial" w:hAnsi="Arial" w:cs="Arial"/>
              </w:rPr>
              <w:t>.</w:t>
            </w:r>
          </w:p>
          <w:p w14:paraId="774C6496" w14:textId="4508738E" w:rsidR="00D26131" w:rsidRPr="00AC41E0" w:rsidRDefault="00D26131" w:rsidP="00003096">
            <w:pPr>
              <w:pStyle w:val="ListParagraph"/>
              <w:numPr>
                <w:ilvl w:val="0"/>
                <w:numId w:val="165"/>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Select preferred option – conduct Stage 2/full CBA on shortlist of options</w:t>
            </w:r>
            <w:r w:rsidR="007F610C" w:rsidRPr="00AC41E0">
              <w:rPr>
                <w:rFonts w:ascii="Arial" w:hAnsi="Arial" w:cs="Arial"/>
              </w:rPr>
              <w:t>.</w:t>
            </w:r>
          </w:p>
        </w:tc>
      </w:tr>
      <w:tr w:rsidR="0008118B" w:rsidRPr="00AC41E0" w14:paraId="01FCF6EA" w14:textId="77777777" w:rsidTr="00DE5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hideMark/>
          </w:tcPr>
          <w:p w14:paraId="649CBAF3" w14:textId="77777777" w:rsidR="00D26131" w:rsidRPr="00AC41E0" w:rsidRDefault="00D26131" w:rsidP="0022369F">
            <w:pPr>
              <w:spacing w:after="120"/>
              <w:jc w:val="center"/>
              <w:rPr>
                <w:rFonts w:ascii="Arial" w:hAnsi="Arial" w:cs="Arial"/>
                <w:sz w:val="22"/>
                <w:szCs w:val="22"/>
              </w:rPr>
            </w:pPr>
            <w:r w:rsidRPr="00AC41E0">
              <w:rPr>
                <w:rFonts w:ascii="Arial" w:hAnsi="Arial" w:cs="Arial"/>
                <w:sz w:val="22"/>
                <w:szCs w:val="22"/>
              </w:rPr>
              <w:t>Financial analysis</w:t>
            </w:r>
          </w:p>
        </w:tc>
        <w:tc>
          <w:tcPr>
            <w:tcW w:w="3260" w:type="dxa"/>
          </w:tcPr>
          <w:p w14:paraId="6BBCDD15" w14:textId="77777777" w:rsidR="00D26131" w:rsidRPr="00AC41E0" w:rsidRDefault="00D26131" w:rsidP="0022369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402" w:type="dxa"/>
            <w:hideMark/>
          </w:tcPr>
          <w:p w14:paraId="477A628B" w14:textId="72A5909A" w:rsidR="00D26131" w:rsidRPr="00AC41E0" w:rsidRDefault="00D26131" w:rsidP="00003096">
            <w:pPr>
              <w:pStyle w:val="ListParagraph"/>
              <w:numPr>
                <w:ilvl w:val="0"/>
                <w:numId w:val="164"/>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 xml:space="preserve">Assess and narrow down your options (prepare a </w:t>
            </w:r>
            <w:r w:rsidRPr="00AC41E0">
              <w:rPr>
                <w:rFonts w:ascii="Arial" w:hAnsi="Arial" w:cs="Arial"/>
              </w:rPr>
              <w:lastRenderedPageBreak/>
              <w:t xml:space="preserve">Financial Appraisal </w:t>
            </w:r>
            <w:r w:rsidR="00AD28C1" w:rsidRPr="00AC41E0">
              <w:rPr>
                <w:rFonts w:ascii="Arial" w:hAnsi="Arial" w:cs="Arial"/>
              </w:rPr>
              <w:t xml:space="preserve">Profile </w:t>
            </w:r>
            <w:r w:rsidRPr="00AC41E0">
              <w:rPr>
                <w:rFonts w:ascii="Arial" w:hAnsi="Arial" w:cs="Arial"/>
              </w:rPr>
              <w:t>(FAP))</w:t>
            </w:r>
            <w:r w:rsidR="00152FDA" w:rsidRPr="00AC41E0">
              <w:rPr>
                <w:rFonts w:ascii="Arial" w:hAnsi="Arial" w:cs="Arial"/>
              </w:rPr>
              <w:t>.</w:t>
            </w:r>
          </w:p>
          <w:p w14:paraId="3D234856" w14:textId="6B6E982F" w:rsidR="00D26131" w:rsidRPr="00AC41E0" w:rsidRDefault="00D26131" w:rsidP="00003096">
            <w:pPr>
              <w:pStyle w:val="ListParagraph"/>
              <w:numPr>
                <w:ilvl w:val="0"/>
                <w:numId w:val="164"/>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Assess and narrow down your options (prepare a Financial Impact Statement (FIS))</w:t>
            </w:r>
            <w:r w:rsidR="00152FDA" w:rsidRPr="00AC41E0">
              <w:rPr>
                <w:rFonts w:ascii="Arial" w:hAnsi="Arial" w:cs="Arial"/>
              </w:rPr>
              <w:t>.</w:t>
            </w:r>
          </w:p>
        </w:tc>
        <w:tc>
          <w:tcPr>
            <w:tcW w:w="4253" w:type="dxa"/>
            <w:hideMark/>
          </w:tcPr>
          <w:p w14:paraId="0D9ADCEB" w14:textId="54A5267C" w:rsidR="00D26131" w:rsidRPr="00AC41E0" w:rsidRDefault="00D26131" w:rsidP="00003096">
            <w:pPr>
              <w:pStyle w:val="ListParagraph"/>
              <w:numPr>
                <w:ilvl w:val="0"/>
                <w:numId w:val="165"/>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lastRenderedPageBreak/>
              <w:t>Revisit the FAP and FIS to confirm the shortlist of options</w:t>
            </w:r>
            <w:r w:rsidR="007F610C" w:rsidRPr="00AC41E0">
              <w:rPr>
                <w:rFonts w:ascii="Arial" w:hAnsi="Arial" w:cs="Arial"/>
              </w:rPr>
              <w:t>.</w:t>
            </w:r>
          </w:p>
          <w:p w14:paraId="0919D667" w14:textId="5EC245CD" w:rsidR="00D26131" w:rsidRPr="00AC41E0" w:rsidRDefault="00D26131" w:rsidP="00003096">
            <w:pPr>
              <w:pStyle w:val="ListParagraph"/>
              <w:numPr>
                <w:ilvl w:val="0"/>
                <w:numId w:val="165"/>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lastRenderedPageBreak/>
              <w:t>Select the preferred option – conduct Stage</w:t>
            </w:r>
            <w:r w:rsidR="007F610C" w:rsidRPr="00AC41E0">
              <w:rPr>
                <w:rFonts w:ascii="Arial" w:hAnsi="Arial" w:cs="Arial"/>
              </w:rPr>
              <w:t xml:space="preserve"> 2</w:t>
            </w:r>
            <w:r w:rsidRPr="00AC41E0">
              <w:rPr>
                <w:rFonts w:ascii="Arial" w:hAnsi="Arial" w:cs="Arial"/>
              </w:rPr>
              <w:t>/full FAP on shortlist of options</w:t>
            </w:r>
            <w:r w:rsidR="007F610C" w:rsidRPr="00AC41E0">
              <w:rPr>
                <w:rFonts w:ascii="Arial" w:hAnsi="Arial" w:cs="Arial"/>
              </w:rPr>
              <w:t>.</w:t>
            </w:r>
          </w:p>
          <w:p w14:paraId="3F42D548" w14:textId="4B1C0C2A" w:rsidR="00D26131" w:rsidRPr="00AC41E0" w:rsidRDefault="00D26131" w:rsidP="00003096">
            <w:pPr>
              <w:pStyle w:val="ListParagraph"/>
              <w:numPr>
                <w:ilvl w:val="0"/>
                <w:numId w:val="165"/>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Prepare a FIS on shortlist of options to define the impact on costs and savings</w:t>
            </w:r>
            <w:r w:rsidR="007F610C" w:rsidRPr="00AC41E0">
              <w:rPr>
                <w:rFonts w:ascii="Arial" w:hAnsi="Arial" w:cs="Arial"/>
              </w:rPr>
              <w:t>.</w:t>
            </w:r>
          </w:p>
        </w:tc>
      </w:tr>
      <w:tr w:rsidR="0008118B" w:rsidRPr="00AC41E0" w14:paraId="4567E044" w14:textId="77777777" w:rsidTr="00DE5918">
        <w:tc>
          <w:tcPr>
            <w:cnfStyle w:val="001000000000" w:firstRow="0" w:lastRow="0" w:firstColumn="1" w:lastColumn="0" w:oddVBand="0" w:evenVBand="0" w:oddHBand="0" w:evenHBand="0" w:firstRowFirstColumn="0" w:firstRowLastColumn="0" w:lastRowFirstColumn="0" w:lastRowLastColumn="0"/>
            <w:tcW w:w="2121" w:type="dxa"/>
            <w:hideMark/>
          </w:tcPr>
          <w:p w14:paraId="6099149F" w14:textId="77777777" w:rsidR="00D26131" w:rsidRPr="00AC41E0" w:rsidRDefault="00D26131" w:rsidP="0022369F">
            <w:pPr>
              <w:spacing w:after="120"/>
              <w:jc w:val="center"/>
              <w:rPr>
                <w:rFonts w:ascii="Arial" w:hAnsi="Arial" w:cs="Arial"/>
                <w:sz w:val="22"/>
                <w:szCs w:val="22"/>
              </w:rPr>
            </w:pPr>
            <w:r w:rsidRPr="00AC41E0">
              <w:rPr>
                <w:rFonts w:ascii="Arial" w:hAnsi="Arial" w:cs="Arial"/>
                <w:sz w:val="22"/>
                <w:szCs w:val="22"/>
              </w:rPr>
              <w:lastRenderedPageBreak/>
              <w:t>Commercial analysis</w:t>
            </w:r>
          </w:p>
        </w:tc>
        <w:tc>
          <w:tcPr>
            <w:tcW w:w="3260" w:type="dxa"/>
          </w:tcPr>
          <w:p w14:paraId="6BB8F8A5" w14:textId="77777777" w:rsidR="00D26131" w:rsidRPr="00AC41E0" w:rsidRDefault="00D26131" w:rsidP="0022369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402" w:type="dxa"/>
          </w:tcPr>
          <w:p w14:paraId="3227BD77" w14:textId="77777777" w:rsidR="00D26131" w:rsidRPr="00AC41E0" w:rsidRDefault="00D26131" w:rsidP="0022369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4253" w:type="dxa"/>
            <w:hideMark/>
          </w:tcPr>
          <w:p w14:paraId="399C4AE2" w14:textId="27745AA3" w:rsidR="00D26131" w:rsidRPr="00AC41E0" w:rsidRDefault="00D26131" w:rsidP="00003096">
            <w:pPr>
              <w:pStyle w:val="ListParagraph"/>
              <w:numPr>
                <w:ilvl w:val="0"/>
                <w:numId w:val="165"/>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Develop a procurement strategy</w:t>
            </w:r>
            <w:r w:rsidR="007F610C" w:rsidRPr="00AC41E0">
              <w:rPr>
                <w:rFonts w:ascii="Arial" w:hAnsi="Arial" w:cs="Arial"/>
              </w:rPr>
              <w:t>.</w:t>
            </w:r>
          </w:p>
          <w:p w14:paraId="3BF192F9" w14:textId="35C5EEB7" w:rsidR="00D26131" w:rsidRPr="00AC41E0" w:rsidRDefault="00D26131" w:rsidP="00003096">
            <w:pPr>
              <w:pStyle w:val="ListParagraph"/>
              <w:numPr>
                <w:ilvl w:val="0"/>
                <w:numId w:val="165"/>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Specify technical requirements</w:t>
            </w:r>
            <w:r w:rsidR="007F610C" w:rsidRPr="00AC41E0">
              <w:rPr>
                <w:rFonts w:ascii="Arial" w:hAnsi="Arial" w:cs="Arial"/>
              </w:rPr>
              <w:t>.</w:t>
            </w:r>
          </w:p>
          <w:p w14:paraId="3DA03040" w14:textId="0563B19C" w:rsidR="00D26131" w:rsidRPr="00AC41E0" w:rsidRDefault="00D26131" w:rsidP="00003096">
            <w:pPr>
              <w:pStyle w:val="ListParagraph"/>
              <w:numPr>
                <w:ilvl w:val="0"/>
                <w:numId w:val="165"/>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Identify contractual issues</w:t>
            </w:r>
            <w:r w:rsidR="007F610C" w:rsidRPr="00AC41E0">
              <w:rPr>
                <w:rFonts w:ascii="Arial" w:hAnsi="Arial" w:cs="Arial"/>
              </w:rPr>
              <w:t>.</w:t>
            </w:r>
          </w:p>
        </w:tc>
      </w:tr>
      <w:tr w:rsidR="0008118B" w:rsidRPr="00AC41E0" w14:paraId="565A9F34" w14:textId="77777777" w:rsidTr="00DE5918">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121" w:type="dxa"/>
            <w:hideMark/>
          </w:tcPr>
          <w:p w14:paraId="3D136273" w14:textId="77777777" w:rsidR="00D26131" w:rsidRPr="00AC41E0" w:rsidRDefault="00D26131" w:rsidP="0022369F">
            <w:pPr>
              <w:spacing w:after="120"/>
              <w:jc w:val="center"/>
              <w:rPr>
                <w:rFonts w:ascii="Arial" w:hAnsi="Arial" w:cs="Arial"/>
                <w:sz w:val="22"/>
                <w:szCs w:val="22"/>
              </w:rPr>
            </w:pPr>
            <w:r w:rsidRPr="00AC41E0">
              <w:rPr>
                <w:rFonts w:ascii="Arial" w:hAnsi="Arial" w:cs="Arial"/>
                <w:sz w:val="22"/>
                <w:szCs w:val="22"/>
              </w:rPr>
              <w:t>Management analysis</w:t>
            </w:r>
          </w:p>
        </w:tc>
        <w:tc>
          <w:tcPr>
            <w:tcW w:w="3260" w:type="dxa"/>
          </w:tcPr>
          <w:p w14:paraId="2BB4B623" w14:textId="77777777" w:rsidR="00D26131" w:rsidRPr="00AC41E0" w:rsidRDefault="00D26131" w:rsidP="0022369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402" w:type="dxa"/>
          </w:tcPr>
          <w:p w14:paraId="4EBC26D1" w14:textId="77777777" w:rsidR="00D26131" w:rsidRPr="00AC41E0" w:rsidRDefault="00D26131" w:rsidP="0022369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4253" w:type="dxa"/>
            <w:hideMark/>
          </w:tcPr>
          <w:p w14:paraId="232A126B" w14:textId="14352C36" w:rsidR="00D26131" w:rsidRPr="00AC41E0" w:rsidRDefault="00D26131" w:rsidP="00003096">
            <w:pPr>
              <w:pStyle w:val="ListParagraph"/>
              <w:numPr>
                <w:ilvl w:val="0"/>
                <w:numId w:val="139"/>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Establish governance arrangements</w:t>
            </w:r>
            <w:r w:rsidR="007F610C" w:rsidRPr="00AC41E0">
              <w:rPr>
                <w:rFonts w:ascii="Arial" w:hAnsi="Arial" w:cs="Arial"/>
              </w:rPr>
              <w:t>.</w:t>
            </w:r>
          </w:p>
          <w:p w14:paraId="20115B54" w14:textId="6EDEC620" w:rsidR="00D26131" w:rsidRPr="00AC41E0" w:rsidRDefault="00D26131" w:rsidP="00003096">
            <w:pPr>
              <w:pStyle w:val="ListParagraph"/>
              <w:numPr>
                <w:ilvl w:val="0"/>
                <w:numId w:val="139"/>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Establish a project management strategy, framework</w:t>
            </w:r>
            <w:r w:rsidR="00292E1F" w:rsidRPr="00AC41E0">
              <w:rPr>
                <w:rFonts w:ascii="Arial" w:hAnsi="Arial" w:cs="Arial"/>
              </w:rPr>
              <w:t>,</w:t>
            </w:r>
            <w:r w:rsidRPr="00AC41E0">
              <w:rPr>
                <w:rFonts w:ascii="Arial" w:hAnsi="Arial" w:cs="Arial"/>
              </w:rPr>
              <w:t xml:space="preserve"> and plan</w:t>
            </w:r>
            <w:r w:rsidR="007F610C" w:rsidRPr="00AC41E0">
              <w:rPr>
                <w:rFonts w:ascii="Arial" w:hAnsi="Arial" w:cs="Arial"/>
              </w:rPr>
              <w:t>.</w:t>
            </w:r>
          </w:p>
          <w:p w14:paraId="54E971CB" w14:textId="2995B62B" w:rsidR="00D26131" w:rsidRPr="00AC41E0" w:rsidRDefault="00D26131" w:rsidP="00003096">
            <w:pPr>
              <w:pStyle w:val="ListParagraph"/>
              <w:numPr>
                <w:ilvl w:val="0"/>
                <w:numId w:val="139"/>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 xml:space="preserve">Establish a change management strategy and plan – see </w:t>
            </w:r>
            <w:hyperlink w:anchor="_Change_management" w:history="1">
              <w:r w:rsidR="00D30A20" w:rsidRPr="00AC41E0">
                <w:rPr>
                  <w:rStyle w:val="Hyperlink"/>
                  <w:rFonts w:ascii="Arial" w:hAnsi="Arial" w:cs="Arial"/>
                </w:rPr>
                <w:t>C</w:t>
              </w:r>
              <w:r w:rsidRPr="00AC41E0">
                <w:rPr>
                  <w:rStyle w:val="Hyperlink"/>
                  <w:rFonts w:ascii="Arial" w:hAnsi="Arial" w:cs="Arial"/>
                </w:rPr>
                <w:t>hapter 6.</w:t>
              </w:r>
              <w:r w:rsidR="00D30A20" w:rsidRPr="00AC41E0">
                <w:rPr>
                  <w:rStyle w:val="Hyperlink"/>
                  <w:rFonts w:ascii="Arial" w:hAnsi="Arial" w:cs="Arial"/>
                </w:rPr>
                <w:t>1 Change management</w:t>
              </w:r>
            </w:hyperlink>
            <w:r w:rsidRPr="00E46FB0">
              <w:rPr>
                <w:rFonts w:ascii="Arial" w:hAnsi="Arial" w:cs="Arial"/>
              </w:rPr>
              <w:t xml:space="preserve"> for guidance</w:t>
            </w:r>
            <w:r w:rsidR="007F610C" w:rsidRPr="00AC41E0">
              <w:rPr>
                <w:rFonts w:ascii="Arial" w:hAnsi="Arial" w:cs="Arial"/>
              </w:rPr>
              <w:t>.</w:t>
            </w:r>
          </w:p>
          <w:p w14:paraId="1ABF4F24" w14:textId="0396CA67" w:rsidR="00D26131" w:rsidRPr="00AC41E0" w:rsidRDefault="00D26131" w:rsidP="00003096">
            <w:pPr>
              <w:pStyle w:val="ListParagraph"/>
              <w:numPr>
                <w:ilvl w:val="0"/>
                <w:numId w:val="139"/>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Develop a benefits plan and register</w:t>
            </w:r>
            <w:r w:rsidR="00D30A20" w:rsidRPr="00AC41E0">
              <w:rPr>
                <w:rFonts w:ascii="Arial" w:hAnsi="Arial" w:cs="Arial"/>
              </w:rPr>
              <w:t>.</w:t>
            </w:r>
          </w:p>
          <w:p w14:paraId="384BDC1D" w14:textId="7363B7A7" w:rsidR="00D26131" w:rsidRPr="00AC41E0" w:rsidRDefault="00D26131" w:rsidP="00003096">
            <w:pPr>
              <w:pStyle w:val="ListParagraph"/>
              <w:numPr>
                <w:ilvl w:val="0"/>
                <w:numId w:val="139"/>
              </w:numPr>
              <w:spacing w:after="120" w:line="256"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Establish a risk management strategy, framework</w:t>
            </w:r>
            <w:r w:rsidR="00292E1F" w:rsidRPr="00AC41E0">
              <w:rPr>
                <w:rFonts w:ascii="Arial" w:hAnsi="Arial" w:cs="Arial"/>
              </w:rPr>
              <w:t>,</w:t>
            </w:r>
            <w:r w:rsidRPr="00AC41E0">
              <w:rPr>
                <w:rFonts w:ascii="Arial" w:hAnsi="Arial" w:cs="Arial"/>
              </w:rPr>
              <w:t xml:space="preserve"> and plan – see </w:t>
            </w:r>
            <w:hyperlink w:anchor="_Risks_and_obligations_2" w:history="1">
              <w:r w:rsidR="00F30298" w:rsidRPr="00AC41E0">
                <w:rPr>
                  <w:rStyle w:val="Hyperlink"/>
                  <w:rFonts w:ascii="Arial" w:hAnsi="Arial" w:cs="Arial"/>
                </w:rPr>
                <w:t>C</w:t>
              </w:r>
              <w:r w:rsidRPr="00AC41E0">
                <w:rPr>
                  <w:rStyle w:val="Hyperlink"/>
                  <w:rFonts w:ascii="Arial" w:hAnsi="Arial" w:cs="Arial"/>
                </w:rPr>
                <w:t>hapter 3.</w:t>
              </w:r>
              <w:r w:rsidR="00F30298" w:rsidRPr="00AC41E0">
                <w:rPr>
                  <w:rStyle w:val="Hyperlink"/>
                  <w:rFonts w:ascii="Arial" w:hAnsi="Arial" w:cs="Arial"/>
                </w:rPr>
                <w:t>4 Risks and obligations</w:t>
              </w:r>
            </w:hyperlink>
            <w:r w:rsidR="00F30298" w:rsidRPr="00E46FB0">
              <w:rPr>
                <w:rFonts w:ascii="Arial" w:hAnsi="Arial" w:cs="Arial"/>
              </w:rPr>
              <w:t xml:space="preserve"> </w:t>
            </w:r>
            <w:r w:rsidRPr="00AC41E0">
              <w:rPr>
                <w:rFonts w:ascii="Arial" w:hAnsi="Arial" w:cs="Arial"/>
              </w:rPr>
              <w:t>for guidance</w:t>
            </w:r>
            <w:r w:rsidR="00D30A20" w:rsidRPr="00AC41E0">
              <w:rPr>
                <w:rFonts w:ascii="Arial" w:hAnsi="Arial" w:cs="Arial"/>
              </w:rPr>
              <w:t>.</w:t>
            </w:r>
          </w:p>
          <w:p w14:paraId="51481BAD" w14:textId="434CC6A6" w:rsidR="00D26131" w:rsidRPr="00AC41E0" w:rsidRDefault="00D26131" w:rsidP="00003096">
            <w:pPr>
              <w:pStyle w:val="ListParagraph"/>
              <w:numPr>
                <w:ilvl w:val="0"/>
                <w:numId w:val="139"/>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 xml:space="preserve">Establish a post-implementation evaluation plan – see </w:t>
            </w:r>
            <w:hyperlink w:anchor="_Evaluation" w:history="1">
              <w:r w:rsidR="00001406" w:rsidRPr="00AC41E0">
                <w:rPr>
                  <w:rStyle w:val="Hyperlink"/>
                  <w:rFonts w:ascii="Arial" w:hAnsi="Arial" w:cs="Arial"/>
                </w:rPr>
                <w:t>C</w:t>
              </w:r>
              <w:r w:rsidRPr="00AC41E0">
                <w:rPr>
                  <w:rStyle w:val="Hyperlink"/>
                  <w:rFonts w:ascii="Arial" w:hAnsi="Arial" w:cs="Arial"/>
                </w:rPr>
                <w:t xml:space="preserve">hapter 8.1 </w:t>
              </w:r>
              <w:r w:rsidR="00001406" w:rsidRPr="00AC41E0">
                <w:rPr>
                  <w:rStyle w:val="Hyperlink"/>
                  <w:rFonts w:ascii="Arial" w:hAnsi="Arial" w:cs="Arial"/>
                </w:rPr>
                <w:t>Evaluation</w:t>
              </w:r>
            </w:hyperlink>
            <w:r w:rsidR="00001406" w:rsidRPr="00E46FB0">
              <w:rPr>
                <w:rFonts w:ascii="Arial" w:hAnsi="Arial" w:cs="Arial"/>
              </w:rPr>
              <w:t xml:space="preserve"> </w:t>
            </w:r>
            <w:r w:rsidRPr="00AC41E0">
              <w:rPr>
                <w:rFonts w:ascii="Arial" w:hAnsi="Arial" w:cs="Arial"/>
              </w:rPr>
              <w:t>for  guidance</w:t>
            </w:r>
            <w:r w:rsidR="00D30A20" w:rsidRPr="00AC41E0">
              <w:rPr>
                <w:rFonts w:ascii="Arial" w:hAnsi="Arial" w:cs="Arial"/>
              </w:rPr>
              <w:t>.</w:t>
            </w:r>
          </w:p>
        </w:tc>
      </w:tr>
    </w:tbl>
    <w:p w14:paraId="73762276" w14:textId="77777777" w:rsidR="0083178D" w:rsidRPr="00AC41E0" w:rsidRDefault="0083178D" w:rsidP="00D26131">
      <w:pPr>
        <w:rPr>
          <w:rFonts w:ascii="Arial" w:hAnsi="Arial" w:cs="Arial"/>
        </w:rPr>
        <w:sectPr w:rsidR="0083178D" w:rsidRPr="00AC41E0" w:rsidSect="00C606D5">
          <w:pgSz w:w="16838" w:h="11906" w:orient="landscape"/>
          <w:pgMar w:top="1440" w:right="1440" w:bottom="1440" w:left="1440" w:header="708" w:footer="708" w:gutter="0"/>
          <w:cols w:space="708"/>
          <w:docGrid w:linePitch="360"/>
        </w:sectPr>
      </w:pPr>
    </w:p>
    <w:p w14:paraId="56B58C2D" w14:textId="7D334952" w:rsidR="00D26131" w:rsidRPr="00AC41E0" w:rsidRDefault="00152FDA" w:rsidP="0083178D">
      <w:pPr>
        <w:pStyle w:val="DCSbodytext"/>
        <w:ind w:left="0"/>
      </w:pPr>
      <w:r w:rsidRPr="00E46FB0">
        <w:lastRenderedPageBreak/>
        <w:t>U</w:t>
      </w:r>
      <w:r w:rsidR="00D26131" w:rsidRPr="00AC41E0">
        <w:t xml:space="preserve">pdate and revise the </w:t>
      </w:r>
      <w:r w:rsidR="004F711F" w:rsidRPr="00AC41E0">
        <w:t>b</w:t>
      </w:r>
      <w:r w:rsidR="00D26131" w:rsidRPr="00AC41E0">
        <w:t xml:space="preserve">usiness </w:t>
      </w:r>
      <w:r w:rsidR="004F711F" w:rsidRPr="00AC41E0">
        <w:t>c</w:t>
      </w:r>
      <w:r w:rsidR="00D26131" w:rsidRPr="00AC41E0">
        <w:t xml:space="preserve">ase as </w:t>
      </w:r>
      <w:r w:rsidR="00974E9E" w:rsidRPr="00AC41E0">
        <w:t xml:space="preserve">necessary </w:t>
      </w:r>
      <w:r w:rsidR="00D45635" w:rsidRPr="00AC41E0">
        <w:t>if further</w:t>
      </w:r>
      <w:r w:rsidR="00974E9E" w:rsidRPr="00AC41E0">
        <w:t xml:space="preserve"> </w:t>
      </w:r>
      <w:r w:rsidR="00D26131" w:rsidRPr="00AC41E0">
        <w:t xml:space="preserve">information becomes available. </w:t>
      </w:r>
      <w:r w:rsidR="00D45635" w:rsidRPr="00AC41E0">
        <w:t xml:space="preserve">This will </w:t>
      </w:r>
      <w:r w:rsidR="00D26131" w:rsidRPr="00AC41E0">
        <w:t xml:space="preserve">assist when evaluating your </w:t>
      </w:r>
      <w:r w:rsidR="003D5E9D" w:rsidRPr="00AC41E0">
        <w:t>IoT-enabled project</w:t>
      </w:r>
      <w:r w:rsidR="00D26131" w:rsidRPr="00AC41E0">
        <w:t xml:space="preserve"> at a later stage</w:t>
      </w:r>
      <w:r w:rsidR="00BE3BE9" w:rsidRPr="00AC41E0">
        <w:t xml:space="preserve">, which is </w:t>
      </w:r>
      <w:r w:rsidR="00D26131" w:rsidRPr="00AC41E0">
        <w:t xml:space="preserve">particularly important </w:t>
      </w:r>
      <w:r w:rsidR="00BE3BE9" w:rsidRPr="00AC41E0">
        <w:t xml:space="preserve">if </w:t>
      </w:r>
      <w:r w:rsidR="00D26131" w:rsidRPr="00AC41E0">
        <w:t>you are making one of the first cases for IoT in your organisation/team and need to demonstrate its benefits.</w:t>
      </w:r>
    </w:p>
    <w:p w14:paraId="592C3A90" w14:textId="77777777" w:rsidR="0083178D" w:rsidRPr="00AC41E0" w:rsidRDefault="00D26131" w:rsidP="0083178D">
      <w:pPr>
        <w:pStyle w:val="DCSbodytext"/>
        <w:ind w:left="0"/>
      </w:pPr>
      <w:r w:rsidRPr="00AC41E0">
        <w:t xml:space="preserve">For assistance completing your business case, see the below resources or speak to your </w:t>
      </w:r>
      <w:r w:rsidR="00F41AFC" w:rsidRPr="00AC41E0">
        <w:t xml:space="preserve">organisation’s </w:t>
      </w:r>
      <w:r w:rsidRPr="00AC41E0">
        <w:t>Project Management Office.</w:t>
      </w:r>
    </w:p>
    <w:p w14:paraId="1CC236E9" w14:textId="0450F700" w:rsidR="001048A0" w:rsidRPr="00AC41E0" w:rsidRDefault="005059C3">
      <w:pPr>
        <w:pStyle w:val="Heading3"/>
        <w:rPr>
          <w:rFonts w:ascii="Arial" w:hAnsi="Arial"/>
        </w:rPr>
      </w:pPr>
      <w:bookmarkStart w:id="1368" w:name="_Toc65760545"/>
      <w:r w:rsidRPr="00AC41E0">
        <w:rPr>
          <w:rFonts w:ascii="Arial" w:hAnsi="Arial"/>
        </w:rPr>
        <w:t>Additional r</w:t>
      </w:r>
      <w:r w:rsidR="001048A0" w:rsidRPr="00AC41E0">
        <w:rPr>
          <w:rFonts w:ascii="Arial" w:hAnsi="Arial"/>
        </w:rPr>
        <w:t>esources</w:t>
      </w:r>
      <w:bookmarkEnd w:id="1368"/>
    </w:p>
    <w:p w14:paraId="68B7A4A7" w14:textId="5B30B39E" w:rsidR="004A5F07" w:rsidRPr="00AC41E0" w:rsidRDefault="00084371" w:rsidP="00003096">
      <w:pPr>
        <w:pStyle w:val="DCSbodytext"/>
        <w:numPr>
          <w:ilvl w:val="0"/>
          <w:numId w:val="140"/>
        </w:numPr>
        <w:spacing w:after="120"/>
        <w:ind w:left="1151" w:hanging="357"/>
      </w:pPr>
      <w:hyperlink r:id="rId211" w:history="1">
        <w:r w:rsidR="004A5F07" w:rsidRPr="00AC41E0">
          <w:rPr>
            <w:rStyle w:val="Hyperlink"/>
          </w:rPr>
          <w:t>The NSW Government Business Case Guidelines (TPP18-06)</w:t>
        </w:r>
      </w:hyperlink>
      <w:r w:rsidR="004A5F07" w:rsidRPr="00E46FB0">
        <w:t xml:space="preserve"> e</w:t>
      </w:r>
      <w:r w:rsidR="004A5F07" w:rsidRPr="00AC41E0">
        <w:t xml:space="preserve">stablish a best practice, clear and consistent approach to preparing </w:t>
      </w:r>
      <w:r w:rsidR="00712969" w:rsidRPr="00AC41E0">
        <w:t xml:space="preserve">a </w:t>
      </w:r>
      <w:r w:rsidR="004A5F07" w:rsidRPr="00AC41E0">
        <w:t xml:space="preserve">business case.  </w:t>
      </w:r>
    </w:p>
    <w:p w14:paraId="68348750" w14:textId="19FED164" w:rsidR="004A5F07" w:rsidRPr="00AC41E0" w:rsidRDefault="00084371" w:rsidP="00003096">
      <w:pPr>
        <w:pStyle w:val="DCSbodytext"/>
        <w:numPr>
          <w:ilvl w:val="0"/>
          <w:numId w:val="140"/>
        </w:numPr>
        <w:spacing w:after="120"/>
        <w:ind w:left="1151" w:hanging="357"/>
      </w:pPr>
      <w:hyperlink r:id="rId212" w:history="1">
        <w:r w:rsidR="004A5F07" w:rsidRPr="00AC41E0">
          <w:rPr>
            <w:rStyle w:val="Hyperlink"/>
          </w:rPr>
          <w:t xml:space="preserve">The NSW Treasury </w:t>
        </w:r>
        <w:r w:rsidR="002704A5" w:rsidRPr="00AC41E0">
          <w:rPr>
            <w:rStyle w:val="Hyperlink"/>
          </w:rPr>
          <w:t>b</w:t>
        </w:r>
        <w:r w:rsidR="004A5F07" w:rsidRPr="00AC41E0">
          <w:rPr>
            <w:rStyle w:val="Hyperlink"/>
          </w:rPr>
          <w:t xml:space="preserve">usiness </w:t>
        </w:r>
        <w:r w:rsidR="00D8277E" w:rsidRPr="00AC41E0">
          <w:rPr>
            <w:rStyle w:val="Hyperlink"/>
          </w:rPr>
          <w:t>ca</w:t>
        </w:r>
        <w:r w:rsidR="004A5F07" w:rsidRPr="00AC41E0">
          <w:rPr>
            <w:rStyle w:val="Hyperlink"/>
          </w:rPr>
          <w:t>se</w:t>
        </w:r>
        <w:r w:rsidR="002704A5" w:rsidRPr="00AC41E0">
          <w:rPr>
            <w:rStyle w:val="Hyperlink"/>
          </w:rPr>
          <w:t>s</w:t>
        </w:r>
        <w:r w:rsidR="004A5F07" w:rsidRPr="00AC41E0">
          <w:rPr>
            <w:rStyle w:val="Hyperlink"/>
          </w:rPr>
          <w:t xml:space="preserve"> web</w:t>
        </w:r>
        <w:r w:rsidR="002704A5" w:rsidRPr="00AC41E0">
          <w:rPr>
            <w:rStyle w:val="Hyperlink"/>
          </w:rPr>
          <w:t>page</w:t>
        </w:r>
      </w:hyperlink>
      <w:r w:rsidR="004A5F07" w:rsidRPr="00E46FB0">
        <w:t xml:space="preserve"> provides templates for the three busi</w:t>
      </w:r>
      <w:r w:rsidR="004A5F07" w:rsidRPr="00AC41E0">
        <w:t xml:space="preserve">ness case stages outlined in this chapter and in the </w:t>
      </w:r>
      <w:r w:rsidR="00CE35B0" w:rsidRPr="00AC41E0">
        <w:t xml:space="preserve">NSW Government </w:t>
      </w:r>
      <w:r w:rsidR="004A5F07" w:rsidRPr="00AC41E0">
        <w:t>Business Case Guidelines.</w:t>
      </w:r>
    </w:p>
    <w:p w14:paraId="555594A2" w14:textId="2C200B2A" w:rsidR="004A5F07" w:rsidRPr="00AC41E0" w:rsidRDefault="004A5F07" w:rsidP="00E367DB">
      <w:pPr>
        <w:pStyle w:val="DCSbodytext"/>
        <w:numPr>
          <w:ilvl w:val="0"/>
          <w:numId w:val="140"/>
        </w:numPr>
      </w:pPr>
      <w:r w:rsidRPr="00AC41E0">
        <w:t xml:space="preserve">If your </w:t>
      </w:r>
      <w:r w:rsidR="003D5E9D" w:rsidRPr="00AC41E0">
        <w:t>IoT-enabled project</w:t>
      </w:r>
      <w:r w:rsidRPr="00AC41E0">
        <w:t xml:space="preserve"> is classified as an infrastructure project, the </w:t>
      </w:r>
      <w:hyperlink r:id="rId213" w:history="1">
        <w:r w:rsidRPr="00AC41E0">
          <w:rPr>
            <w:rStyle w:val="Hyperlink"/>
          </w:rPr>
          <w:t>Infrastructure NSW Business Case Toolkit</w:t>
        </w:r>
      </w:hyperlink>
      <w:r w:rsidRPr="00E46FB0">
        <w:t xml:space="preserve"> can assist with developing a business case. </w:t>
      </w:r>
    </w:p>
    <w:p w14:paraId="61C153F2" w14:textId="0076D9E4" w:rsidR="001048A0" w:rsidRPr="00AC41E0" w:rsidRDefault="001048A0" w:rsidP="000E1EA9">
      <w:pPr>
        <w:pStyle w:val="Heading2"/>
        <w:ind w:left="794"/>
        <w:rPr>
          <w:rFonts w:ascii="Arial" w:hAnsi="Arial"/>
        </w:rPr>
      </w:pPr>
      <w:bookmarkStart w:id="1369" w:name="_Toc65760546"/>
      <w:r w:rsidRPr="00AC41E0">
        <w:rPr>
          <w:rFonts w:ascii="Arial" w:hAnsi="Arial"/>
        </w:rPr>
        <w:t>Cost</w:t>
      </w:r>
      <w:r w:rsidR="00690A37" w:rsidRPr="00AC41E0">
        <w:rPr>
          <w:rFonts w:ascii="Arial" w:hAnsi="Arial"/>
        </w:rPr>
        <w:t>-</w:t>
      </w:r>
      <w:r w:rsidRPr="00AC41E0">
        <w:rPr>
          <w:rFonts w:ascii="Arial" w:hAnsi="Arial"/>
        </w:rPr>
        <w:t>benefit analysis</w:t>
      </w:r>
      <w:bookmarkEnd w:id="1369"/>
    </w:p>
    <w:p w14:paraId="27FD4FBD" w14:textId="04320E5B" w:rsidR="00B94BBD" w:rsidRPr="00AC41E0" w:rsidRDefault="00B115D1" w:rsidP="00B115D1">
      <w:pPr>
        <w:pStyle w:val="DCSbodytext"/>
      </w:pPr>
      <w:r w:rsidRPr="00AC41E0">
        <w:t xml:space="preserve">This chapter </w:t>
      </w:r>
      <w:r w:rsidR="000C0E76" w:rsidRPr="00AC41E0">
        <w:t xml:space="preserve">explains </w:t>
      </w:r>
      <w:r w:rsidRPr="00AC41E0">
        <w:t xml:space="preserve">how to ensure </w:t>
      </w:r>
      <w:r w:rsidR="00664016" w:rsidRPr="00AC41E0">
        <w:t xml:space="preserve">that </w:t>
      </w:r>
      <w:r w:rsidRPr="00AC41E0">
        <w:t xml:space="preserve">IoT-specific costs and benefits are considered and incorporated </w:t>
      </w:r>
      <w:r w:rsidR="001A5684" w:rsidRPr="00AC41E0">
        <w:t xml:space="preserve">into </w:t>
      </w:r>
      <w:r w:rsidR="008D2212" w:rsidRPr="00AC41E0">
        <w:t>your</w:t>
      </w:r>
      <w:r w:rsidRPr="00AC41E0">
        <w:t xml:space="preserve"> business case.</w:t>
      </w:r>
    </w:p>
    <w:p w14:paraId="50BE59CF" w14:textId="0F5D71EF" w:rsidR="001048A0" w:rsidRPr="00AC41E0" w:rsidRDefault="001048A0">
      <w:pPr>
        <w:pStyle w:val="Heading3"/>
        <w:rPr>
          <w:rFonts w:ascii="Arial" w:hAnsi="Arial"/>
        </w:rPr>
      </w:pPr>
      <w:bookmarkStart w:id="1370" w:name="_Toc65760547"/>
      <w:r w:rsidRPr="00AC41E0">
        <w:rPr>
          <w:rFonts w:ascii="Arial" w:hAnsi="Arial"/>
        </w:rPr>
        <w:t xml:space="preserve">What is a </w:t>
      </w:r>
      <w:r w:rsidR="00690A37" w:rsidRPr="00AC41E0">
        <w:rPr>
          <w:rFonts w:ascii="Arial" w:hAnsi="Arial"/>
        </w:rPr>
        <w:t>c</w:t>
      </w:r>
      <w:r w:rsidRPr="00AC41E0">
        <w:rPr>
          <w:rFonts w:ascii="Arial" w:hAnsi="Arial"/>
        </w:rPr>
        <w:t>ost-</w:t>
      </w:r>
      <w:r w:rsidR="00690A37" w:rsidRPr="00AC41E0">
        <w:rPr>
          <w:rFonts w:ascii="Arial" w:hAnsi="Arial"/>
        </w:rPr>
        <w:t>b</w:t>
      </w:r>
      <w:r w:rsidRPr="00AC41E0">
        <w:rPr>
          <w:rFonts w:ascii="Arial" w:hAnsi="Arial"/>
        </w:rPr>
        <w:t xml:space="preserve">enefit </w:t>
      </w:r>
      <w:r w:rsidR="00690A37" w:rsidRPr="00AC41E0">
        <w:rPr>
          <w:rFonts w:ascii="Arial" w:hAnsi="Arial"/>
        </w:rPr>
        <w:t>a</w:t>
      </w:r>
      <w:r w:rsidRPr="00AC41E0">
        <w:rPr>
          <w:rFonts w:ascii="Arial" w:hAnsi="Arial"/>
        </w:rPr>
        <w:t>nalysis?</w:t>
      </w:r>
      <w:bookmarkEnd w:id="1370"/>
      <w:r w:rsidRPr="00AC41E0">
        <w:rPr>
          <w:rFonts w:ascii="Arial" w:hAnsi="Arial"/>
        </w:rPr>
        <w:tab/>
      </w:r>
    </w:p>
    <w:p w14:paraId="08EC347A" w14:textId="77777777" w:rsidR="00B80337" w:rsidRPr="00AC41E0" w:rsidRDefault="00B80337" w:rsidP="00B80337">
      <w:pPr>
        <w:pStyle w:val="DCSbodytext"/>
      </w:pPr>
      <w:r w:rsidRPr="00AC41E0">
        <w:t>Cost-benefit analysis (CBA) is a decision-making tool that estimates the economic, social and environmental costs and benefits of a project or program in monetary terms. It is an important element of a project’s business case.</w:t>
      </w:r>
    </w:p>
    <w:p w14:paraId="68A5D78E" w14:textId="0EE88C22" w:rsidR="00B80337" w:rsidRPr="00AC41E0" w:rsidRDefault="00B80337" w:rsidP="00B80337">
      <w:pPr>
        <w:pStyle w:val="DCSbodytext"/>
      </w:pPr>
      <w:r w:rsidRPr="00AC41E0">
        <w:t>The aim of a CBA is to measure the full impact of any government decision or action on the affected community. For NSW Government projects, a CBA should focus primarily on impacts to the NSW community – households, businesses, workers and/or governments. Ultimately, a CBA reports on whether the benefits of a proposal are likely to exceed the costs and provide a net social benefit.</w:t>
      </w:r>
    </w:p>
    <w:p w14:paraId="72B7159A" w14:textId="518239C4" w:rsidR="000014B1" w:rsidRPr="00AC41E0" w:rsidRDefault="000014B1" w:rsidP="00374CED">
      <w:pPr>
        <w:pStyle w:val="Heading3"/>
        <w:rPr>
          <w:rFonts w:ascii="Arial" w:hAnsi="Arial"/>
        </w:rPr>
      </w:pPr>
      <w:bookmarkStart w:id="1371" w:name="_Toc65760548"/>
      <w:r w:rsidRPr="00AC41E0">
        <w:rPr>
          <w:rFonts w:ascii="Arial" w:hAnsi="Arial"/>
        </w:rPr>
        <w:t>How to conduct a cost-benefit analysis</w:t>
      </w:r>
      <w:bookmarkEnd w:id="1371"/>
    </w:p>
    <w:p w14:paraId="74A9E422" w14:textId="425FB244" w:rsidR="00B57B63" w:rsidRPr="00AC41E0" w:rsidRDefault="00B57B63" w:rsidP="00B57B63">
      <w:pPr>
        <w:pStyle w:val="DCSbodytext"/>
      </w:pPr>
      <w:r w:rsidRPr="00AC41E0">
        <w:t xml:space="preserve">Your organisation’s Project Management Office </w:t>
      </w:r>
      <w:r w:rsidR="006113B6" w:rsidRPr="00AC41E0">
        <w:t>(</w:t>
      </w:r>
      <w:r w:rsidRPr="00AC41E0">
        <w:t>or</w:t>
      </w:r>
      <w:r w:rsidR="006113B6" w:rsidRPr="00AC41E0">
        <w:t xml:space="preserve"> relevant</w:t>
      </w:r>
      <w:r w:rsidRPr="00AC41E0">
        <w:t xml:space="preserve"> team</w:t>
      </w:r>
      <w:r w:rsidR="006113B6" w:rsidRPr="00AC41E0">
        <w:t>)</w:t>
      </w:r>
      <w:r w:rsidRPr="00AC41E0">
        <w:t xml:space="preserve"> can help you with </w:t>
      </w:r>
      <w:r w:rsidR="006113B6" w:rsidRPr="00AC41E0">
        <w:t xml:space="preserve">a </w:t>
      </w:r>
      <w:r w:rsidR="00ED3FF7" w:rsidRPr="00AC41E0">
        <w:t>CBA</w:t>
      </w:r>
      <w:r w:rsidRPr="00AC41E0">
        <w:t xml:space="preserve">. </w:t>
      </w:r>
    </w:p>
    <w:p w14:paraId="543A9D9B" w14:textId="1E030227" w:rsidR="00ED3FF7" w:rsidRPr="00AC41E0" w:rsidRDefault="00B57B63" w:rsidP="000014B1">
      <w:pPr>
        <w:pStyle w:val="DCSbodytext"/>
      </w:pPr>
      <w:r w:rsidRPr="00AC41E0">
        <w:t>A key resource</w:t>
      </w:r>
      <w:r w:rsidR="00ED3FF7" w:rsidRPr="00AC41E0">
        <w:t xml:space="preserve"> is t</w:t>
      </w:r>
      <w:r w:rsidR="000014B1" w:rsidRPr="00AC41E0">
        <w:t xml:space="preserve">he </w:t>
      </w:r>
      <w:hyperlink r:id="rId214" w:history="1">
        <w:r w:rsidR="000014B1" w:rsidRPr="00AC41E0">
          <w:rPr>
            <w:rStyle w:val="Hyperlink"/>
          </w:rPr>
          <w:t>NSW Government Guide to Cost-Benefit Analysis (TPP 17-03)</w:t>
        </w:r>
      </w:hyperlink>
      <w:r w:rsidR="000014B1" w:rsidRPr="00E46FB0">
        <w:t xml:space="preserve"> is a step-by-step guide </w:t>
      </w:r>
      <w:r w:rsidRPr="00AC41E0">
        <w:t>to</w:t>
      </w:r>
      <w:r w:rsidR="000014B1" w:rsidRPr="00AC41E0">
        <w:t xml:space="preserve"> CBA. </w:t>
      </w:r>
    </w:p>
    <w:p w14:paraId="69FBC394" w14:textId="69F6539B" w:rsidR="000014B1" w:rsidRPr="00AC41E0" w:rsidRDefault="005B6507" w:rsidP="000014B1">
      <w:pPr>
        <w:pStyle w:val="DCSbodytext"/>
      </w:pPr>
      <w:r w:rsidRPr="00AC41E0">
        <w:t>Another useful resource is t</w:t>
      </w:r>
      <w:r w:rsidR="008D3F8B" w:rsidRPr="00AC41E0">
        <w:t xml:space="preserve">he </w:t>
      </w:r>
      <w:hyperlink r:id="rId215">
        <w:r w:rsidR="008D3F8B" w:rsidRPr="00AC41E0">
          <w:rPr>
            <w:rStyle w:val="Hyperlink"/>
          </w:rPr>
          <w:t xml:space="preserve">NSW </w:t>
        </w:r>
        <w:r w:rsidR="00005E03" w:rsidRPr="00AC41E0">
          <w:rPr>
            <w:rStyle w:val="Hyperlink"/>
          </w:rPr>
          <w:t xml:space="preserve">Government </w:t>
        </w:r>
        <w:r w:rsidR="008D3F8B" w:rsidRPr="00AC41E0">
          <w:rPr>
            <w:rStyle w:val="Hyperlink"/>
          </w:rPr>
          <w:t>Benefits Realisation Management Framework</w:t>
        </w:r>
      </w:hyperlink>
      <w:r w:rsidRPr="00E46FB0">
        <w:t xml:space="preserve">. It </w:t>
      </w:r>
      <w:r w:rsidR="008D3F8B" w:rsidRPr="00AC41E0">
        <w:t xml:space="preserve">was developed to assist </w:t>
      </w:r>
      <w:r w:rsidR="00090FD0" w:rsidRPr="00AC41E0">
        <w:t xml:space="preserve">NSW Government </w:t>
      </w:r>
      <w:r w:rsidR="008D3F8B" w:rsidRPr="00AC41E0">
        <w:t xml:space="preserve">agencies </w:t>
      </w:r>
      <w:r w:rsidR="00292E1F" w:rsidRPr="00AC41E0">
        <w:t xml:space="preserve">to </w:t>
      </w:r>
      <w:r w:rsidR="008D3F8B" w:rsidRPr="00AC41E0">
        <w:t>identify, plan, manage and evaluate the intended benefits of a project.</w:t>
      </w:r>
    </w:p>
    <w:p w14:paraId="31882D72" w14:textId="4C2A154A" w:rsidR="001048A0" w:rsidRPr="00AC41E0" w:rsidRDefault="001048A0">
      <w:pPr>
        <w:pStyle w:val="Heading3"/>
        <w:rPr>
          <w:rFonts w:ascii="Arial" w:hAnsi="Arial"/>
        </w:rPr>
      </w:pPr>
      <w:bookmarkStart w:id="1372" w:name="_Considering_costs_and"/>
      <w:bookmarkStart w:id="1373" w:name="_Toc65760549"/>
      <w:bookmarkEnd w:id="1372"/>
      <w:r w:rsidRPr="00AC41E0">
        <w:rPr>
          <w:rFonts w:ascii="Arial" w:hAnsi="Arial"/>
        </w:rPr>
        <w:lastRenderedPageBreak/>
        <w:t>Considering costs and benefits for IoT</w:t>
      </w:r>
      <w:r w:rsidR="00561DA8" w:rsidRPr="00AC41E0">
        <w:rPr>
          <w:rFonts w:ascii="Arial" w:hAnsi="Arial"/>
        </w:rPr>
        <w:t xml:space="preserve">-enabled </w:t>
      </w:r>
      <w:r w:rsidRPr="00AC41E0">
        <w:rPr>
          <w:rFonts w:ascii="Arial" w:hAnsi="Arial"/>
        </w:rPr>
        <w:t>projects</w:t>
      </w:r>
      <w:bookmarkEnd w:id="1373"/>
      <w:r w:rsidRPr="00AC41E0">
        <w:rPr>
          <w:rFonts w:ascii="Arial" w:hAnsi="Arial"/>
        </w:rPr>
        <w:tab/>
      </w:r>
    </w:p>
    <w:p w14:paraId="35A2016D" w14:textId="1AA00924" w:rsidR="004917F0" w:rsidRPr="00AC41E0" w:rsidRDefault="004917F0" w:rsidP="00374CED">
      <w:pPr>
        <w:pStyle w:val="Heading4"/>
        <w:rPr>
          <w:rFonts w:ascii="Arial" w:hAnsi="Arial"/>
        </w:rPr>
      </w:pPr>
      <w:r w:rsidRPr="00AC41E0">
        <w:rPr>
          <w:rFonts w:ascii="Arial" w:hAnsi="Arial"/>
        </w:rPr>
        <w:t>Determining costs and benefits for IoT-enabled projects is complex</w:t>
      </w:r>
    </w:p>
    <w:p w14:paraId="05B25EF9" w14:textId="179CF1C8" w:rsidR="00712C3B" w:rsidRPr="00AC41E0" w:rsidRDefault="00712C3B" w:rsidP="00673939">
      <w:pPr>
        <w:pStyle w:val="DCSbodytext"/>
        <w:spacing w:after="120"/>
      </w:pPr>
      <w:r w:rsidRPr="00AC41E0">
        <w:t xml:space="preserve">Conducting </w:t>
      </w:r>
      <w:r w:rsidR="00864DA9" w:rsidRPr="00AC41E0">
        <w:t>a CBA</w:t>
      </w:r>
      <w:r w:rsidRPr="00AC41E0">
        <w:t xml:space="preserve"> for an </w:t>
      </w:r>
      <w:r w:rsidR="003D5E9D" w:rsidRPr="00AC41E0">
        <w:t>IoT-enabled project</w:t>
      </w:r>
      <w:r w:rsidRPr="00AC41E0">
        <w:t xml:space="preserve"> is often less straightforward than </w:t>
      </w:r>
      <w:r w:rsidR="00864DA9" w:rsidRPr="00AC41E0">
        <w:t xml:space="preserve">for </w:t>
      </w:r>
      <w:r w:rsidRPr="00AC41E0">
        <w:t>typical government investments. Th</w:t>
      </w:r>
      <w:r w:rsidR="00864DA9" w:rsidRPr="00AC41E0">
        <w:t>ere are various reasons for this:</w:t>
      </w:r>
    </w:p>
    <w:p w14:paraId="26F21BC6" w14:textId="4BFC6536" w:rsidR="00712C3B" w:rsidRPr="00AC41E0" w:rsidRDefault="00712C3B" w:rsidP="00003096">
      <w:pPr>
        <w:pStyle w:val="DCSbodytext"/>
        <w:numPr>
          <w:ilvl w:val="0"/>
          <w:numId w:val="143"/>
        </w:numPr>
        <w:spacing w:after="120"/>
      </w:pPr>
      <w:r w:rsidRPr="00AC41E0">
        <w:t>A single IoT solution usually consists of diverse components integrated in</w:t>
      </w:r>
      <w:r w:rsidR="00292E1F" w:rsidRPr="00AC41E0">
        <w:t>to</w:t>
      </w:r>
      <w:r w:rsidRPr="00AC41E0">
        <w:t xml:space="preserve"> a complex system</w:t>
      </w:r>
      <w:r w:rsidR="00A709EB" w:rsidRPr="00AC41E0">
        <w:t>. For</w:t>
      </w:r>
      <w:r w:rsidRPr="00AC41E0">
        <w:t xml:space="preserve"> example, </w:t>
      </w:r>
      <w:r w:rsidR="00867E02" w:rsidRPr="00AC41E0">
        <w:t>a solution will have various non-technology component</w:t>
      </w:r>
      <w:r w:rsidR="00292E1F" w:rsidRPr="00AC41E0">
        <w:t>s</w:t>
      </w:r>
      <w:r w:rsidR="00867E02" w:rsidRPr="00AC41E0">
        <w:t xml:space="preserve"> as well as </w:t>
      </w:r>
      <w:r w:rsidR="00A709EB" w:rsidRPr="00AC41E0">
        <w:t xml:space="preserve">different technology components like </w:t>
      </w:r>
      <w:r w:rsidRPr="00AC41E0">
        <w:t>sensors, actuators, networks, cloud data centre</w:t>
      </w:r>
      <w:r w:rsidR="00A709EB" w:rsidRPr="00AC41E0">
        <w:t>s</w:t>
      </w:r>
      <w:r w:rsidR="00292E1F" w:rsidRPr="00AC41E0">
        <w:t>,</w:t>
      </w:r>
      <w:r w:rsidR="00A709EB" w:rsidRPr="00AC41E0">
        <w:t xml:space="preserve"> and</w:t>
      </w:r>
      <w:r w:rsidRPr="00AC41E0">
        <w:t xml:space="preserve"> data management systems</w:t>
      </w:r>
      <w:r w:rsidR="00867E02" w:rsidRPr="00AC41E0">
        <w:t xml:space="preserve"> (which</w:t>
      </w:r>
      <w:r w:rsidR="00A709EB" w:rsidRPr="00AC41E0">
        <w:t xml:space="preserve"> </w:t>
      </w:r>
      <w:r w:rsidR="00BF76E1" w:rsidRPr="00AC41E0">
        <w:t>all have their own features and requirements around energy consumption, maintenance, security testing</w:t>
      </w:r>
      <w:r w:rsidR="00867E02" w:rsidRPr="00AC41E0">
        <w:t xml:space="preserve">). </w:t>
      </w:r>
      <w:r w:rsidRPr="00AC41E0">
        <w:t xml:space="preserve">Understanding the cost structure of each of these </w:t>
      </w:r>
      <w:r w:rsidR="00C26D02" w:rsidRPr="00AC41E0">
        <w:t xml:space="preserve">components </w:t>
      </w:r>
      <w:r w:rsidRPr="00AC41E0">
        <w:t xml:space="preserve">can be </w:t>
      </w:r>
      <w:r w:rsidR="002F7690" w:rsidRPr="00AC41E0">
        <w:t>complex</w:t>
      </w:r>
      <w:r w:rsidRPr="00AC41E0">
        <w:t>.</w:t>
      </w:r>
    </w:p>
    <w:p w14:paraId="1E7A1C3C" w14:textId="3BE13193" w:rsidR="008169E9" w:rsidRPr="00AC41E0" w:rsidRDefault="00F16589" w:rsidP="00003096">
      <w:pPr>
        <w:pStyle w:val="ListParagraph"/>
        <w:numPr>
          <w:ilvl w:val="0"/>
          <w:numId w:val="143"/>
        </w:numPr>
        <w:spacing w:line="254" w:lineRule="auto"/>
        <w:rPr>
          <w:rFonts w:ascii="Arial" w:eastAsia="Times New Roman" w:hAnsi="Arial" w:cs="Times New Roman"/>
          <w:szCs w:val="24"/>
        </w:rPr>
      </w:pPr>
      <w:r w:rsidRPr="00AC41E0">
        <w:rPr>
          <w:rFonts w:ascii="Arial" w:eastAsia="Times New Roman" w:hAnsi="Arial" w:cs="Times New Roman"/>
          <w:szCs w:val="24"/>
        </w:rPr>
        <w:t>A</w:t>
      </w:r>
      <w:r w:rsidR="008169E9" w:rsidRPr="00AC41E0">
        <w:rPr>
          <w:rFonts w:ascii="Arial" w:eastAsia="Times New Roman" w:hAnsi="Arial" w:cs="Times New Roman"/>
          <w:szCs w:val="24"/>
        </w:rPr>
        <w:t xml:space="preserve"> “as a </w:t>
      </w:r>
      <w:r w:rsidR="008169E9" w:rsidRPr="00AC41E0">
        <w:rPr>
          <w:rFonts w:ascii="Arial" w:eastAsia="Times New Roman" w:hAnsi="Arial" w:cs="Arial"/>
          <w:szCs w:val="24"/>
        </w:rPr>
        <w:t xml:space="preserve">service” (i.e. annuity based) business model is often the approach favoured by </w:t>
      </w:r>
      <w:r w:rsidR="00374CED" w:rsidRPr="00AC41E0">
        <w:rPr>
          <w:rFonts w:ascii="Arial" w:hAnsi="Arial" w:cs="Arial"/>
        </w:rPr>
        <w:t>IoT service providers</w:t>
      </w:r>
      <w:r w:rsidR="008169E9" w:rsidRPr="00AC41E0">
        <w:rPr>
          <w:rFonts w:ascii="Arial" w:eastAsia="Times New Roman" w:hAnsi="Arial" w:cs="Arial"/>
          <w:szCs w:val="24"/>
        </w:rPr>
        <w:t xml:space="preserve">, introducing an ongoing expenditure </w:t>
      </w:r>
      <w:r w:rsidR="00292E1F" w:rsidRPr="00AC41E0">
        <w:rPr>
          <w:rFonts w:ascii="Arial" w:eastAsia="Times New Roman" w:hAnsi="Arial" w:cs="Arial"/>
          <w:szCs w:val="24"/>
        </w:rPr>
        <w:t xml:space="preserve">that </w:t>
      </w:r>
      <w:r w:rsidR="008169E9" w:rsidRPr="00AC41E0">
        <w:rPr>
          <w:rFonts w:ascii="Arial" w:eastAsia="Times New Roman" w:hAnsi="Arial" w:cs="Arial"/>
          <w:szCs w:val="24"/>
        </w:rPr>
        <w:t>needs to be considered</w:t>
      </w:r>
      <w:r w:rsidR="008169E9" w:rsidRPr="00AC41E0">
        <w:rPr>
          <w:rFonts w:ascii="Arial" w:eastAsia="Times New Roman" w:hAnsi="Arial" w:cs="Times New Roman"/>
          <w:szCs w:val="24"/>
        </w:rPr>
        <w:t>.</w:t>
      </w:r>
    </w:p>
    <w:p w14:paraId="31203FF1" w14:textId="69F15D43" w:rsidR="00712C3B" w:rsidRPr="00AC41E0" w:rsidRDefault="00712C3B" w:rsidP="00003096">
      <w:pPr>
        <w:pStyle w:val="DCSbodytext"/>
        <w:numPr>
          <w:ilvl w:val="0"/>
          <w:numId w:val="143"/>
        </w:numPr>
        <w:spacing w:after="120"/>
      </w:pPr>
      <w:r w:rsidRPr="00AC41E0">
        <w:t>IoT components may have various owners and/or operators, each of whom incurs a different cost and derives a different benefit from the whole system</w:t>
      </w:r>
    </w:p>
    <w:p w14:paraId="3D41BF31" w14:textId="69AE7812" w:rsidR="00712C3B" w:rsidRPr="00AC41E0" w:rsidRDefault="00712C3B" w:rsidP="00003096">
      <w:pPr>
        <w:pStyle w:val="DCSbodytext"/>
        <w:numPr>
          <w:ilvl w:val="0"/>
          <w:numId w:val="143"/>
        </w:numPr>
        <w:spacing w:after="120"/>
      </w:pPr>
      <w:r w:rsidRPr="00AC41E0">
        <w:t xml:space="preserve">IoT-generated data that is shared often contains indirect value </w:t>
      </w:r>
      <w:r w:rsidR="006074F8" w:rsidRPr="00AC41E0">
        <w:t>to other stakeholders</w:t>
      </w:r>
      <w:r w:rsidRPr="00AC41E0">
        <w:t xml:space="preserve"> that is unforeseeable to the project owner </w:t>
      </w:r>
    </w:p>
    <w:p w14:paraId="1E508EF3" w14:textId="3259299C" w:rsidR="00712C3B" w:rsidRPr="00AC41E0" w:rsidRDefault="00712C3B" w:rsidP="00003096">
      <w:pPr>
        <w:pStyle w:val="DCSbodytext"/>
        <w:numPr>
          <w:ilvl w:val="0"/>
          <w:numId w:val="143"/>
        </w:numPr>
        <w:ind w:left="1151" w:hanging="357"/>
      </w:pPr>
      <w:r w:rsidRPr="00AC41E0">
        <w:t>There are risks and opportunities associated with IoT that may have intangible costs or benefits</w:t>
      </w:r>
      <w:r w:rsidR="00523F0D" w:rsidRPr="00AC41E0">
        <w:t xml:space="preserve"> (e.g. environmental or customer benefits with no immediate cost-benefit return)</w:t>
      </w:r>
      <w:r w:rsidR="00673939" w:rsidRPr="00AC41E0">
        <w:t>.</w:t>
      </w:r>
    </w:p>
    <w:p w14:paraId="219E262F" w14:textId="2D5220EE" w:rsidR="00AF5A7A" w:rsidRPr="00AC41E0" w:rsidRDefault="00AF5A7A" w:rsidP="00374CED">
      <w:pPr>
        <w:pStyle w:val="Heading4"/>
        <w:rPr>
          <w:rFonts w:ascii="Arial" w:hAnsi="Arial"/>
        </w:rPr>
      </w:pPr>
      <w:r w:rsidRPr="00AC41E0">
        <w:rPr>
          <w:rFonts w:ascii="Arial" w:hAnsi="Arial"/>
        </w:rPr>
        <w:t xml:space="preserve">Considerations </w:t>
      </w:r>
      <w:r w:rsidR="00EB7BE8" w:rsidRPr="00AC41E0">
        <w:rPr>
          <w:rFonts w:ascii="Arial" w:hAnsi="Arial"/>
        </w:rPr>
        <w:t>in analysing costs and benefits for IoT</w:t>
      </w:r>
    </w:p>
    <w:p w14:paraId="4AE71273" w14:textId="18D7DA64" w:rsidR="00DB3A18" w:rsidRPr="00AC41E0" w:rsidRDefault="00002CF7" w:rsidP="00C851D9">
      <w:pPr>
        <w:pStyle w:val="DCSbodytext"/>
      </w:pPr>
      <w:r w:rsidRPr="00AC41E0">
        <w:t>The complex nature of IoT means it can be difficult to forecast and calculate costs and benefits with confidence</w:t>
      </w:r>
      <w:r w:rsidR="00C6162E" w:rsidRPr="00AC41E0">
        <w:t xml:space="preserve">. </w:t>
      </w:r>
      <w:r w:rsidR="00A078E7" w:rsidRPr="00AC41E0">
        <w:t>All costs and benefits</w:t>
      </w:r>
      <w:r w:rsidRPr="00AC41E0">
        <w:t xml:space="preserve"> should still be described and </w:t>
      </w:r>
      <w:r w:rsidR="00C6162E" w:rsidRPr="00AC41E0">
        <w:t>captured</w:t>
      </w:r>
      <w:r w:rsidRPr="00AC41E0">
        <w:t xml:space="preserve">, along with </w:t>
      </w:r>
      <w:r w:rsidR="008A6285" w:rsidRPr="00AC41E0">
        <w:t>any</w:t>
      </w:r>
      <w:r w:rsidRPr="00AC41E0">
        <w:t xml:space="preserve"> assumptions </w:t>
      </w:r>
      <w:r w:rsidR="008A6285" w:rsidRPr="00AC41E0">
        <w:t>underlying</w:t>
      </w:r>
      <w:r w:rsidRPr="00AC41E0">
        <w:t xml:space="preserve"> </w:t>
      </w:r>
      <w:r w:rsidR="008A6285" w:rsidRPr="00AC41E0">
        <w:t xml:space="preserve">how the calculations were made. </w:t>
      </w:r>
    </w:p>
    <w:p w14:paraId="1388B315" w14:textId="1C633341" w:rsidR="00712C3B" w:rsidRPr="00AC41E0" w:rsidRDefault="00002CF7" w:rsidP="00C851D9">
      <w:pPr>
        <w:pStyle w:val="DCSbodytext"/>
      </w:pPr>
      <w:r w:rsidRPr="00AC41E0">
        <w:t>Additional expertise may be required to analyse your project’s costs and benefits to ensure it is valued accurately</w:t>
      </w:r>
      <w:r w:rsidR="00A02E2A" w:rsidRPr="00AC41E0">
        <w:t xml:space="preserve">, </w:t>
      </w:r>
      <w:r w:rsidR="00280567" w:rsidRPr="00AC41E0">
        <w:t xml:space="preserve">taking into account </w:t>
      </w:r>
      <w:r w:rsidR="001B2A0D" w:rsidRPr="00AC41E0">
        <w:t xml:space="preserve">IoT-specific considerations. </w:t>
      </w:r>
      <w:r w:rsidR="00856DEE" w:rsidRPr="00AC41E0">
        <w:t>Some of these considerations are outlined below:</w:t>
      </w:r>
    </w:p>
    <w:p w14:paraId="7E4AE5F2" w14:textId="0C166422" w:rsidR="00712C3B" w:rsidRPr="00AC41E0" w:rsidRDefault="00712C3B" w:rsidP="00003096">
      <w:pPr>
        <w:pStyle w:val="DCSbodytext"/>
        <w:numPr>
          <w:ilvl w:val="0"/>
          <w:numId w:val="144"/>
        </w:numPr>
        <w:spacing w:after="120"/>
      </w:pPr>
      <w:r w:rsidRPr="00AC41E0">
        <w:t xml:space="preserve">One of the primary benefits of IoT, even for the simplest of applications, is the wealth of data that can be captured. The physical core of IoT is devices and connectivity, </w:t>
      </w:r>
      <w:r w:rsidR="00554795" w:rsidRPr="00AC41E0">
        <w:t xml:space="preserve">but </w:t>
      </w:r>
      <w:r w:rsidRPr="00AC41E0">
        <w:t xml:space="preserve">the resulting data, analytics and actionable insights are </w:t>
      </w:r>
      <w:r w:rsidR="00B51C2A" w:rsidRPr="00AC41E0">
        <w:t xml:space="preserve">how </w:t>
      </w:r>
      <w:r w:rsidRPr="00AC41E0">
        <w:t>organisations derive value. The ability to share th</w:t>
      </w:r>
      <w:r w:rsidR="0084563F" w:rsidRPr="00AC41E0">
        <w:t>e</w:t>
      </w:r>
      <w:r w:rsidRPr="00AC41E0">
        <w:t xml:space="preserve"> data and</w:t>
      </w:r>
      <w:r w:rsidR="000413D9" w:rsidRPr="00AC41E0">
        <w:t xml:space="preserve"> </w:t>
      </w:r>
      <w:r w:rsidRPr="00AC41E0">
        <w:t>insights across government will perpetuate the return on investment.</w:t>
      </w:r>
    </w:p>
    <w:p w14:paraId="1C590787" w14:textId="5343D42B" w:rsidR="00DD6664" w:rsidRPr="00AC41E0" w:rsidRDefault="00DD6664" w:rsidP="00003096">
      <w:pPr>
        <w:pStyle w:val="DCSbodytext"/>
        <w:numPr>
          <w:ilvl w:val="0"/>
          <w:numId w:val="144"/>
        </w:numPr>
        <w:spacing w:after="120"/>
      </w:pPr>
      <w:r w:rsidRPr="00AC41E0">
        <w:t>Not all data is equally valuable. For example, data used for optimisation and prediction have more potential uses and is therefore generally more valuable than data used for specific purposes such as anomaly detection and control.</w:t>
      </w:r>
    </w:p>
    <w:p w14:paraId="3A23EA08" w14:textId="338E3B52" w:rsidR="00C861EC" w:rsidRPr="00AC41E0" w:rsidRDefault="00C861EC" w:rsidP="00003096">
      <w:pPr>
        <w:pStyle w:val="DCSbodytext"/>
        <w:numPr>
          <w:ilvl w:val="0"/>
          <w:numId w:val="144"/>
        </w:numPr>
        <w:spacing w:after="120"/>
      </w:pPr>
      <w:r w:rsidRPr="00AC41E0">
        <w:t>Your IoT solution will incur ongoing costs for data access, storage, processing</w:t>
      </w:r>
      <w:r w:rsidR="00292E1F" w:rsidRPr="00AC41E0">
        <w:t>,</w:t>
      </w:r>
      <w:r w:rsidRPr="00AC41E0">
        <w:t xml:space="preserve"> and analytics.</w:t>
      </w:r>
    </w:p>
    <w:p w14:paraId="1C5C1811" w14:textId="0C0F6FA5" w:rsidR="00C861EC" w:rsidRPr="00AC41E0" w:rsidRDefault="00C861EC" w:rsidP="00003096">
      <w:pPr>
        <w:pStyle w:val="DCSbodytext"/>
        <w:numPr>
          <w:ilvl w:val="0"/>
          <w:numId w:val="144"/>
        </w:numPr>
        <w:spacing w:after="120"/>
      </w:pPr>
      <w:r w:rsidRPr="00AC41E0">
        <w:lastRenderedPageBreak/>
        <w:t>Data ownership needs to be considered</w:t>
      </w:r>
      <w:r w:rsidR="00D12488" w:rsidRPr="00AC41E0">
        <w:t xml:space="preserve"> (</w:t>
      </w:r>
      <w:r w:rsidRPr="00AC41E0">
        <w:t>i.e. who has access to the data and may use it for analysis and further processing</w:t>
      </w:r>
      <w:r w:rsidR="00D12488" w:rsidRPr="00AC41E0">
        <w:t>)</w:t>
      </w:r>
      <w:r w:rsidRPr="00AC41E0">
        <w:t>.</w:t>
      </w:r>
    </w:p>
    <w:p w14:paraId="39A9395A" w14:textId="77777777" w:rsidR="00C861EC" w:rsidRPr="00AC41E0" w:rsidRDefault="00C861EC" w:rsidP="00003096">
      <w:pPr>
        <w:pStyle w:val="DCSbodytext"/>
        <w:numPr>
          <w:ilvl w:val="0"/>
          <w:numId w:val="144"/>
        </w:numPr>
        <w:spacing w:after="120"/>
      </w:pPr>
      <w:r w:rsidRPr="00AC41E0">
        <w:t>Keeping your devices and data secure will require regular testing and investments.</w:t>
      </w:r>
    </w:p>
    <w:p w14:paraId="2589BDE5" w14:textId="64242D51" w:rsidR="00DE3404" w:rsidRPr="00AC41E0" w:rsidRDefault="00C861EC" w:rsidP="00003096">
      <w:pPr>
        <w:pStyle w:val="DCSbodytext"/>
        <w:numPr>
          <w:ilvl w:val="0"/>
          <w:numId w:val="144"/>
        </w:numPr>
        <w:spacing w:after="120"/>
      </w:pPr>
      <w:r w:rsidRPr="00AC41E0">
        <w:t xml:space="preserve">It is important to understand </w:t>
      </w:r>
      <w:r w:rsidR="00DE3404" w:rsidRPr="00AC41E0">
        <w:t xml:space="preserve">the </w:t>
      </w:r>
      <w:r w:rsidRPr="00AC41E0">
        <w:t>technology life to cost in upgrades. There is an interdependency with how long the solution is required to be maintained.</w:t>
      </w:r>
      <w:r w:rsidR="0042794A" w:rsidRPr="00AC41E0">
        <w:t xml:space="preserve"> There are also o</w:t>
      </w:r>
      <w:r w:rsidR="00DE3404" w:rsidRPr="00AC41E0">
        <w:t>ngoing operating costs for your devices include power supply, connectivity, maintenance (e.g. batteries replacement) and updating.</w:t>
      </w:r>
    </w:p>
    <w:p w14:paraId="57ECC66E" w14:textId="35C2CA19" w:rsidR="0042794A" w:rsidRPr="00AC41E0" w:rsidRDefault="0042794A" w:rsidP="00003096">
      <w:pPr>
        <w:pStyle w:val="DCSbodytext"/>
        <w:numPr>
          <w:ilvl w:val="0"/>
          <w:numId w:val="144"/>
        </w:numPr>
        <w:spacing w:after="120"/>
      </w:pPr>
      <w:r w:rsidRPr="00AC41E0">
        <w:t>There are ongoing costs for cyber security including for regular penetration testing.</w:t>
      </w:r>
    </w:p>
    <w:p w14:paraId="7DBFDC5B" w14:textId="1E0CF58A" w:rsidR="00C861EC" w:rsidRPr="00AC41E0" w:rsidRDefault="00C861EC" w:rsidP="00003096">
      <w:pPr>
        <w:pStyle w:val="DCSbodytext"/>
        <w:numPr>
          <w:ilvl w:val="0"/>
          <w:numId w:val="144"/>
        </w:numPr>
        <w:spacing w:after="120"/>
      </w:pPr>
      <w:r w:rsidRPr="00AC41E0">
        <w:t xml:space="preserve">Value from an IoT-enabled project can be maximised if interoperability between IoT systems is increased. See </w:t>
      </w:r>
      <w:hyperlink w:anchor="_Useful_International_Standards" w:history="1">
        <w:r w:rsidRPr="00E46FB0">
          <w:rPr>
            <w:rStyle w:val="Hyperlink"/>
          </w:rPr>
          <w:t>Chapter 3</w:t>
        </w:r>
        <w:r w:rsidRPr="00AC41E0">
          <w:rPr>
            <w:rStyle w:val="Hyperlink"/>
          </w:rPr>
          <w:t>.8 Technology for IoT</w:t>
        </w:r>
      </w:hyperlink>
      <w:r w:rsidRPr="00E46FB0">
        <w:t xml:space="preserve"> for information on interoperability.</w:t>
      </w:r>
    </w:p>
    <w:p w14:paraId="483A23F1" w14:textId="247F72D0" w:rsidR="00712C3B" w:rsidRPr="00AC41E0" w:rsidRDefault="00712C3B" w:rsidP="00003096">
      <w:pPr>
        <w:pStyle w:val="DCSbodytext"/>
        <w:numPr>
          <w:ilvl w:val="0"/>
          <w:numId w:val="144"/>
        </w:numPr>
        <w:spacing w:after="120"/>
      </w:pPr>
      <w:r w:rsidRPr="00AC41E0">
        <w:t xml:space="preserve">It may be costly to retrofit </w:t>
      </w:r>
      <w:r w:rsidR="00E9029E" w:rsidRPr="00AC41E0">
        <w:t xml:space="preserve">IoT to </w:t>
      </w:r>
      <w:r w:rsidRPr="00AC41E0">
        <w:t xml:space="preserve">your existing </w:t>
      </w:r>
      <w:r w:rsidR="00135FEB" w:rsidRPr="00AC41E0">
        <w:t>asset base</w:t>
      </w:r>
      <w:r w:rsidR="006833B6" w:rsidRPr="00AC41E0">
        <w:t xml:space="preserve"> or </w:t>
      </w:r>
      <w:r w:rsidR="00135FEB" w:rsidRPr="00AC41E0">
        <w:t>infrast</w:t>
      </w:r>
      <w:r w:rsidR="0087623B" w:rsidRPr="00AC41E0">
        <w:t>ructu</w:t>
      </w:r>
      <w:r w:rsidR="00135FEB" w:rsidRPr="00AC41E0">
        <w:t>re</w:t>
      </w:r>
      <w:r w:rsidR="008B10F4" w:rsidRPr="00AC41E0">
        <w:t xml:space="preserve">. </w:t>
      </w:r>
      <w:r w:rsidR="00BE7CFA" w:rsidRPr="00AC41E0">
        <w:t xml:space="preserve">However, experimenting with a </w:t>
      </w:r>
      <w:r w:rsidR="00C87E55" w:rsidRPr="00AC41E0">
        <w:t>retrofitted</w:t>
      </w:r>
      <w:r w:rsidR="00BE7CFA" w:rsidRPr="00AC41E0">
        <w:t xml:space="preserve"> device </w:t>
      </w:r>
      <w:r w:rsidR="0087623B" w:rsidRPr="00AC41E0">
        <w:t xml:space="preserve">may </w:t>
      </w:r>
      <w:r w:rsidR="00BE7CFA" w:rsidRPr="00AC41E0">
        <w:t>teach</w:t>
      </w:r>
      <w:r w:rsidR="0022246B" w:rsidRPr="00AC41E0">
        <w:t xml:space="preserve"> you</w:t>
      </w:r>
      <w:r w:rsidR="0087623B" w:rsidRPr="00AC41E0">
        <w:t xml:space="preserve"> </w:t>
      </w:r>
      <w:r w:rsidR="00BE7CFA" w:rsidRPr="00AC41E0">
        <w:t>how</w:t>
      </w:r>
      <w:r w:rsidR="0022246B" w:rsidRPr="00AC41E0">
        <w:t xml:space="preserve"> to </w:t>
      </w:r>
      <w:r w:rsidR="0087623B" w:rsidRPr="00AC41E0">
        <w:t>design proven</w:t>
      </w:r>
      <w:r w:rsidR="0022246B" w:rsidRPr="00AC41E0">
        <w:t xml:space="preserve"> IoT</w:t>
      </w:r>
      <w:r w:rsidR="0087623B" w:rsidRPr="00AC41E0">
        <w:t xml:space="preserve"> solution</w:t>
      </w:r>
      <w:r w:rsidR="00E92099" w:rsidRPr="00AC41E0">
        <w:t>s</w:t>
      </w:r>
      <w:r w:rsidR="0087623B" w:rsidRPr="00AC41E0">
        <w:t xml:space="preserve"> </w:t>
      </w:r>
      <w:r w:rsidR="0022246B" w:rsidRPr="00AC41E0">
        <w:t xml:space="preserve">in </w:t>
      </w:r>
      <w:r w:rsidR="0087623B" w:rsidRPr="00AC41E0">
        <w:t>new assets and infrastructure</w:t>
      </w:r>
      <w:r w:rsidR="00632A74" w:rsidRPr="00AC41E0">
        <w:t>.</w:t>
      </w:r>
    </w:p>
    <w:p w14:paraId="7981C085" w14:textId="592BD4DB" w:rsidR="00712C3B" w:rsidRPr="00AC41E0" w:rsidRDefault="00712C3B" w:rsidP="00003096">
      <w:pPr>
        <w:pStyle w:val="DCSbodytext"/>
        <w:numPr>
          <w:ilvl w:val="0"/>
          <w:numId w:val="144"/>
        </w:numPr>
        <w:spacing w:after="120"/>
        <w:ind w:left="1151" w:hanging="357"/>
      </w:pPr>
      <w:r w:rsidRPr="00AC41E0">
        <w:t>Consulting with third parties may be required if your project team does</w:t>
      </w:r>
      <w:r w:rsidR="00EE46DD" w:rsidRPr="00AC41E0">
        <w:t xml:space="preserve"> </w:t>
      </w:r>
      <w:r w:rsidRPr="00AC41E0">
        <w:t>n</w:t>
      </w:r>
      <w:r w:rsidR="00EE46DD" w:rsidRPr="00AC41E0">
        <w:t>o</w:t>
      </w:r>
      <w:r w:rsidRPr="00AC41E0">
        <w:t>t have the capabilities to plan, implement and manage your IoT solution.</w:t>
      </w:r>
    </w:p>
    <w:p w14:paraId="4FD70D23" w14:textId="76A32386" w:rsidR="005F090D" w:rsidRPr="00AC41E0" w:rsidRDefault="005F090D" w:rsidP="00003096">
      <w:pPr>
        <w:pStyle w:val="DCSbodytext"/>
        <w:numPr>
          <w:ilvl w:val="0"/>
          <w:numId w:val="144"/>
        </w:numPr>
        <w:spacing w:after="120"/>
        <w:ind w:left="1151" w:hanging="357"/>
      </w:pPr>
      <w:r w:rsidRPr="00AC41E0">
        <w:t>Consideration c</w:t>
      </w:r>
      <w:r w:rsidR="008E78C7" w:rsidRPr="00AC41E0">
        <w:t>an</w:t>
      </w:r>
      <w:r w:rsidRPr="00AC41E0">
        <w:t xml:space="preserve"> be given to risk/</w:t>
      </w:r>
      <w:r w:rsidR="00292E1F" w:rsidRPr="00AC41E0">
        <w:t>benefit-</w:t>
      </w:r>
      <w:r w:rsidRPr="00AC41E0">
        <w:t>sharing approach between your organisation and the IoT service provider(s). That is an approach where the potential savings is shared between your organisation and the IoT service provider(s). This mechanism can be used to lower initial outlay of capital and ensure IoT service providers stay engaged in ensuring business value is delivered through the project.</w:t>
      </w:r>
    </w:p>
    <w:p w14:paraId="081FCE69" w14:textId="4912B0AD" w:rsidR="005778EB" w:rsidRPr="00AC41E0" w:rsidRDefault="005F090D" w:rsidP="00003096">
      <w:pPr>
        <w:pStyle w:val="DCSbodytext"/>
        <w:numPr>
          <w:ilvl w:val="0"/>
          <w:numId w:val="144"/>
        </w:numPr>
      </w:pPr>
      <w:r w:rsidRPr="00AC41E0">
        <w:t xml:space="preserve">As IoT and its many possible implementation variations are still an emerging technology, IoT service providers are often interested in establishing credible case studies. This can be monetised and used to establish a strong partnership with IoT service providers who will have a vested interest in delivering true business value. </w:t>
      </w:r>
    </w:p>
    <w:p w14:paraId="22D10DFF" w14:textId="55031ED0" w:rsidR="005F090D" w:rsidRPr="00AC41E0" w:rsidRDefault="005778EB" w:rsidP="001B7AAC">
      <w:pPr>
        <w:rPr>
          <w:rFonts w:ascii="Arial" w:hAnsi="Arial"/>
          <w:sz w:val="22"/>
          <w:lang w:eastAsia="en-US"/>
        </w:rPr>
      </w:pPr>
      <w:r w:rsidRPr="00AC41E0">
        <w:br w:type="page"/>
      </w:r>
    </w:p>
    <w:tbl>
      <w:tblPr>
        <w:tblStyle w:val="TableGrid"/>
        <w:tblW w:w="8221" w:type="dxa"/>
        <w:tblInd w:w="846" w:type="dxa"/>
        <w:shd w:val="clear" w:color="auto" w:fill="D9D9D9" w:themeFill="background1" w:themeFillShade="D9"/>
        <w:tblLook w:val="04A0" w:firstRow="1" w:lastRow="0" w:firstColumn="1" w:lastColumn="0" w:noHBand="0" w:noVBand="1"/>
      </w:tblPr>
      <w:tblGrid>
        <w:gridCol w:w="8221"/>
      </w:tblGrid>
      <w:tr w:rsidR="00B55BED" w:rsidRPr="00AC41E0" w14:paraId="296CCCE0" w14:textId="77777777" w:rsidTr="00471F23">
        <w:tc>
          <w:tcPr>
            <w:tcW w:w="822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586E1A" w14:textId="6F752B42" w:rsidR="00B55BED" w:rsidRPr="00AC41E0" w:rsidRDefault="00B55BED" w:rsidP="00BA085F">
            <w:pPr>
              <w:pStyle w:val="DCSbodytext"/>
              <w:ind w:left="0"/>
              <w:jc w:val="center"/>
              <w:rPr>
                <w:b/>
              </w:rPr>
            </w:pPr>
            <w:r w:rsidRPr="00AC41E0">
              <w:rPr>
                <w:b/>
              </w:rPr>
              <w:lastRenderedPageBreak/>
              <w:t xml:space="preserve">Case Study – </w:t>
            </w:r>
            <w:r w:rsidR="00471F23" w:rsidRPr="00AC41E0">
              <w:rPr>
                <w:b/>
              </w:rPr>
              <w:t>Sydney Water’s use of IoT for the wastewater network</w:t>
            </w:r>
          </w:p>
          <w:p w14:paraId="6B516600" w14:textId="0F8C17B8" w:rsidR="002970BB" w:rsidRPr="00AC41E0" w:rsidRDefault="002970BB" w:rsidP="002970BB">
            <w:pPr>
              <w:pStyle w:val="DCSbodytext"/>
              <w:ind w:left="0"/>
            </w:pPr>
            <w:r w:rsidRPr="00AC41E0">
              <w:t xml:space="preserve">Sydney Water is using IoT to detect sewer blockages and predict overflows so that it can detect issues in the wastewater network before customers and the environment are impacted.  A high priority is the ability to detect sewerage blockages in </w:t>
            </w:r>
            <w:r w:rsidR="00292E1F" w:rsidRPr="00AC41E0">
              <w:t>real-</w:t>
            </w:r>
            <w:r w:rsidRPr="00AC41E0">
              <w:t xml:space="preserve">time, allowing crews to respond faster. The technology also presents the opportunity to move to predictive maintenance.  </w:t>
            </w:r>
          </w:p>
          <w:p w14:paraId="2CC2EC1D" w14:textId="77777777" w:rsidR="002970BB" w:rsidRPr="00AC41E0" w:rsidRDefault="002970BB" w:rsidP="00471F23">
            <w:pPr>
              <w:pStyle w:val="DCSbodytext"/>
              <w:ind w:left="0"/>
            </w:pPr>
            <w:r w:rsidRPr="00AC41E0">
              <w:t>Sydney Water has explored technologies such as level switches, ultrasonic level sensors and sewer flow sensors. They have been deployed across 280 devices of 15 different models (both off the shelf models and models developed in-house). Sensors are spatially enabled so that Sydney Water knows where the sensors are, and they have an alarm panel to advise when a blockage occurs in the sewer network.</w:t>
            </w:r>
          </w:p>
          <w:p w14:paraId="4CE8CD68" w14:textId="29E85C78" w:rsidR="002970BB" w:rsidRPr="00AC41E0" w:rsidRDefault="002970BB" w:rsidP="00471F23">
            <w:pPr>
              <w:pStyle w:val="DCSbodytext"/>
              <w:ind w:left="0"/>
            </w:pPr>
            <w:r w:rsidRPr="00AC41E0">
              <w:t>The sensors are connected to a range of networks: Sigfox, LoRa, Taggle</w:t>
            </w:r>
            <w:r w:rsidR="00292E1F" w:rsidRPr="00AC41E0">
              <w:t>,</w:t>
            </w:r>
            <w:r w:rsidRPr="00AC41E0">
              <w:t xml:space="preserve"> and Telstra NB-IoT networks as well as a SCADA system. A Telstra IoT platform ingests the data collected which then plugs into Microsoft Azure for data storage and processing before it is presented in data analysis applications.  </w:t>
            </w:r>
          </w:p>
          <w:p w14:paraId="1A1CE374" w14:textId="77777777" w:rsidR="002970BB" w:rsidRPr="00AC41E0" w:rsidRDefault="002970BB" w:rsidP="00471F23">
            <w:pPr>
              <w:pStyle w:val="DCSbodytext"/>
              <w:spacing w:after="120"/>
              <w:ind w:left="0"/>
            </w:pPr>
            <w:r w:rsidRPr="00AC41E0">
              <w:t>The benefits realised from this work include:</w:t>
            </w:r>
          </w:p>
          <w:p w14:paraId="614E965B" w14:textId="1305586A" w:rsidR="002970BB" w:rsidRPr="00AC41E0" w:rsidRDefault="002970BB" w:rsidP="00471F23">
            <w:pPr>
              <w:pStyle w:val="DCSbodytext"/>
              <w:numPr>
                <w:ilvl w:val="0"/>
                <w:numId w:val="189"/>
              </w:numPr>
              <w:spacing w:after="120"/>
            </w:pPr>
            <w:r w:rsidRPr="00AC41E0">
              <w:t xml:space="preserve">20 sewer blockages detected in time to be cleared by crews </w:t>
            </w:r>
          </w:p>
          <w:p w14:paraId="1EEB0A43" w14:textId="4F1D9879" w:rsidR="002970BB" w:rsidRPr="00AC41E0" w:rsidRDefault="002970BB" w:rsidP="00471F23">
            <w:pPr>
              <w:pStyle w:val="DCSbodytext"/>
              <w:numPr>
                <w:ilvl w:val="0"/>
                <w:numId w:val="189"/>
              </w:numPr>
              <w:spacing w:after="120"/>
            </w:pPr>
            <w:r w:rsidRPr="00AC41E0">
              <w:t>high impact overflows averted with 4,700 properties upstream</w:t>
            </w:r>
          </w:p>
          <w:p w14:paraId="39F560B7" w14:textId="3D6F3C1D" w:rsidR="002970BB" w:rsidRPr="00AC41E0" w:rsidRDefault="002970BB" w:rsidP="00471F23">
            <w:pPr>
              <w:pStyle w:val="DCSbodytext"/>
              <w:numPr>
                <w:ilvl w:val="0"/>
                <w:numId w:val="189"/>
              </w:numPr>
              <w:spacing w:after="120"/>
            </w:pPr>
            <w:r w:rsidRPr="00AC41E0">
              <w:t>potential alternative to preventive maintenance</w:t>
            </w:r>
          </w:p>
          <w:p w14:paraId="73DE1231" w14:textId="1D1DBDE9" w:rsidR="00B55BED" w:rsidRPr="00AC41E0" w:rsidRDefault="002970BB" w:rsidP="00471F23">
            <w:pPr>
              <w:pStyle w:val="DCSbodytext"/>
              <w:numPr>
                <w:ilvl w:val="0"/>
                <w:numId w:val="189"/>
              </w:numPr>
            </w:pPr>
            <w:r w:rsidRPr="00AC41E0">
              <w:t>breakdown maintenance effectiveness monitored</w:t>
            </w:r>
            <w:r w:rsidR="00B55BED" w:rsidRPr="00AC41E0">
              <w:t xml:space="preserve">. </w:t>
            </w:r>
          </w:p>
        </w:tc>
      </w:tr>
    </w:tbl>
    <w:p w14:paraId="4DFC7694" w14:textId="77777777" w:rsidR="00B55BED" w:rsidRPr="00AC41E0" w:rsidRDefault="00B55BED" w:rsidP="00B55BED">
      <w:pPr>
        <w:pStyle w:val="DCSbodytext"/>
        <w:spacing w:after="0"/>
      </w:pPr>
    </w:p>
    <w:p w14:paraId="328D3956" w14:textId="763FAE42" w:rsidR="00051774" w:rsidRPr="00E46FB0" w:rsidRDefault="008A555E" w:rsidP="00D4137E">
      <w:pPr>
        <w:pStyle w:val="Heading1"/>
        <w:tabs>
          <w:tab w:val="clear" w:pos="794"/>
          <w:tab w:val="num" w:pos="868"/>
        </w:tabs>
        <w:ind w:left="868"/>
        <w:rPr>
          <w:rFonts w:ascii="Arial" w:hAnsi="Arial"/>
        </w:rPr>
      </w:pPr>
      <w:bookmarkStart w:id="1374" w:name="_Toc65760550"/>
      <w:r w:rsidRPr="00AC41E0">
        <w:rPr>
          <w:rFonts w:ascii="Arial" w:hAnsi="Arial"/>
        </w:rPr>
        <w:lastRenderedPageBreak/>
        <w:t>Procure</w:t>
      </w:r>
      <w:bookmarkStart w:id="1375" w:name="_Toc14686310"/>
      <w:bookmarkEnd w:id="1375"/>
      <w:r w:rsidR="00200414" w:rsidRPr="00E46FB0">
        <w:rPr>
          <w:rStyle w:val="Heading8Char"/>
          <w:noProof/>
          <w:color w:val="auto"/>
        </w:rPr>
        <mc:AlternateContent>
          <mc:Choice Requires="wps">
            <w:drawing>
              <wp:inline distT="0" distB="0" distL="0" distR="0" wp14:anchorId="26AA6493" wp14:editId="71E124AE">
                <wp:extent cx="5162550" cy="8305800"/>
                <wp:effectExtent l="0" t="0" r="0" b="0"/>
                <wp:docPr id="531754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8305800"/>
                        </a:xfrm>
                        <a:prstGeom prst="rect">
                          <a:avLst/>
                        </a:prstGeom>
                        <a:solidFill>
                          <a:schemeClr val="accent5">
                            <a:lumMod val="40000"/>
                            <a:lumOff val="60000"/>
                          </a:schemeClr>
                        </a:solidFill>
                        <a:ln w="9525">
                          <a:noFill/>
                          <a:miter lim="800000"/>
                          <a:headEnd/>
                          <a:tailEnd/>
                        </a:ln>
                      </wps:spPr>
                      <wps:txbx>
                        <w:txbxContent>
                          <w:p w14:paraId="347C212F" w14:textId="77777777" w:rsidR="004A5EF4" w:rsidRPr="00A57E29" w:rsidRDefault="004A5EF4" w:rsidP="00200414">
                            <w:pPr>
                              <w:pStyle w:val="DCSbodytext"/>
                              <w:ind w:left="0"/>
                              <w:jc w:val="center"/>
                              <w:rPr>
                                <w:rStyle w:val="Hyperlink"/>
                                <w:rFonts w:ascii="Times New Roman" w:hAnsi="Times New Roman"/>
                                <w:b/>
                                <w:color w:val="auto"/>
                                <w:sz w:val="24"/>
                                <w:u w:val="none"/>
                                <w:lang w:eastAsia="en-AU"/>
                              </w:rPr>
                            </w:pPr>
                            <w:r>
                              <w:rPr>
                                <w:b/>
                              </w:rPr>
                              <w:t>Best practice considerations at this stage in a project</w:t>
                            </w:r>
                          </w:p>
                          <w:p w14:paraId="1911DF4B" w14:textId="77777777" w:rsidR="004A5EF4" w:rsidRDefault="004A5EF4" w:rsidP="00200414">
                            <w:pPr>
                              <w:pStyle w:val="DCSbodytext"/>
                              <w:numPr>
                                <w:ilvl w:val="0"/>
                                <w:numId w:val="166"/>
                              </w:numPr>
                            </w:pPr>
                            <w:r>
                              <w:t>Are you clear on the procurement outcome you want to achieve and the problem you are trying to solve?</w:t>
                            </w:r>
                          </w:p>
                          <w:p w14:paraId="5DB00434" w14:textId="77777777" w:rsidR="004A5EF4" w:rsidRDefault="004A5EF4" w:rsidP="00200414">
                            <w:pPr>
                              <w:pStyle w:val="DCSbodytext"/>
                              <w:numPr>
                                <w:ilvl w:val="0"/>
                                <w:numId w:val="166"/>
                              </w:numPr>
                            </w:pPr>
                            <w:r>
                              <w:t>Do you understand your end user needs? How are these needs reflected in the procurement strategy, specifications and evaluation?</w:t>
                            </w:r>
                          </w:p>
                          <w:p w14:paraId="449E356D" w14:textId="77777777" w:rsidR="004A5EF4" w:rsidRDefault="004A5EF4" w:rsidP="00200414">
                            <w:pPr>
                              <w:pStyle w:val="DCSbodytext"/>
                              <w:numPr>
                                <w:ilvl w:val="0"/>
                                <w:numId w:val="166"/>
                              </w:numPr>
                            </w:pPr>
                            <w:r>
                              <w:t>Do you understand your technology requirements (i.e. bandwidth) and any restrictions (i.e. network availability)?</w:t>
                            </w:r>
                          </w:p>
                          <w:p w14:paraId="04747E14" w14:textId="77777777" w:rsidR="004A5EF4" w:rsidRDefault="004A5EF4" w:rsidP="00200414">
                            <w:pPr>
                              <w:pStyle w:val="DCSbodytext"/>
                              <w:numPr>
                                <w:ilvl w:val="0"/>
                                <w:numId w:val="166"/>
                              </w:numPr>
                              <w:spacing w:after="0"/>
                            </w:pPr>
                            <w:r>
                              <w:t xml:space="preserve">Have you drawn on the necessary expertise in your organisation (or externally) to: </w:t>
                            </w:r>
                          </w:p>
                          <w:p w14:paraId="041572D3" w14:textId="77777777" w:rsidR="004A5EF4" w:rsidRDefault="004A5EF4" w:rsidP="00200414">
                            <w:pPr>
                              <w:pStyle w:val="DCSbodytext"/>
                              <w:numPr>
                                <w:ilvl w:val="1"/>
                                <w:numId w:val="166"/>
                              </w:numPr>
                              <w:spacing w:after="0"/>
                              <w:ind w:left="709" w:hanging="283"/>
                            </w:pPr>
                            <w:r>
                              <w:t>develop your specifications and procurement strategy</w:t>
                            </w:r>
                          </w:p>
                          <w:p w14:paraId="45E2CCE9" w14:textId="77777777" w:rsidR="004A5EF4" w:rsidRDefault="004A5EF4" w:rsidP="00200414">
                            <w:pPr>
                              <w:pStyle w:val="DCSbodytext"/>
                              <w:numPr>
                                <w:ilvl w:val="1"/>
                                <w:numId w:val="166"/>
                              </w:numPr>
                              <w:spacing w:after="0"/>
                              <w:ind w:left="709" w:hanging="283"/>
                            </w:pPr>
                            <w:r>
                              <w:t>design evaluation criteria</w:t>
                            </w:r>
                          </w:p>
                          <w:p w14:paraId="28DBF2B1" w14:textId="77777777" w:rsidR="004A5EF4" w:rsidRPr="00102F55" w:rsidRDefault="004A5EF4" w:rsidP="00200414">
                            <w:pPr>
                              <w:pStyle w:val="DCSbodytext"/>
                              <w:numPr>
                                <w:ilvl w:val="1"/>
                                <w:numId w:val="166"/>
                              </w:numPr>
                              <w:ind w:left="709" w:hanging="284"/>
                            </w:pPr>
                            <w:r>
                              <w:t>evaluate proposals (i.e. on evaluation panel)?</w:t>
                            </w:r>
                          </w:p>
                          <w:p w14:paraId="18FA474C" w14:textId="77777777" w:rsidR="004A5EF4" w:rsidRDefault="004A5EF4" w:rsidP="00200414">
                            <w:pPr>
                              <w:pStyle w:val="DCSbodytext"/>
                              <w:numPr>
                                <w:ilvl w:val="0"/>
                                <w:numId w:val="170"/>
                              </w:numPr>
                            </w:pPr>
                            <w:r>
                              <w:t>Do you understand the capability of existing and potential suppliers? Are they ready, willing and able to respond to specifications?</w:t>
                            </w:r>
                          </w:p>
                          <w:p w14:paraId="548DDDAA" w14:textId="77777777" w:rsidR="004A5EF4" w:rsidRPr="009502EB" w:rsidRDefault="004A5EF4" w:rsidP="00200414">
                            <w:pPr>
                              <w:pStyle w:val="DCSbodytext"/>
                              <w:numPr>
                                <w:ilvl w:val="0"/>
                                <w:numId w:val="170"/>
                              </w:numPr>
                            </w:pPr>
                            <w:r>
                              <w:t>What is the planned approach to market? Why is it the most appropriate means to achieve the desired procurement outcome?</w:t>
                            </w:r>
                          </w:p>
                          <w:p w14:paraId="617D9F4B" w14:textId="77777777" w:rsidR="004A5EF4" w:rsidRDefault="004A5EF4" w:rsidP="00200414">
                            <w:pPr>
                              <w:pStyle w:val="DCSbodytext"/>
                              <w:numPr>
                                <w:ilvl w:val="0"/>
                                <w:numId w:val="170"/>
                              </w:numPr>
                            </w:pPr>
                            <w:r>
                              <w:t xml:space="preserve">Have you identified the procurement risks? How are these risks managed or mitigated through the procurement strategy, approach to market, tender documentation and evaluation? </w:t>
                            </w:r>
                          </w:p>
                          <w:p w14:paraId="2B54E69A" w14:textId="77777777" w:rsidR="004A5EF4" w:rsidRDefault="004A5EF4" w:rsidP="00200414">
                            <w:pPr>
                              <w:pStyle w:val="DCSbodytext"/>
                              <w:numPr>
                                <w:ilvl w:val="0"/>
                                <w:numId w:val="170"/>
                              </w:numPr>
                            </w:pPr>
                            <w:r>
                              <w:t>Have procurement risks been allocated to the party best able to manage the risk, and how is this reflected in the contract?</w:t>
                            </w:r>
                          </w:p>
                          <w:p w14:paraId="731F5A10" w14:textId="77777777" w:rsidR="004A5EF4" w:rsidRDefault="004A5EF4" w:rsidP="00200414">
                            <w:pPr>
                              <w:pStyle w:val="DCSbodytext"/>
                              <w:numPr>
                                <w:ilvl w:val="0"/>
                                <w:numId w:val="170"/>
                              </w:numPr>
                            </w:pPr>
                            <w:r>
                              <w:t>Do your procurement specifications clearly state your data needs, and if you own the data? Do your procurement specifications clearly state your security parameters?</w:t>
                            </w:r>
                          </w:p>
                          <w:p w14:paraId="14CF19E4" w14:textId="77777777" w:rsidR="004A5EF4" w:rsidRPr="00007376" w:rsidRDefault="004A5EF4" w:rsidP="00200414">
                            <w:pPr>
                              <w:pStyle w:val="DCSbodytext"/>
                              <w:numPr>
                                <w:ilvl w:val="0"/>
                                <w:numId w:val="170"/>
                              </w:numPr>
                              <w:ind w:left="357" w:hanging="357"/>
                            </w:pPr>
                            <w:r>
                              <w:t xml:space="preserve">How are your ensuring that your IoT solution is interoperable? </w:t>
                            </w:r>
                          </w:p>
                          <w:p w14:paraId="6820FFE4" w14:textId="77777777" w:rsidR="004A5EF4" w:rsidRDefault="004A5EF4" w:rsidP="00200414">
                            <w:pPr>
                              <w:pStyle w:val="DCSbodytext"/>
                              <w:numPr>
                                <w:ilvl w:val="0"/>
                                <w:numId w:val="166"/>
                              </w:numPr>
                            </w:pPr>
                            <w:r>
                              <w:t>Who is responsible for maintenance and upkeep of the IoT solution and supporting systems, and how is this reflected in the procurement specifications?</w:t>
                            </w:r>
                          </w:p>
                          <w:p w14:paraId="5505B348" w14:textId="77777777" w:rsidR="004A5EF4" w:rsidRDefault="004A5EF4" w:rsidP="00200414">
                            <w:pPr>
                              <w:pStyle w:val="DCSbodytext"/>
                              <w:numPr>
                                <w:ilvl w:val="0"/>
                                <w:numId w:val="166"/>
                              </w:numPr>
                            </w:pPr>
                            <w:r>
                              <w:t>How does your contract deal with re-competition? Is there an exit strategy to ensure that you are not locked into a service provider</w:t>
                            </w:r>
                            <w:r w:rsidRPr="00691EB7">
                              <w:t xml:space="preserve"> </w:t>
                            </w:r>
                            <w:r>
                              <w:t>and/or solution?</w:t>
                            </w:r>
                          </w:p>
                          <w:p w14:paraId="56BBA8BF" w14:textId="77777777" w:rsidR="004A5EF4" w:rsidRPr="007D6822" w:rsidRDefault="004A5EF4" w:rsidP="00200414">
                            <w:pPr>
                              <w:pStyle w:val="DCSbodytext"/>
                              <w:numPr>
                                <w:ilvl w:val="0"/>
                                <w:numId w:val="166"/>
                              </w:numPr>
                            </w:pPr>
                            <w:r>
                              <w:t>Is the proposed IoT solution scalable? If so, how has this been reflected in the contract?</w:t>
                            </w:r>
                          </w:p>
                        </w:txbxContent>
                      </wps:txbx>
                      <wps:bodyPr rot="0" vert="horz" wrap="square" lIns="91440" tIns="45720" rIns="91440" bIns="45720" anchor="t" anchorCtr="0">
                        <a:noAutofit/>
                      </wps:bodyPr>
                    </wps:wsp>
                  </a:graphicData>
                </a:graphic>
              </wp:inline>
            </w:drawing>
          </mc:Choice>
          <mc:Fallback>
            <w:pict>
              <v:shape w14:anchorId="26AA6493" id="_x0000_s1039" type="#_x0000_t202" style="width:406.5pt;height:6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" fillcolor="#b6dde8 [1304]" stroked="f">
                <v:textbox>
                  <w:txbxContent>
                    <w:p w14:paraId="347C212F" w14:textId="77777777" w:rsidR="004A5EF4" w:rsidRPr="00A57E29" w:rsidRDefault="004A5EF4" w:rsidP="00200414">
                      <w:pPr>
                        <w:pStyle w:val="DCSbodytext"/>
                        <w:ind w:left="0"/>
                        <w:jc w:val="center"/>
                        <w:rPr>
                          <w:rStyle w:val="Hyperlink"/>
                          <w:rFonts w:ascii="Times New Roman" w:hAnsi="Times New Roman"/>
                          <w:b/>
                          <w:color w:val="auto"/>
                          <w:sz w:val="24"/>
                          <w:u w:val="none"/>
                          <w:lang w:eastAsia="en-AU"/>
                        </w:rPr>
                      </w:pPr>
                      <w:r>
                        <w:rPr>
                          <w:b/>
                        </w:rPr>
                        <w:t>Best practice considerations at this stage in a project</w:t>
                      </w:r>
                    </w:p>
                    <w:p w14:paraId="1911DF4B" w14:textId="77777777" w:rsidR="004A5EF4" w:rsidRDefault="004A5EF4" w:rsidP="00200414">
                      <w:pPr>
                        <w:pStyle w:val="DCSbodytext"/>
                        <w:numPr>
                          <w:ilvl w:val="0"/>
                          <w:numId w:val="166"/>
                        </w:numPr>
                      </w:pPr>
                      <w:r>
                        <w:t>Are you clear on the procurement outcome you want to achieve and the problem you are trying to solve?</w:t>
                      </w:r>
                    </w:p>
                    <w:p w14:paraId="5DB00434" w14:textId="77777777" w:rsidR="004A5EF4" w:rsidRDefault="004A5EF4" w:rsidP="00200414">
                      <w:pPr>
                        <w:pStyle w:val="DCSbodytext"/>
                        <w:numPr>
                          <w:ilvl w:val="0"/>
                          <w:numId w:val="166"/>
                        </w:numPr>
                      </w:pPr>
                      <w:r>
                        <w:t>Do you understand your end user needs? How are these needs reflected in the procurement strategy, specifications and evaluation?</w:t>
                      </w:r>
                    </w:p>
                    <w:p w14:paraId="449E356D" w14:textId="77777777" w:rsidR="004A5EF4" w:rsidRDefault="004A5EF4" w:rsidP="00200414">
                      <w:pPr>
                        <w:pStyle w:val="DCSbodytext"/>
                        <w:numPr>
                          <w:ilvl w:val="0"/>
                          <w:numId w:val="166"/>
                        </w:numPr>
                      </w:pPr>
                      <w:r>
                        <w:t>Do you understand your technology requirements (i.e. bandwidth) and any restrictions (i.e. network availability)?</w:t>
                      </w:r>
                    </w:p>
                    <w:p w14:paraId="04747E14" w14:textId="77777777" w:rsidR="004A5EF4" w:rsidRDefault="004A5EF4" w:rsidP="00200414">
                      <w:pPr>
                        <w:pStyle w:val="DCSbodytext"/>
                        <w:numPr>
                          <w:ilvl w:val="0"/>
                          <w:numId w:val="166"/>
                        </w:numPr>
                        <w:spacing w:after="0"/>
                      </w:pPr>
                      <w:r>
                        <w:t xml:space="preserve">Have you drawn on the necessary expertise in your organisation (or externally) to: </w:t>
                      </w:r>
                    </w:p>
                    <w:p w14:paraId="041572D3" w14:textId="77777777" w:rsidR="004A5EF4" w:rsidRDefault="004A5EF4" w:rsidP="00200414">
                      <w:pPr>
                        <w:pStyle w:val="DCSbodytext"/>
                        <w:numPr>
                          <w:ilvl w:val="1"/>
                          <w:numId w:val="166"/>
                        </w:numPr>
                        <w:spacing w:after="0"/>
                        <w:ind w:left="709" w:hanging="283"/>
                      </w:pPr>
                      <w:r>
                        <w:t>develop your specifications and procurement strategy</w:t>
                      </w:r>
                    </w:p>
                    <w:p w14:paraId="45E2CCE9" w14:textId="77777777" w:rsidR="004A5EF4" w:rsidRDefault="004A5EF4" w:rsidP="00200414">
                      <w:pPr>
                        <w:pStyle w:val="DCSbodytext"/>
                        <w:numPr>
                          <w:ilvl w:val="1"/>
                          <w:numId w:val="166"/>
                        </w:numPr>
                        <w:spacing w:after="0"/>
                        <w:ind w:left="709" w:hanging="283"/>
                      </w:pPr>
                      <w:r>
                        <w:t>design evaluation criteria</w:t>
                      </w:r>
                    </w:p>
                    <w:p w14:paraId="28DBF2B1" w14:textId="77777777" w:rsidR="004A5EF4" w:rsidRPr="00102F55" w:rsidRDefault="004A5EF4" w:rsidP="00200414">
                      <w:pPr>
                        <w:pStyle w:val="DCSbodytext"/>
                        <w:numPr>
                          <w:ilvl w:val="1"/>
                          <w:numId w:val="166"/>
                        </w:numPr>
                        <w:ind w:left="709" w:hanging="284"/>
                      </w:pPr>
                      <w:r>
                        <w:t>evaluate proposals (i.e. on evaluation panel)?</w:t>
                      </w:r>
                    </w:p>
                    <w:p w14:paraId="18FA474C" w14:textId="77777777" w:rsidR="004A5EF4" w:rsidRDefault="004A5EF4" w:rsidP="00200414">
                      <w:pPr>
                        <w:pStyle w:val="DCSbodytext"/>
                        <w:numPr>
                          <w:ilvl w:val="0"/>
                          <w:numId w:val="170"/>
                        </w:numPr>
                      </w:pPr>
                      <w:r>
                        <w:t>Do you understand the capability of existing and potential suppliers? Are they ready, willing and able to respond to specifications?</w:t>
                      </w:r>
                    </w:p>
                    <w:p w14:paraId="548DDDAA" w14:textId="77777777" w:rsidR="004A5EF4" w:rsidRPr="009502EB" w:rsidRDefault="004A5EF4" w:rsidP="00200414">
                      <w:pPr>
                        <w:pStyle w:val="DCSbodytext"/>
                        <w:numPr>
                          <w:ilvl w:val="0"/>
                          <w:numId w:val="170"/>
                        </w:numPr>
                      </w:pPr>
                      <w:r>
                        <w:t>What is the planned approach to market? Why is it the most appropriate means to achieve the desired procurement outcome?</w:t>
                      </w:r>
                    </w:p>
                    <w:p w14:paraId="617D9F4B" w14:textId="77777777" w:rsidR="004A5EF4" w:rsidRDefault="004A5EF4" w:rsidP="00200414">
                      <w:pPr>
                        <w:pStyle w:val="DCSbodytext"/>
                        <w:numPr>
                          <w:ilvl w:val="0"/>
                          <w:numId w:val="170"/>
                        </w:numPr>
                      </w:pPr>
                      <w:r>
                        <w:t xml:space="preserve">Have you identified the procurement risks? How are these risks managed or mitigated through the procurement strategy, approach to market, tender documentation and evaluation? </w:t>
                      </w:r>
                    </w:p>
                    <w:p w14:paraId="2B54E69A" w14:textId="77777777" w:rsidR="004A5EF4" w:rsidRDefault="004A5EF4" w:rsidP="00200414">
                      <w:pPr>
                        <w:pStyle w:val="DCSbodytext"/>
                        <w:numPr>
                          <w:ilvl w:val="0"/>
                          <w:numId w:val="170"/>
                        </w:numPr>
                      </w:pPr>
                      <w:r>
                        <w:t>Have procurement risks been allocated to the party best able to manage the risk, and how is this reflected in the contract?</w:t>
                      </w:r>
                    </w:p>
                    <w:p w14:paraId="731F5A10" w14:textId="77777777" w:rsidR="004A5EF4" w:rsidRDefault="004A5EF4" w:rsidP="00200414">
                      <w:pPr>
                        <w:pStyle w:val="DCSbodytext"/>
                        <w:numPr>
                          <w:ilvl w:val="0"/>
                          <w:numId w:val="170"/>
                        </w:numPr>
                      </w:pPr>
                      <w:r>
                        <w:t>Do your procurement specifications clearly state your data needs, and if you own the data? Do your procurement specifications clearly state your security parameters?</w:t>
                      </w:r>
                    </w:p>
                    <w:p w14:paraId="14CF19E4" w14:textId="77777777" w:rsidR="004A5EF4" w:rsidRPr="00007376" w:rsidRDefault="004A5EF4" w:rsidP="00200414">
                      <w:pPr>
                        <w:pStyle w:val="DCSbodytext"/>
                        <w:numPr>
                          <w:ilvl w:val="0"/>
                          <w:numId w:val="170"/>
                        </w:numPr>
                        <w:ind w:left="357" w:hanging="357"/>
                      </w:pPr>
                      <w:r>
                        <w:t xml:space="preserve">How are your ensuring that your IoT solution is interoperable? </w:t>
                      </w:r>
                    </w:p>
                    <w:p w14:paraId="6820FFE4" w14:textId="77777777" w:rsidR="004A5EF4" w:rsidRDefault="004A5EF4" w:rsidP="00200414">
                      <w:pPr>
                        <w:pStyle w:val="DCSbodytext"/>
                        <w:numPr>
                          <w:ilvl w:val="0"/>
                          <w:numId w:val="166"/>
                        </w:numPr>
                      </w:pPr>
                      <w:r>
                        <w:t>Who is responsible for maintenance and upkeep of the IoT solution and supporting systems, and how is this reflected in the procurement specifications?</w:t>
                      </w:r>
                    </w:p>
                    <w:p w14:paraId="5505B348" w14:textId="77777777" w:rsidR="004A5EF4" w:rsidRDefault="004A5EF4" w:rsidP="00200414">
                      <w:pPr>
                        <w:pStyle w:val="DCSbodytext"/>
                        <w:numPr>
                          <w:ilvl w:val="0"/>
                          <w:numId w:val="166"/>
                        </w:numPr>
                      </w:pPr>
                      <w:r>
                        <w:t>How does your contract deal with re-competition? Is there an exit strategy to ensure that you are not locked into a service provider</w:t>
                      </w:r>
                      <w:r w:rsidRPr="00691EB7">
                        <w:t xml:space="preserve"> </w:t>
                      </w:r>
                      <w:r>
                        <w:t>and/or solution?</w:t>
                      </w:r>
                    </w:p>
                    <w:p w14:paraId="56BBA8BF" w14:textId="77777777" w:rsidR="004A5EF4" w:rsidRPr="007D6822" w:rsidRDefault="004A5EF4" w:rsidP="00200414">
                      <w:pPr>
                        <w:pStyle w:val="DCSbodytext"/>
                        <w:numPr>
                          <w:ilvl w:val="0"/>
                          <w:numId w:val="166"/>
                        </w:numPr>
                      </w:pPr>
                      <w:r>
                        <w:t>Is the proposed IoT solution scalable? If so, how has this been reflected in the contract?</w:t>
                      </w:r>
                    </w:p>
                  </w:txbxContent>
                </v:textbox>
                <w10:anchorlock/>
              </v:shape>
            </w:pict>
          </mc:Fallback>
        </mc:AlternateContent>
      </w:r>
      <w:bookmarkEnd w:id="1374"/>
    </w:p>
    <w:p w14:paraId="6101BCFA" w14:textId="6972BDF0" w:rsidR="00051774" w:rsidRPr="00AC41E0" w:rsidRDefault="00051774" w:rsidP="00D4137E">
      <w:pPr>
        <w:pStyle w:val="Heading2"/>
        <w:tabs>
          <w:tab w:val="num" w:pos="868"/>
        </w:tabs>
        <w:ind w:left="868"/>
        <w:rPr>
          <w:rFonts w:ascii="Arial" w:hAnsi="Arial"/>
        </w:rPr>
      </w:pPr>
      <w:bookmarkStart w:id="1376" w:name="_Toc18336884"/>
      <w:bookmarkStart w:id="1377" w:name="_Toc18338165"/>
      <w:bookmarkStart w:id="1378" w:name="_Toc14690044"/>
      <w:bookmarkStart w:id="1379" w:name="_Toc14692010"/>
      <w:bookmarkStart w:id="1380" w:name="_Toc14694083"/>
      <w:bookmarkStart w:id="1381" w:name="_Toc14694230"/>
      <w:bookmarkStart w:id="1382" w:name="_Toc14695802"/>
      <w:bookmarkStart w:id="1383" w:name="_Toc14701011"/>
      <w:bookmarkStart w:id="1384" w:name="_Toc14702987"/>
      <w:bookmarkStart w:id="1385" w:name="_Toc14709862"/>
      <w:bookmarkStart w:id="1386" w:name="_Toc14768729"/>
      <w:bookmarkStart w:id="1387" w:name="_Toc14771185"/>
      <w:bookmarkStart w:id="1388" w:name="_Toc14771368"/>
      <w:bookmarkStart w:id="1389" w:name="_Toc14771752"/>
      <w:bookmarkStart w:id="1390" w:name="_Toc14771962"/>
      <w:bookmarkStart w:id="1391" w:name="_Toc14774547"/>
      <w:bookmarkStart w:id="1392" w:name="_Toc14775611"/>
      <w:bookmarkStart w:id="1393" w:name="_Toc14775774"/>
      <w:bookmarkStart w:id="1394" w:name="_Toc14776368"/>
      <w:bookmarkStart w:id="1395" w:name="_Toc14777969"/>
      <w:bookmarkStart w:id="1396" w:name="_Toc14778115"/>
      <w:bookmarkStart w:id="1397" w:name="_Technology_for_IoT"/>
      <w:bookmarkStart w:id="1398" w:name="_Appendix_2_-"/>
      <w:bookmarkStart w:id="1399" w:name="_Appendix_3_-"/>
      <w:bookmarkStart w:id="1400" w:name="_Procuring_IoT_Solutions"/>
      <w:bookmarkStart w:id="1401" w:name="_Toc65760551"/>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r w:rsidRPr="00E46FB0">
        <w:rPr>
          <w:rFonts w:ascii="Arial" w:hAnsi="Arial"/>
        </w:rPr>
        <w:lastRenderedPageBreak/>
        <w:t>Procur</w:t>
      </w:r>
      <w:r w:rsidR="00DA5F17" w:rsidRPr="00AC41E0">
        <w:rPr>
          <w:rFonts w:ascii="Arial" w:hAnsi="Arial"/>
        </w:rPr>
        <w:t xml:space="preserve">ing IoT </w:t>
      </w:r>
      <w:r w:rsidR="00564CEE" w:rsidRPr="00AC41E0">
        <w:rPr>
          <w:rFonts w:ascii="Arial" w:hAnsi="Arial"/>
        </w:rPr>
        <w:t>s</w:t>
      </w:r>
      <w:r w:rsidR="00DA5F17" w:rsidRPr="00AC41E0">
        <w:rPr>
          <w:rFonts w:ascii="Arial" w:hAnsi="Arial"/>
        </w:rPr>
        <w:t>olutions</w:t>
      </w:r>
      <w:bookmarkEnd w:id="1401"/>
      <w:r w:rsidR="00DA5F17" w:rsidRPr="00AC41E0">
        <w:rPr>
          <w:rFonts w:ascii="Arial" w:hAnsi="Arial"/>
        </w:rPr>
        <w:t xml:space="preserve"> </w:t>
      </w:r>
    </w:p>
    <w:p w14:paraId="088432AD" w14:textId="0B6EA0CF" w:rsidR="008E1AD3" w:rsidRPr="00AC41E0" w:rsidRDefault="008E1AD3" w:rsidP="00D4137E">
      <w:pPr>
        <w:pStyle w:val="Heading3"/>
        <w:ind w:left="868"/>
        <w:rPr>
          <w:rFonts w:ascii="Arial" w:hAnsi="Arial"/>
        </w:rPr>
      </w:pPr>
      <w:bookmarkStart w:id="1402" w:name="_Toc14272422"/>
      <w:bookmarkStart w:id="1403" w:name="_Toc14341860"/>
      <w:bookmarkStart w:id="1404" w:name="_Toc14365886"/>
      <w:bookmarkStart w:id="1405" w:name="_Toc65760552"/>
      <w:bookmarkStart w:id="1406" w:name="a52"/>
      <w:r w:rsidRPr="00AC41E0">
        <w:rPr>
          <w:rFonts w:ascii="Arial" w:hAnsi="Arial"/>
        </w:rPr>
        <w:t>Procuring IoT</w:t>
      </w:r>
      <w:bookmarkEnd w:id="1402"/>
      <w:bookmarkEnd w:id="1403"/>
      <w:bookmarkEnd w:id="1404"/>
      <w:r w:rsidR="0062375A" w:rsidRPr="00AC41E0">
        <w:rPr>
          <w:rFonts w:ascii="Arial" w:hAnsi="Arial"/>
        </w:rPr>
        <w:t xml:space="preserve"> goods and services</w:t>
      </w:r>
      <w:bookmarkEnd w:id="1405"/>
    </w:p>
    <w:p w14:paraId="5298CF6B" w14:textId="2405E467" w:rsidR="008E1AD3" w:rsidRPr="00AC41E0" w:rsidRDefault="008E1AD3" w:rsidP="00D4137E">
      <w:pPr>
        <w:pStyle w:val="DCSbodytext"/>
        <w:ind w:left="868"/>
        <w:rPr>
          <w:rFonts w:eastAsia="Calibri"/>
        </w:rPr>
      </w:pPr>
      <w:r w:rsidRPr="00AC41E0">
        <w:rPr>
          <w:rFonts w:eastAsia="Calibri"/>
        </w:rPr>
        <w:t xml:space="preserve">The </w:t>
      </w:r>
      <w:hyperlink r:id="rId216" w:history="1">
        <w:r w:rsidRPr="00AC41E0">
          <w:rPr>
            <w:rStyle w:val="Hyperlink"/>
            <w:rFonts w:eastAsia="Calibri"/>
          </w:rPr>
          <w:t>NSW Procurement Policy Framework</w:t>
        </w:r>
      </w:hyperlink>
      <w:r w:rsidRPr="00E46FB0">
        <w:rPr>
          <w:rFonts w:eastAsia="Calibri"/>
        </w:rPr>
        <w:t xml:space="preserve"> defines procurement (or sourcing) as the end-to-end buying process from needs identification to market engagement, contracting and pl</w:t>
      </w:r>
      <w:r w:rsidRPr="00AC41E0">
        <w:rPr>
          <w:rFonts w:eastAsia="Calibri"/>
        </w:rPr>
        <w:t xml:space="preserve">acing orders, managing contracts and </w:t>
      </w:r>
      <w:r w:rsidR="00D31E17" w:rsidRPr="00AC41E0">
        <w:rPr>
          <w:rFonts w:eastAsia="Calibri"/>
        </w:rPr>
        <w:t>service provider</w:t>
      </w:r>
      <w:r w:rsidRPr="00AC41E0">
        <w:rPr>
          <w:rFonts w:eastAsia="Calibri"/>
        </w:rPr>
        <w:t xml:space="preserve"> relationships, and disposing of government assets.</w:t>
      </w:r>
    </w:p>
    <w:p w14:paraId="4B5A1B08" w14:textId="040D13D0" w:rsidR="008E1AD3" w:rsidRPr="00AC41E0" w:rsidRDefault="008E1AD3" w:rsidP="00D4137E">
      <w:pPr>
        <w:pStyle w:val="DCSbodytext"/>
        <w:ind w:left="868"/>
        <w:rPr>
          <w:rFonts w:eastAsia="Calibri"/>
        </w:rPr>
      </w:pPr>
      <w:r w:rsidRPr="00AC41E0">
        <w:rPr>
          <w:rFonts w:eastAsia="Calibri"/>
        </w:rPr>
        <w:t xml:space="preserve">The broad application of IoT, the relative immaturity of the </w:t>
      </w:r>
      <w:r w:rsidR="00D31E17" w:rsidRPr="00AC41E0">
        <w:t xml:space="preserve">IoT service provider </w:t>
      </w:r>
      <w:r w:rsidRPr="00AC41E0">
        <w:rPr>
          <w:rFonts w:eastAsia="Calibri"/>
        </w:rPr>
        <w:t xml:space="preserve">market, and the lack of maturity and capability on the buyer side can make procuring IoT solutions challenging. </w:t>
      </w:r>
    </w:p>
    <w:p w14:paraId="5ACBCF9B" w14:textId="77777777" w:rsidR="008E1AD3" w:rsidRPr="00AC41E0" w:rsidRDefault="008E1AD3" w:rsidP="00D4137E">
      <w:pPr>
        <w:pStyle w:val="Heading3"/>
        <w:ind w:left="868"/>
        <w:rPr>
          <w:rFonts w:ascii="Arial" w:hAnsi="Arial"/>
        </w:rPr>
      </w:pPr>
      <w:bookmarkStart w:id="1407" w:name="_Toc14272424"/>
      <w:bookmarkStart w:id="1408" w:name="_Toc14341862"/>
      <w:bookmarkStart w:id="1409" w:name="_Toc14365888"/>
      <w:bookmarkStart w:id="1410" w:name="_Toc65760553"/>
      <w:r w:rsidRPr="00AC41E0">
        <w:rPr>
          <w:rFonts w:ascii="Arial" w:hAnsi="Arial"/>
        </w:rPr>
        <w:t>Procurement landscape</w:t>
      </w:r>
      <w:bookmarkEnd w:id="1407"/>
      <w:bookmarkEnd w:id="1408"/>
      <w:bookmarkEnd w:id="1409"/>
      <w:bookmarkEnd w:id="1410"/>
    </w:p>
    <w:p w14:paraId="57E85502" w14:textId="1810BA5C" w:rsidR="008E1AD3" w:rsidRPr="00AC41E0" w:rsidRDefault="008E1AD3" w:rsidP="00D4137E">
      <w:pPr>
        <w:pStyle w:val="DCSbodytext"/>
        <w:ind w:left="868"/>
      </w:pPr>
      <w:r w:rsidRPr="00AC41E0">
        <w:rPr>
          <w:rFonts w:eastAsia="Calibri"/>
        </w:rPr>
        <w:t>NSW Government agencies must comply with</w:t>
      </w:r>
      <w:hyperlink r:id="rId217" w:anchor="/view/act/1912/45/part11" w:history="1">
        <w:r w:rsidRPr="00AC41E0">
          <w:rPr>
            <w:rStyle w:val="Hyperlink"/>
            <w:rFonts w:eastAsia="Calibri"/>
          </w:rPr>
          <w:t xml:space="preserve"> Part 11 </w:t>
        </w:r>
        <w:r w:rsidRPr="00AC41E0">
          <w:rPr>
            <w:rStyle w:val="Hyperlink"/>
            <w:rFonts w:eastAsia="Calibri" w:cs="Arial"/>
          </w:rPr>
          <w:t>of the</w:t>
        </w:r>
        <w:r w:rsidRPr="00AC41E0">
          <w:rPr>
            <w:rStyle w:val="Hyperlink"/>
            <w:rFonts w:eastAsia="Calibri"/>
            <w:i/>
          </w:rPr>
          <w:t xml:space="preserve"> </w:t>
        </w:r>
        <w:r w:rsidR="004A1BC5" w:rsidRPr="00AC41E0">
          <w:rPr>
            <w:rStyle w:val="Hyperlink"/>
            <w:i/>
          </w:rPr>
          <w:t xml:space="preserve">Public Works and Procurement Act 1912 </w:t>
        </w:r>
        <w:r w:rsidR="004A1BC5" w:rsidRPr="00AC41E0">
          <w:rPr>
            <w:rStyle w:val="Hyperlink"/>
          </w:rPr>
          <w:t>(NS</w:t>
        </w:r>
        <w:r w:rsidR="0080311A" w:rsidRPr="00AC41E0">
          <w:rPr>
            <w:rStyle w:val="Hyperlink"/>
          </w:rPr>
          <w:t>W)</w:t>
        </w:r>
      </w:hyperlink>
      <w:r w:rsidR="00E634DF" w:rsidRPr="00E46FB0">
        <w:rPr>
          <w:rFonts w:eastAsia="Calibri"/>
        </w:rPr>
        <w:t xml:space="preserve"> </w:t>
      </w:r>
      <w:r w:rsidRPr="00AC41E0">
        <w:rPr>
          <w:rFonts w:eastAsia="Calibri" w:cs="Arial"/>
        </w:rPr>
        <w:t xml:space="preserve">and the </w:t>
      </w:r>
      <w:hyperlink r:id="rId218" w:history="1">
        <w:r w:rsidRPr="00AC41E0">
          <w:rPr>
            <w:rStyle w:val="Hyperlink"/>
            <w:rFonts w:eastAsia="Calibri" w:cs="Arial"/>
          </w:rPr>
          <w:t>NSW Procurement Board’s</w:t>
        </w:r>
      </w:hyperlink>
      <w:r w:rsidRPr="00E46FB0">
        <w:rPr>
          <w:rFonts w:eastAsia="Calibri" w:cs="Arial"/>
        </w:rPr>
        <w:t xml:space="preserve"> policies</w:t>
      </w:r>
      <w:r w:rsidRPr="00AC41E0">
        <w:rPr>
          <w:rFonts w:eastAsia="Calibri"/>
        </w:rPr>
        <w:t xml:space="preserve"> and directions. The </w:t>
      </w:r>
      <w:r w:rsidR="00FC3384" w:rsidRPr="00AC41E0">
        <w:rPr>
          <w:rFonts w:eastAsia="Calibri"/>
        </w:rPr>
        <w:t>NSW Procurement Policy Framework</w:t>
      </w:r>
      <w:r w:rsidRPr="00AC41E0">
        <w:rPr>
          <w:rFonts w:eastAsia="Calibri"/>
        </w:rPr>
        <w:t xml:space="preserve"> sets out government procurement objectives and the Procurement Board’s mandatory requirements. There are no </w:t>
      </w:r>
      <w:r w:rsidRPr="00AC41E0">
        <w:t>exist</w:t>
      </w:r>
      <w:r w:rsidR="00882F31" w:rsidRPr="00AC41E0">
        <w:t>i</w:t>
      </w:r>
      <w:r w:rsidRPr="00AC41E0">
        <w:t>ng NSW Government prequalification schemes or panel arrangements specialis</w:t>
      </w:r>
      <w:r w:rsidR="007A475D" w:rsidRPr="00AC41E0">
        <w:t>ing</w:t>
      </w:r>
      <w:r w:rsidRPr="00AC41E0">
        <w:t xml:space="preserve"> in IoT technology. </w:t>
      </w:r>
    </w:p>
    <w:p w14:paraId="532CFA2E" w14:textId="4FB7416A" w:rsidR="009906DE" w:rsidRPr="00E46FB0" w:rsidRDefault="00084371" w:rsidP="00D4137E">
      <w:pPr>
        <w:pStyle w:val="DCSbodytext"/>
        <w:ind w:left="868"/>
      </w:pPr>
      <w:hyperlink r:id="rId219" w:tgtFrame="_blank" w:history="1">
        <w:r w:rsidR="009906DE" w:rsidRPr="00AC41E0">
          <w:rPr>
            <w:rStyle w:val="normaltextrun"/>
            <w:rFonts w:cs="Arial"/>
            <w:color w:val="000000"/>
            <w:szCs w:val="22"/>
            <w:u w:val="single"/>
            <w:shd w:val="clear" w:color="auto" w:fill="E1E3E6"/>
          </w:rPr>
          <w:t>Procurement Board Direction 2019-05 Enforceable Procurement Provisions</w:t>
        </w:r>
      </w:hyperlink>
      <w:r w:rsidR="009906DE" w:rsidRPr="00E46FB0">
        <w:rPr>
          <w:rStyle w:val="normaltextrun"/>
          <w:rFonts w:ascii="Calibri" w:hAnsi="Calibri" w:cs="Calibri"/>
          <w:color w:val="881798"/>
          <w:szCs w:val="22"/>
          <w:u w:val="single"/>
          <w:shd w:val="clear" w:color="auto" w:fill="FFFFFF"/>
        </w:rPr>
        <w:t> </w:t>
      </w:r>
      <w:r w:rsidR="009906DE" w:rsidRPr="00AC41E0">
        <w:rPr>
          <w:rStyle w:val="normaltextrun"/>
          <w:rFonts w:cs="Arial"/>
          <w:szCs w:val="22"/>
          <w:shd w:val="clear" w:color="auto" w:fill="FFFFFF"/>
        </w:rPr>
        <w:t xml:space="preserve">sets out the obligations for </w:t>
      </w:r>
      <w:r w:rsidR="003063A3" w:rsidRPr="00AC41E0">
        <w:rPr>
          <w:rStyle w:val="normaltextrun"/>
          <w:rFonts w:cs="Arial"/>
          <w:szCs w:val="22"/>
          <w:shd w:val="clear" w:color="auto" w:fill="FFFFFF"/>
        </w:rPr>
        <w:t xml:space="preserve">NSW Government </w:t>
      </w:r>
      <w:r w:rsidR="009906DE" w:rsidRPr="00AC41E0">
        <w:rPr>
          <w:rStyle w:val="normaltextrun"/>
          <w:rFonts w:cs="Arial"/>
          <w:szCs w:val="22"/>
          <w:shd w:val="clear" w:color="auto" w:fill="FFFFFF"/>
        </w:rPr>
        <w:t>agencies arising from free trade and other international agreements</w:t>
      </w:r>
      <w:r w:rsidR="009906DE" w:rsidRPr="00AC41E0">
        <w:rPr>
          <w:rStyle w:val="normaltextrun"/>
          <w:rFonts w:ascii="Calibri" w:hAnsi="Calibri" w:cs="Calibri"/>
          <w:szCs w:val="22"/>
          <w:shd w:val="clear" w:color="auto" w:fill="FFFFFF"/>
        </w:rPr>
        <w:t>. </w:t>
      </w:r>
      <w:r w:rsidR="009906DE" w:rsidRPr="00AC41E0">
        <w:rPr>
          <w:rStyle w:val="normaltextrun"/>
          <w:rFonts w:cs="Arial"/>
          <w:szCs w:val="22"/>
          <w:shd w:val="clear" w:color="auto" w:fill="FFFFFF"/>
        </w:rPr>
        <w:t>These obligations can be legally enforced by suppliers, including seeking an injunction or compensation in the Supreme Court for an alleged breach</w:t>
      </w:r>
      <w:r w:rsidR="009906DE" w:rsidRPr="00AC41E0">
        <w:rPr>
          <w:rStyle w:val="normaltextrun"/>
          <w:rFonts w:ascii="Calibri" w:hAnsi="Calibri" w:cs="Calibri"/>
          <w:szCs w:val="22"/>
          <w:shd w:val="clear" w:color="auto" w:fill="FFFFFF"/>
        </w:rPr>
        <w:t>.</w:t>
      </w:r>
      <w:r w:rsidR="009906DE" w:rsidRPr="00AC41E0">
        <w:rPr>
          <w:rStyle w:val="normaltextrun"/>
          <w:rFonts w:cs="Arial"/>
          <w:szCs w:val="22"/>
          <w:shd w:val="clear" w:color="auto" w:fill="FFFFFF"/>
        </w:rPr>
        <w:t> For procurements over the thresholds in the</w:t>
      </w:r>
      <w:r w:rsidR="002F0272" w:rsidRPr="00AC41E0">
        <w:rPr>
          <w:rStyle w:val="normaltextrun"/>
          <w:rFonts w:cs="Arial"/>
          <w:szCs w:val="22"/>
          <w:shd w:val="clear" w:color="auto" w:fill="FFFFFF"/>
        </w:rPr>
        <w:t xml:space="preserve"> D</w:t>
      </w:r>
      <w:r w:rsidR="009906DE" w:rsidRPr="00AC41E0">
        <w:rPr>
          <w:rStyle w:val="normaltextrun"/>
          <w:rFonts w:cs="Arial"/>
          <w:szCs w:val="22"/>
          <w:shd w:val="clear" w:color="auto" w:fill="FFFFFF"/>
        </w:rPr>
        <w:t>irection</w:t>
      </w:r>
      <w:r w:rsidR="009906DE" w:rsidRPr="00AC41E0">
        <w:rPr>
          <w:rStyle w:val="normaltextrun"/>
          <w:rFonts w:ascii="Calibri" w:hAnsi="Calibri" w:cs="Calibri"/>
          <w:szCs w:val="22"/>
          <w:shd w:val="clear" w:color="auto" w:fill="FFFFFF"/>
        </w:rPr>
        <w:t>, </w:t>
      </w:r>
      <w:r w:rsidR="009906DE" w:rsidRPr="00AC41E0">
        <w:rPr>
          <w:rStyle w:val="normaltextrun"/>
          <w:rFonts w:cs="Arial"/>
          <w:szCs w:val="22"/>
          <w:shd w:val="clear" w:color="auto" w:fill="FFFFFF"/>
        </w:rPr>
        <w:t>agencies must ensure their procurement process complies with these obligations.</w:t>
      </w:r>
      <w:r w:rsidR="009906DE" w:rsidRPr="00AC41E0">
        <w:rPr>
          <w:rStyle w:val="normaltextrun"/>
          <w:rFonts w:ascii="Calibri" w:hAnsi="Calibri" w:cs="Calibri"/>
          <w:szCs w:val="22"/>
          <w:shd w:val="clear" w:color="auto" w:fill="FFFFFF"/>
        </w:rPr>
        <w:t> </w:t>
      </w:r>
      <w:r w:rsidR="009906DE" w:rsidRPr="00AC41E0">
        <w:rPr>
          <w:rStyle w:val="eop"/>
          <w:rFonts w:ascii="Calibri" w:hAnsi="Calibri" w:cs="Calibri"/>
          <w:szCs w:val="22"/>
          <w:shd w:val="clear" w:color="auto" w:fill="FFFFFF"/>
        </w:rPr>
        <w:t> </w:t>
      </w:r>
    </w:p>
    <w:p w14:paraId="09E893D2" w14:textId="58EDB6CF" w:rsidR="00DE4ABA" w:rsidRPr="00AC41E0" w:rsidRDefault="008E1AD3" w:rsidP="00D4137E">
      <w:pPr>
        <w:pStyle w:val="DCSbodytext"/>
        <w:ind w:left="868"/>
        <w:rPr>
          <w:rFonts w:eastAsia="Calibri"/>
        </w:rPr>
      </w:pPr>
      <w:r w:rsidRPr="00AC41E0">
        <w:rPr>
          <w:rFonts w:eastAsia="Calibri"/>
        </w:rPr>
        <w:t xml:space="preserve">Local </w:t>
      </w:r>
      <w:r w:rsidR="002451CB" w:rsidRPr="00AC41E0">
        <w:rPr>
          <w:rFonts w:eastAsia="Calibri"/>
        </w:rPr>
        <w:t>c</w:t>
      </w:r>
      <w:r w:rsidRPr="00AC41E0">
        <w:rPr>
          <w:rFonts w:eastAsia="Calibri"/>
        </w:rPr>
        <w:t xml:space="preserve">ouncils are not governed by the NSW Procurement Board and are therefore not required to follow the NSW Procurement Policy Framework or the Procurement Board Directions. </w:t>
      </w:r>
    </w:p>
    <w:p w14:paraId="0712168E" w14:textId="2E1F0E00" w:rsidR="008E1AD3" w:rsidRPr="00AC41E0" w:rsidRDefault="008E1AD3" w:rsidP="00D4137E">
      <w:pPr>
        <w:pStyle w:val="DCSbodytext"/>
        <w:ind w:left="868"/>
      </w:pPr>
      <w:r w:rsidRPr="00AC41E0">
        <w:t xml:space="preserve">Local </w:t>
      </w:r>
      <w:r w:rsidR="0022351B" w:rsidRPr="00AC41E0">
        <w:t>c</w:t>
      </w:r>
      <w:r w:rsidRPr="00AC41E0">
        <w:t xml:space="preserve">ouncils must comply with </w:t>
      </w:r>
      <w:hyperlink r:id="rId220" w:anchor="/view/act/1993/30/chap6/part3/div1/sec55" w:history="1">
        <w:r w:rsidRPr="00AC41E0">
          <w:rPr>
            <w:rStyle w:val="Hyperlink"/>
            <w:rFonts w:eastAsia="Calibri"/>
          </w:rPr>
          <w:t xml:space="preserve">section 55 of the </w:t>
        </w:r>
        <w:r w:rsidRPr="00AC41E0">
          <w:rPr>
            <w:rStyle w:val="Hyperlink"/>
            <w:rFonts w:eastAsia="Calibri"/>
            <w:i/>
          </w:rPr>
          <w:t>Local Government Act 199</w:t>
        </w:r>
        <w:r w:rsidR="00CF206A" w:rsidRPr="00AC41E0">
          <w:rPr>
            <w:rStyle w:val="Hyperlink"/>
            <w:rFonts w:eastAsia="Calibri"/>
            <w:i/>
          </w:rPr>
          <w:t>3</w:t>
        </w:r>
        <w:r w:rsidR="00CF206A" w:rsidRPr="00AC41E0">
          <w:rPr>
            <w:rStyle w:val="Hyperlink"/>
            <w:rFonts w:eastAsia="Calibri"/>
          </w:rPr>
          <w:t xml:space="preserve"> (NSW)</w:t>
        </w:r>
      </w:hyperlink>
      <w:r w:rsidRPr="00E46FB0">
        <w:rPr>
          <w:rFonts w:eastAsia="Calibri"/>
        </w:rPr>
        <w:t xml:space="preserve"> and </w:t>
      </w:r>
      <w:hyperlink r:id="rId221" w:anchor="/view/regulation/2005/487/part7" w:history="1">
        <w:r w:rsidR="00FB3332" w:rsidRPr="00AC41E0">
          <w:rPr>
            <w:rStyle w:val="Hyperlink"/>
            <w:rFonts w:eastAsia="Calibri"/>
          </w:rPr>
          <w:t xml:space="preserve">Local Government </w:t>
        </w:r>
        <w:r w:rsidR="0022351B" w:rsidRPr="00AC41E0">
          <w:rPr>
            <w:rStyle w:val="Hyperlink"/>
            <w:rFonts w:eastAsia="Calibri"/>
          </w:rPr>
          <w:t>(</w:t>
        </w:r>
        <w:r w:rsidR="00FB3332" w:rsidRPr="00AC41E0">
          <w:rPr>
            <w:rStyle w:val="Hyperlink"/>
            <w:rFonts w:eastAsia="Calibri"/>
          </w:rPr>
          <w:t xml:space="preserve">General) Regulation </w:t>
        </w:r>
        <w:r w:rsidR="0022351B" w:rsidRPr="00AC41E0">
          <w:rPr>
            <w:rStyle w:val="Hyperlink"/>
            <w:rFonts w:eastAsia="Calibri"/>
          </w:rPr>
          <w:t>2005 (NSW)</w:t>
        </w:r>
      </w:hyperlink>
      <w:r w:rsidRPr="00E46FB0">
        <w:rPr>
          <w:rFonts w:eastAsia="Calibri"/>
        </w:rPr>
        <w:t xml:space="preserve">. This requires </w:t>
      </w:r>
      <w:r w:rsidR="000810A2" w:rsidRPr="00AC41E0">
        <w:rPr>
          <w:rFonts w:eastAsia="Calibri"/>
        </w:rPr>
        <w:t>c</w:t>
      </w:r>
      <w:r w:rsidRPr="00AC41E0">
        <w:rPr>
          <w:rFonts w:eastAsia="Calibri"/>
        </w:rPr>
        <w:t>ouncils to tender for contracts over $250,000 (incl</w:t>
      </w:r>
      <w:r w:rsidR="00FE3DF5" w:rsidRPr="00AC41E0">
        <w:rPr>
          <w:rFonts w:eastAsia="Calibri"/>
        </w:rPr>
        <w:t>uding</w:t>
      </w:r>
      <w:r w:rsidRPr="00AC41E0">
        <w:rPr>
          <w:rFonts w:eastAsia="Calibri"/>
        </w:rPr>
        <w:t xml:space="preserve"> GST) unless they procure from a NSW Government panel or NSW Government prequalification scheme (a list of NSW Government panels and prequalification schemes can be </w:t>
      </w:r>
      <w:r w:rsidRPr="00AC41E0">
        <w:rPr>
          <w:rFonts w:eastAsia="Calibri" w:cs="Arial"/>
        </w:rPr>
        <w:t>found</w:t>
      </w:r>
      <w:r w:rsidR="00303210" w:rsidRPr="00AC41E0">
        <w:rPr>
          <w:rFonts w:eastAsia="Calibri" w:cs="Arial"/>
        </w:rPr>
        <w:t xml:space="preserve"> </w:t>
      </w:r>
      <w:hyperlink r:id="rId222" w:history="1">
        <w:r w:rsidR="00303210" w:rsidRPr="00AC41E0">
          <w:rPr>
            <w:rStyle w:val="Hyperlink"/>
            <w:rFonts w:eastAsia="Calibri" w:cs="Arial"/>
          </w:rPr>
          <w:t>here</w:t>
        </w:r>
      </w:hyperlink>
      <w:r w:rsidRPr="00E46FB0">
        <w:rPr>
          <w:rFonts w:eastAsia="Calibri"/>
        </w:rPr>
        <w:t>).</w:t>
      </w:r>
    </w:p>
    <w:p w14:paraId="5BF7FD7B" w14:textId="518179FD" w:rsidR="008E1AD3" w:rsidRPr="00AC41E0" w:rsidRDefault="005F34EA" w:rsidP="00D4137E">
      <w:pPr>
        <w:pStyle w:val="Heading3"/>
        <w:ind w:left="868"/>
        <w:rPr>
          <w:rFonts w:ascii="Arial" w:hAnsi="Arial"/>
        </w:rPr>
      </w:pPr>
      <w:bookmarkStart w:id="1411" w:name="_Toc65760554"/>
      <w:r w:rsidRPr="00AC41E0">
        <w:rPr>
          <w:rFonts w:ascii="Arial" w:hAnsi="Arial"/>
        </w:rPr>
        <w:t>C</w:t>
      </w:r>
      <w:r w:rsidR="008E1AD3" w:rsidRPr="00AC41E0">
        <w:rPr>
          <w:rFonts w:ascii="Arial" w:hAnsi="Arial"/>
        </w:rPr>
        <w:t>ontacts for procurement</w:t>
      </w:r>
      <w:bookmarkEnd w:id="1411"/>
    </w:p>
    <w:p w14:paraId="53C444DA" w14:textId="0168A808" w:rsidR="008E1AD3" w:rsidRPr="00AC41E0" w:rsidRDefault="00AD471A" w:rsidP="0042728A">
      <w:pPr>
        <w:pStyle w:val="DCSbodytext"/>
        <w:spacing w:after="120"/>
        <w:ind w:left="868"/>
      </w:pPr>
      <w:r w:rsidRPr="00AC41E0">
        <w:rPr>
          <w:rFonts w:eastAsia="Calibri"/>
        </w:rPr>
        <w:t>These</w:t>
      </w:r>
      <w:r w:rsidR="004F3C6A" w:rsidRPr="00AC41E0">
        <w:rPr>
          <w:rFonts w:eastAsia="Calibri"/>
        </w:rPr>
        <w:t xml:space="preserve"> resources can help you </w:t>
      </w:r>
      <w:r w:rsidR="00292E1F" w:rsidRPr="00AC41E0">
        <w:rPr>
          <w:rFonts w:eastAsia="Calibri"/>
        </w:rPr>
        <w:t xml:space="preserve">with </w:t>
      </w:r>
      <w:r w:rsidR="008E1AD3" w:rsidRPr="00AC41E0">
        <w:rPr>
          <w:rFonts w:eastAsia="Calibri"/>
        </w:rPr>
        <w:t>your procurement journey:</w:t>
      </w:r>
    </w:p>
    <w:p w14:paraId="2B9251FD" w14:textId="75475598" w:rsidR="008E1AD3" w:rsidRPr="00AC41E0" w:rsidRDefault="008E1AD3" w:rsidP="00D978A4">
      <w:pPr>
        <w:pStyle w:val="DCSbodytext"/>
        <w:numPr>
          <w:ilvl w:val="0"/>
          <w:numId w:val="55"/>
        </w:numPr>
        <w:spacing w:after="120"/>
        <w:ind w:left="1228"/>
      </w:pPr>
      <w:r w:rsidRPr="00AC41E0">
        <w:rPr>
          <w:rFonts w:eastAsia="Calibri"/>
        </w:rPr>
        <w:t xml:space="preserve">NSW Government agencies can contact </w:t>
      </w:r>
      <w:r w:rsidR="00FF733F" w:rsidRPr="00AC41E0">
        <w:rPr>
          <w:rFonts w:eastAsia="Calibri"/>
        </w:rPr>
        <w:t xml:space="preserve">your </w:t>
      </w:r>
      <w:r w:rsidRPr="00AC41E0">
        <w:rPr>
          <w:rFonts w:eastAsia="Calibri"/>
        </w:rPr>
        <w:t>cluster’s Chief Procurement Officer for tailored advice and information on the procurement processes and resources available in your agency</w:t>
      </w:r>
      <w:r w:rsidR="00B76440" w:rsidRPr="00AC41E0">
        <w:rPr>
          <w:rFonts w:eastAsia="Calibri"/>
        </w:rPr>
        <w:t>.</w:t>
      </w:r>
    </w:p>
    <w:p w14:paraId="2C0DB788" w14:textId="7D53BB7A" w:rsidR="008E1AD3" w:rsidRPr="00AC41E0" w:rsidRDefault="00084371" w:rsidP="00D978A4">
      <w:pPr>
        <w:pStyle w:val="DCSbodytext"/>
        <w:numPr>
          <w:ilvl w:val="0"/>
          <w:numId w:val="55"/>
        </w:numPr>
        <w:spacing w:after="120"/>
        <w:ind w:left="1225" w:hanging="357"/>
      </w:pPr>
      <w:hyperlink r:id="rId223" w:history="1">
        <w:r w:rsidR="00481535" w:rsidRPr="00AC41E0">
          <w:rPr>
            <w:rStyle w:val="Hyperlink"/>
          </w:rPr>
          <w:t>buy.nsw</w:t>
        </w:r>
      </w:hyperlink>
      <w:r w:rsidR="008E1AD3" w:rsidRPr="00E46FB0">
        <w:t xml:space="preserve"> is your </w:t>
      </w:r>
      <w:r w:rsidR="00292E1F" w:rsidRPr="00AC41E0">
        <w:t>one-</w:t>
      </w:r>
      <w:r w:rsidR="008E1AD3" w:rsidRPr="00AC41E0">
        <w:t>stop shop for all NSW Government procurement information. It is where all whole</w:t>
      </w:r>
      <w:r w:rsidR="00B76440" w:rsidRPr="00AC41E0">
        <w:t xml:space="preserve"> </w:t>
      </w:r>
      <w:r w:rsidR="008E1AD3" w:rsidRPr="00AC41E0">
        <w:t>of</w:t>
      </w:r>
      <w:r w:rsidR="00A7628A" w:rsidRPr="00AC41E0">
        <w:t xml:space="preserve"> </w:t>
      </w:r>
      <w:r w:rsidR="008E1AD3" w:rsidRPr="00AC41E0">
        <w:t xml:space="preserve">government procurement policy, guidance and training is published. </w:t>
      </w:r>
    </w:p>
    <w:p w14:paraId="2546B44D" w14:textId="68F88ACE" w:rsidR="008E1AD3" w:rsidRPr="00AC41E0" w:rsidRDefault="008E1AD3" w:rsidP="00D978A4">
      <w:pPr>
        <w:pStyle w:val="DCSbodytext"/>
        <w:numPr>
          <w:ilvl w:val="0"/>
          <w:numId w:val="55"/>
        </w:numPr>
        <w:spacing w:after="120"/>
        <w:ind w:left="1225" w:hanging="357"/>
      </w:pPr>
      <w:r w:rsidRPr="00AC41E0">
        <w:t>The</w:t>
      </w:r>
      <w:hyperlink r:id="rId224" w:history="1">
        <w:r w:rsidRPr="00AC41E0">
          <w:rPr>
            <w:rStyle w:val="Hyperlink"/>
          </w:rPr>
          <w:t xml:space="preserve"> NSW Procurement Service Centre</w:t>
        </w:r>
      </w:hyperlink>
      <w:r w:rsidRPr="00E46FB0">
        <w:t xml:space="preserve"> can provide general advice on whole of government procurement policy, Board Directions, whole of government contracts and prequalification schemes.</w:t>
      </w:r>
    </w:p>
    <w:p w14:paraId="5B667129" w14:textId="42FD30AB" w:rsidR="00A7628A" w:rsidRPr="00AC41E0" w:rsidRDefault="00A7628A" w:rsidP="00D978A4">
      <w:pPr>
        <w:pStyle w:val="DCSbodytext"/>
        <w:numPr>
          <w:ilvl w:val="0"/>
          <w:numId w:val="55"/>
        </w:numPr>
        <w:spacing w:after="120"/>
        <w:ind w:left="1228"/>
      </w:pPr>
      <w:r w:rsidRPr="00AC41E0">
        <w:t>Local councils can contact your internal procurement teams of Regional Organisations of Councils (ROCs) for procurement support.</w:t>
      </w:r>
    </w:p>
    <w:p w14:paraId="247FA3EC" w14:textId="77777777" w:rsidR="008E1AD3" w:rsidRPr="00AC41E0" w:rsidRDefault="008E1AD3" w:rsidP="00D4137E">
      <w:pPr>
        <w:pStyle w:val="Heading3"/>
        <w:ind w:left="868"/>
        <w:rPr>
          <w:rFonts w:ascii="Arial" w:hAnsi="Arial"/>
        </w:rPr>
      </w:pPr>
      <w:bookmarkStart w:id="1412" w:name="_Toc14272425"/>
      <w:bookmarkStart w:id="1413" w:name="_Toc14341863"/>
      <w:bookmarkStart w:id="1414" w:name="_Toc14365889"/>
      <w:bookmarkStart w:id="1415" w:name="_Toc65760555"/>
      <w:r w:rsidRPr="00AC41E0">
        <w:rPr>
          <w:rFonts w:ascii="Arial" w:hAnsi="Arial"/>
        </w:rPr>
        <w:t>How do I procure?</w:t>
      </w:r>
      <w:bookmarkEnd w:id="1412"/>
      <w:bookmarkEnd w:id="1413"/>
      <w:bookmarkEnd w:id="1414"/>
      <w:bookmarkEnd w:id="1415"/>
    </w:p>
    <w:p w14:paraId="4FC0662E" w14:textId="77777777" w:rsidR="008E1AD3" w:rsidRPr="00AC41E0" w:rsidRDefault="008E1AD3" w:rsidP="00D4137E">
      <w:pPr>
        <w:pStyle w:val="Heading4"/>
        <w:tabs>
          <w:tab w:val="clear" w:pos="1588"/>
          <w:tab w:val="num" w:pos="1662"/>
        </w:tabs>
        <w:ind w:left="1662"/>
        <w:rPr>
          <w:rFonts w:ascii="Arial" w:hAnsi="Arial"/>
        </w:rPr>
      </w:pPr>
      <w:bookmarkStart w:id="1416" w:name="_Toc14272426"/>
      <w:bookmarkStart w:id="1417" w:name="_Toc14341864"/>
      <w:bookmarkStart w:id="1418" w:name="_Toc14365890"/>
      <w:r w:rsidRPr="00AC41E0">
        <w:rPr>
          <w:rFonts w:ascii="Arial" w:hAnsi="Arial"/>
        </w:rPr>
        <w:t>What is a best practice procurement process?</w:t>
      </w:r>
      <w:bookmarkEnd w:id="1416"/>
      <w:bookmarkEnd w:id="1417"/>
      <w:bookmarkEnd w:id="1418"/>
    </w:p>
    <w:p w14:paraId="231CDD90" w14:textId="582DBBB2" w:rsidR="008E1AD3" w:rsidRPr="00AC41E0" w:rsidRDefault="008E1AD3" w:rsidP="00D4137E">
      <w:pPr>
        <w:pStyle w:val="DCSbodytext"/>
        <w:ind w:left="868"/>
      </w:pPr>
      <w:r w:rsidRPr="00AC41E0">
        <w:t>Procurement involves three broad stages</w:t>
      </w:r>
      <w:r w:rsidR="00106E76" w:rsidRPr="00AC41E0">
        <w:t xml:space="preserve"> – </w:t>
      </w:r>
      <w:r w:rsidRPr="00AC41E0">
        <w:t xml:space="preserve">plan, source, manage.  Use the </w:t>
      </w:r>
      <w:hyperlink r:id="rId225">
        <w:r w:rsidRPr="00AC41E0">
          <w:rPr>
            <w:rStyle w:val="Hyperlink"/>
          </w:rPr>
          <w:t>NSW Procurement approach</w:t>
        </w:r>
      </w:hyperlink>
      <w:r w:rsidRPr="00E46FB0">
        <w:t xml:space="preserve"> for a step-by-step guide to best practice procurement.</w:t>
      </w:r>
    </w:p>
    <w:p w14:paraId="51E30193" w14:textId="34804E4C" w:rsidR="008E1AD3" w:rsidRPr="00AC41E0" w:rsidRDefault="008E1AD3" w:rsidP="00D4137E">
      <w:pPr>
        <w:pStyle w:val="DCSbodytext"/>
        <w:ind w:left="868"/>
        <w:jc w:val="center"/>
        <w:rPr>
          <w:b/>
        </w:rPr>
      </w:pPr>
      <w:r w:rsidRPr="00AC41E0">
        <w:rPr>
          <w:b/>
        </w:rPr>
        <w:t>The three stages of procurement</w:t>
      </w:r>
    </w:p>
    <w:p w14:paraId="18D66639" w14:textId="13DE9A4A" w:rsidR="00961456" w:rsidRPr="00E46FB0" w:rsidRDefault="00961456" w:rsidP="00110CB8">
      <w:pPr>
        <w:pStyle w:val="Heading4"/>
        <w:numPr>
          <w:ilvl w:val="3"/>
          <w:numId w:val="0"/>
        </w:numPr>
        <w:ind w:left="1588" w:hanging="794"/>
        <w:jc w:val="center"/>
        <w:rPr>
          <w:rFonts w:ascii="Arial" w:hAnsi="Arial"/>
        </w:rPr>
      </w:pPr>
      <w:r w:rsidRPr="00E46FB0">
        <w:rPr>
          <w:noProof/>
        </w:rPr>
        <w:drawing>
          <wp:inline distT="0" distB="0" distL="0" distR="0" wp14:anchorId="5DD1BBFB" wp14:editId="1EAE1CA6">
            <wp:extent cx="4683127" cy="3742055"/>
            <wp:effectExtent l="0" t="0" r="3175" b="0"/>
            <wp:docPr id="531754519" name="Picture 1" descr="Three stages are plan, source and manage. Plan includes analyse business needs, analyse and engage market, finalise procurement strategy. Source includes approach the market, select and negotiate award. Manage includes implement arrangement, manage arrangement and re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6">
                      <a:extLst>
                        <a:ext uri="{28A0092B-C50C-407E-A947-70E740481C1C}">
                          <a14:useLocalDpi xmlns:a14="http://schemas.microsoft.com/office/drawing/2010/main" val="0"/>
                        </a:ext>
                      </a:extLst>
                    </a:blip>
                    <a:stretch>
                      <a:fillRect/>
                    </a:stretch>
                  </pic:blipFill>
                  <pic:spPr>
                    <a:xfrm>
                      <a:off x="0" y="0"/>
                      <a:ext cx="4683127" cy="3742055"/>
                    </a:xfrm>
                    <a:prstGeom prst="rect">
                      <a:avLst/>
                    </a:prstGeom>
                  </pic:spPr>
                </pic:pic>
              </a:graphicData>
            </a:graphic>
          </wp:inline>
        </w:drawing>
      </w:r>
    </w:p>
    <w:p w14:paraId="447CF514" w14:textId="5B77AA8A" w:rsidR="008E1AD3" w:rsidRPr="00AC41E0" w:rsidRDefault="008E1AD3" w:rsidP="00D4137E">
      <w:pPr>
        <w:pStyle w:val="Heading4"/>
        <w:tabs>
          <w:tab w:val="clear" w:pos="1588"/>
          <w:tab w:val="num" w:pos="1662"/>
        </w:tabs>
        <w:ind w:left="1662"/>
        <w:rPr>
          <w:rFonts w:ascii="Arial" w:hAnsi="Arial"/>
        </w:rPr>
      </w:pPr>
      <w:r w:rsidRPr="00AC41E0">
        <w:rPr>
          <w:rFonts w:ascii="Arial" w:hAnsi="Arial"/>
        </w:rPr>
        <w:t>Managing challenges in the procurement process</w:t>
      </w:r>
    </w:p>
    <w:p w14:paraId="08D2CD85" w14:textId="02657F45" w:rsidR="008E1AD3" w:rsidRPr="00AC41E0" w:rsidRDefault="008E1AD3" w:rsidP="00D4137E">
      <w:pPr>
        <w:pStyle w:val="DCSbodytext"/>
        <w:ind w:left="868"/>
      </w:pPr>
      <w:r w:rsidRPr="00AC41E0">
        <w:t>Key challenges in the procurement process</w:t>
      </w:r>
      <w:r w:rsidR="00B46108" w:rsidRPr="00AC41E0">
        <w:t xml:space="preserve"> for IoT</w:t>
      </w:r>
      <w:r w:rsidRPr="00AC41E0">
        <w:t xml:space="preserve"> are:</w:t>
      </w:r>
    </w:p>
    <w:p w14:paraId="1A232536" w14:textId="3D86F12E" w:rsidR="008E1AD3" w:rsidRPr="00AC41E0" w:rsidRDefault="008E1AD3" w:rsidP="00D978A4">
      <w:pPr>
        <w:pStyle w:val="DCSbullet"/>
        <w:numPr>
          <w:ilvl w:val="0"/>
          <w:numId w:val="46"/>
        </w:numPr>
        <w:tabs>
          <w:tab w:val="clear" w:pos="1361"/>
          <w:tab w:val="num" w:pos="1435"/>
        </w:tabs>
        <w:spacing w:line="276" w:lineRule="auto"/>
        <w:ind w:left="1435"/>
        <w:rPr>
          <w:i/>
        </w:rPr>
      </w:pPr>
      <w:r w:rsidRPr="00AC41E0">
        <w:rPr>
          <w:i/>
        </w:rPr>
        <w:t>You may need to procure a combination of hardware, software</w:t>
      </w:r>
      <w:r w:rsidR="00292E1F" w:rsidRPr="00AC41E0">
        <w:rPr>
          <w:i/>
        </w:rPr>
        <w:t>,</w:t>
      </w:r>
      <w:r w:rsidRPr="00AC41E0">
        <w:rPr>
          <w:i/>
        </w:rPr>
        <w:t xml:space="preserve"> and services</w:t>
      </w:r>
    </w:p>
    <w:p w14:paraId="51573D71" w14:textId="0AD0229B" w:rsidR="008E1AD3" w:rsidRPr="00AC41E0" w:rsidRDefault="008E1AD3" w:rsidP="00D4137E">
      <w:pPr>
        <w:pStyle w:val="DCSbodytext"/>
        <w:ind w:left="1435"/>
      </w:pPr>
      <w:r w:rsidRPr="00AC41E0">
        <w:t xml:space="preserve">Ensure your procurement process considers the whole of life costs, including any external support needed to maintain the IoT solution or service. For </w:t>
      </w:r>
      <w:r w:rsidRPr="00AC41E0">
        <w:lastRenderedPageBreak/>
        <w:t xml:space="preserve">example, the </w:t>
      </w:r>
      <w:r w:rsidR="005B2DB3" w:rsidRPr="00AC41E0">
        <w:t xml:space="preserve">IoT service provider </w:t>
      </w:r>
      <w:r w:rsidRPr="00AC41E0">
        <w:t xml:space="preserve">may collect, store and analyse the data captured for your organisation. </w:t>
      </w:r>
    </w:p>
    <w:p w14:paraId="1ADCF411" w14:textId="77777777" w:rsidR="008E1AD3" w:rsidRPr="00AC41E0" w:rsidRDefault="008E1AD3" w:rsidP="00D978A4">
      <w:pPr>
        <w:pStyle w:val="DCSbullet"/>
        <w:numPr>
          <w:ilvl w:val="0"/>
          <w:numId w:val="46"/>
        </w:numPr>
        <w:tabs>
          <w:tab w:val="clear" w:pos="1361"/>
          <w:tab w:val="num" w:pos="1435"/>
        </w:tabs>
        <w:spacing w:line="276" w:lineRule="auto"/>
        <w:ind w:left="1435"/>
        <w:rPr>
          <w:i/>
        </w:rPr>
      </w:pPr>
      <w:r w:rsidRPr="00AC41E0">
        <w:rPr>
          <w:i/>
        </w:rPr>
        <w:t>Ensuring your procurement strategy supports industry participation</w:t>
      </w:r>
    </w:p>
    <w:p w14:paraId="298BE5C0" w14:textId="7DC366F8" w:rsidR="008E1AD3" w:rsidRPr="00AC41E0" w:rsidRDefault="005B2DB3" w:rsidP="00D4137E">
      <w:pPr>
        <w:pStyle w:val="DCSbodytext"/>
        <w:ind w:left="1435"/>
      </w:pPr>
      <w:r w:rsidRPr="00AC41E0">
        <w:t xml:space="preserve">IoT service providers </w:t>
      </w:r>
      <w:r w:rsidR="008E1AD3" w:rsidRPr="00AC41E0">
        <w:t xml:space="preserve">must be ready and able to meet your procurement needs. Early industry engagement activities can help you to understand </w:t>
      </w:r>
      <w:r w:rsidR="00D31E17" w:rsidRPr="00AC41E0">
        <w:t xml:space="preserve">IoT service provider </w:t>
      </w:r>
      <w:r w:rsidR="008E1AD3" w:rsidRPr="00AC41E0">
        <w:t xml:space="preserve">capability prior to releasing a tender (see the </w:t>
      </w:r>
      <w:hyperlink r:id="rId227" w:history="1">
        <w:r w:rsidR="008E1AD3" w:rsidRPr="00AC41E0">
          <w:rPr>
            <w:rStyle w:val="Hyperlink"/>
          </w:rPr>
          <w:t>nine key steps of industry engagement</w:t>
        </w:r>
      </w:hyperlink>
      <w:r w:rsidR="008E1AD3" w:rsidRPr="00E46FB0">
        <w:t xml:space="preserve">). You also need to select the best approach to market for your procurement needs (see the </w:t>
      </w:r>
      <w:hyperlink r:id="rId228" w:history="1">
        <w:r w:rsidR="008E1AD3" w:rsidRPr="00AC41E0">
          <w:rPr>
            <w:rStyle w:val="Hyperlink"/>
          </w:rPr>
          <w:t>Market Approaches Guide</w:t>
        </w:r>
      </w:hyperlink>
      <w:r w:rsidR="008E1AD3" w:rsidRPr="00E46FB0">
        <w:t xml:space="preserve">). </w:t>
      </w:r>
    </w:p>
    <w:p w14:paraId="76F9CBB7" w14:textId="77777777" w:rsidR="008E1AD3" w:rsidRPr="00AC41E0" w:rsidRDefault="008E1AD3" w:rsidP="00D978A4">
      <w:pPr>
        <w:pStyle w:val="DCSbullet"/>
        <w:numPr>
          <w:ilvl w:val="0"/>
          <w:numId w:val="46"/>
        </w:numPr>
        <w:tabs>
          <w:tab w:val="clear" w:pos="1361"/>
          <w:tab w:val="num" w:pos="1435"/>
        </w:tabs>
        <w:spacing w:line="276" w:lineRule="auto"/>
        <w:ind w:left="1435"/>
        <w:rPr>
          <w:i/>
        </w:rPr>
      </w:pPr>
      <w:r w:rsidRPr="00AC41E0">
        <w:rPr>
          <w:i/>
        </w:rPr>
        <w:t>Leveraging the right skillset to procure the right IoT solution</w:t>
      </w:r>
    </w:p>
    <w:p w14:paraId="68092AEE" w14:textId="6DCC520D" w:rsidR="008E1AD3" w:rsidRPr="00AC41E0" w:rsidRDefault="008E1AD3" w:rsidP="00D4137E">
      <w:pPr>
        <w:pStyle w:val="DCSbodytext"/>
        <w:ind w:left="1435"/>
      </w:pPr>
      <w:r w:rsidRPr="00AC41E0">
        <w:t>IoT relies on many technical disciplines (e.g. cyber security, privacy, enterprise architect</w:t>
      </w:r>
      <w:r w:rsidR="00B03956" w:rsidRPr="00AC41E0">
        <w:t>ure</w:t>
      </w:r>
      <w:r w:rsidRPr="00AC41E0">
        <w:t xml:space="preserve">, IT, data). You need to make sure these technical experts contribute to the development of the procurement specifications and evaluation of responses. </w:t>
      </w:r>
    </w:p>
    <w:p w14:paraId="42C0EB9D" w14:textId="5B441C4F" w:rsidR="008E1AD3" w:rsidRPr="00AC41E0" w:rsidRDefault="008E1AD3" w:rsidP="00D978A4">
      <w:pPr>
        <w:pStyle w:val="DCSbullet"/>
        <w:numPr>
          <w:ilvl w:val="0"/>
          <w:numId w:val="46"/>
        </w:numPr>
        <w:tabs>
          <w:tab w:val="clear" w:pos="1361"/>
          <w:tab w:val="num" w:pos="1435"/>
        </w:tabs>
        <w:spacing w:line="276" w:lineRule="auto"/>
        <w:ind w:left="1435"/>
        <w:rPr>
          <w:i/>
        </w:rPr>
      </w:pPr>
      <w:r w:rsidRPr="00AC41E0">
        <w:rPr>
          <w:i/>
        </w:rPr>
        <w:t xml:space="preserve">Optimising </w:t>
      </w:r>
      <w:r w:rsidR="00D31E17" w:rsidRPr="00AC41E0">
        <w:rPr>
          <w:i/>
        </w:rPr>
        <w:t xml:space="preserve">IoT service provider </w:t>
      </w:r>
      <w:r w:rsidRPr="00AC41E0">
        <w:rPr>
          <w:i/>
        </w:rPr>
        <w:t xml:space="preserve">performance to </w:t>
      </w:r>
      <w:r w:rsidR="00641CB1" w:rsidRPr="00AC41E0">
        <w:rPr>
          <w:i/>
        </w:rPr>
        <w:t xml:space="preserve">realise </w:t>
      </w:r>
      <w:r w:rsidRPr="00AC41E0">
        <w:rPr>
          <w:i/>
        </w:rPr>
        <w:t xml:space="preserve">ongoing value for money </w:t>
      </w:r>
    </w:p>
    <w:p w14:paraId="7E1BC93D" w14:textId="7CDF45C8" w:rsidR="008E1AD3" w:rsidRPr="00AC41E0" w:rsidRDefault="008E1AD3" w:rsidP="00D4137E">
      <w:pPr>
        <w:pStyle w:val="DCSbodytext"/>
        <w:ind w:left="1435"/>
      </w:pPr>
      <w:r w:rsidRPr="00AC41E0">
        <w:t xml:space="preserve">A good working relationship with the successful </w:t>
      </w:r>
      <w:r w:rsidR="005B2DB3" w:rsidRPr="00AC41E0">
        <w:t xml:space="preserve">IoT service provider </w:t>
      </w:r>
      <w:r w:rsidRPr="00AC41E0">
        <w:t xml:space="preserve">is vital to deriving value over the life of the contract and achieving the agreed outcome. IoT technology is rapidly changing so you may need to adapt to continue to see </w:t>
      </w:r>
      <w:r w:rsidR="00292E1F" w:rsidRPr="00AC41E0">
        <w:t xml:space="preserve">the </w:t>
      </w:r>
      <w:r w:rsidRPr="00AC41E0">
        <w:t xml:space="preserve">value. You cannot </w:t>
      </w:r>
      <w:r w:rsidR="009358E7" w:rsidRPr="00AC41E0">
        <w:t>‘</w:t>
      </w:r>
      <w:r w:rsidRPr="00AC41E0">
        <w:t>set and forget</w:t>
      </w:r>
      <w:r w:rsidR="009358E7" w:rsidRPr="00AC41E0">
        <w:t>’</w:t>
      </w:r>
      <w:r w:rsidRPr="00AC41E0">
        <w:t xml:space="preserve">. See the </w:t>
      </w:r>
      <w:hyperlink r:id="rId229" w:history="1">
        <w:r w:rsidRPr="00AC41E0">
          <w:rPr>
            <w:rStyle w:val="Hyperlink"/>
            <w:color w:val="auto"/>
            <w:u w:val="none"/>
          </w:rPr>
          <w:t xml:space="preserve">NSW Procurement Approach for guidance on how to manage the </w:t>
        </w:r>
        <w:r w:rsidR="005B2DB3" w:rsidRPr="00AC41E0">
          <w:t>IoT service providers</w:t>
        </w:r>
      </w:hyperlink>
      <w:r w:rsidRPr="00E46FB0">
        <w:t xml:space="preserve">. </w:t>
      </w:r>
    </w:p>
    <w:p w14:paraId="0B0415E2" w14:textId="766227FF" w:rsidR="008E1AD3" w:rsidRPr="00AC41E0" w:rsidRDefault="008E1AD3" w:rsidP="00D4137E">
      <w:pPr>
        <w:pStyle w:val="Heading3"/>
        <w:ind w:left="868"/>
        <w:rPr>
          <w:rFonts w:ascii="Arial" w:hAnsi="Arial"/>
        </w:rPr>
      </w:pPr>
      <w:bookmarkStart w:id="1419" w:name="_Toc65760556"/>
      <w:r w:rsidRPr="00AC41E0">
        <w:rPr>
          <w:rFonts w:ascii="Arial" w:hAnsi="Arial"/>
        </w:rPr>
        <w:t xml:space="preserve">What </w:t>
      </w:r>
      <w:r w:rsidR="00E60B8D" w:rsidRPr="00AC41E0">
        <w:rPr>
          <w:rFonts w:ascii="Arial" w:hAnsi="Arial"/>
        </w:rPr>
        <w:t xml:space="preserve">to </w:t>
      </w:r>
      <w:r w:rsidRPr="00AC41E0">
        <w:rPr>
          <w:rFonts w:ascii="Arial" w:hAnsi="Arial"/>
        </w:rPr>
        <w:t>do if the perfect solution doe</w:t>
      </w:r>
      <w:r w:rsidR="00E60B8D" w:rsidRPr="00AC41E0">
        <w:rPr>
          <w:rFonts w:ascii="Arial" w:hAnsi="Arial"/>
        </w:rPr>
        <w:t>s no</w:t>
      </w:r>
      <w:r w:rsidRPr="00AC41E0">
        <w:rPr>
          <w:rFonts w:ascii="Arial" w:hAnsi="Arial"/>
        </w:rPr>
        <w:t>t exist</w:t>
      </w:r>
      <w:bookmarkEnd w:id="1419"/>
    </w:p>
    <w:p w14:paraId="36C84828" w14:textId="4C5235E6" w:rsidR="008E1AD3" w:rsidRPr="00AC41E0" w:rsidRDefault="008E1AD3" w:rsidP="00D4137E">
      <w:pPr>
        <w:pStyle w:val="DCSbodytext"/>
        <w:ind w:left="868"/>
      </w:pPr>
      <w:r w:rsidRPr="00AC41E0">
        <w:rPr>
          <w:lang w:val="en-US"/>
        </w:rPr>
        <w:t xml:space="preserve">The rapidly evolving nature of IoT means that </w:t>
      </w:r>
      <w:r w:rsidRPr="00AC41E0">
        <w:t xml:space="preserve">the Procurement Innovation Stream </w:t>
      </w:r>
      <w:r w:rsidR="001E4161" w:rsidRPr="00AC41E0">
        <w:t xml:space="preserve">can be used </w:t>
      </w:r>
      <w:r w:rsidRPr="00AC41E0">
        <w:t xml:space="preserve">to pilot new solutions. </w:t>
      </w:r>
      <w:r w:rsidR="005C3E27" w:rsidRPr="00AC41E0">
        <w:t>I</w:t>
      </w:r>
      <w:r w:rsidRPr="00AC41E0">
        <w:t xml:space="preserve">nformation on the Procurement Innovation Stream can be found in the </w:t>
      </w:r>
      <w:hyperlink r:id="rId230" w:history="1">
        <w:r w:rsidR="00EF1CEB" w:rsidRPr="00AC41E0">
          <w:rPr>
            <w:rStyle w:val="Hyperlink"/>
          </w:rPr>
          <w:t xml:space="preserve">NSW Government Small and </w:t>
        </w:r>
        <w:r w:rsidRPr="00AC41E0">
          <w:rPr>
            <w:rStyle w:val="Hyperlink"/>
          </w:rPr>
          <w:t>M</w:t>
        </w:r>
        <w:r w:rsidR="00EF1CEB" w:rsidRPr="00AC41E0">
          <w:rPr>
            <w:rStyle w:val="Hyperlink"/>
          </w:rPr>
          <w:t xml:space="preserve">edium </w:t>
        </w:r>
        <w:r w:rsidRPr="00AC41E0">
          <w:rPr>
            <w:rStyle w:val="Hyperlink"/>
          </w:rPr>
          <w:t>E</w:t>
        </w:r>
        <w:r w:rsidR="00EF1CEB" w:rsidRPr="00AC41E0">
          <w:rPr>
            <w:rStyle w:val="Hyperlink"/>
          </w:rPr>
          <w:t>nterprise</w:t>
        </w:r>
        <w:r w:rsidRPr="00AC41E0">
          <w:rPr>
            <w:rStyle w:val="Hyperlink"/>
          </w:rPr>
          <w:t xml:space="preserve"> and Regional Procurement Policy</w:t>
        </w:r>
      </w:hyperlink>
      <w:r w:rsidRPr="00E46FB0">
        <w:t xml:space="preserve"> (for goods and</w:t>
      </w:r>
      <w:r w:rsidRPr="00AC41E0">
        <w:t xml:space="preserve"> services) and </w:t>
      </w:r>
      <w:hyperlink r:id="rId231" w:history="1">
        <w:r w:rsidR="00292E1F" w:rsidRPr="00AC41E0">
          <w:rPr>
            <w:rStyle w:val="Hyperlink"/>
          </w:rPr>
          <w:t>PBD-2019-03-Access to government construction procurement opportunities by small and medium-sized enterprises</w:t>
        </w:r>
      </w:hyperlink>
      <w:r w:rsidRPr="00E46FB0">
        <w:t xml:space="preserve"> (construction).</w:t>
      </w:r>
    </w:p>
    <w:p w14:paraId="55FEA796" w14:textId="7B964284" w:rsidR="008E1AD3" w:rsidRPr="00AC41E0" w:rsidRDefault="008E1AD3" w:rsidP="00D4137E">
      <w:pPr>
        <w:pStyle w:val="DCSbodytext"/>
        <w:ind w:left="868"/>
      </w:pPr>
      <w:r w:rsidRPr="00AC41E0">
        <w:t xml:space="preserve">Local councils cannot use the Innovation Stream. It is recommended that councils work with industry to design specifications that are </w:t>
      </w:r>
      <w:r w:rsidR="00292E1F" w:rsidRPr="00AC41E0">
        <w:t>outcomes-</w:t>
      </w:r>
      <w:r w:rsidRPr="00AC41E0">
        <w:t>focused and meet the technical requirements.</w:t>
      </w:r>
    </w:p>
    <w:p w14:paraId="57916FCC" w14:textId="77777777" w:rsidR="008E1AD3" w:rsidRPr="00AC41E0" w:rsidRDefault="008E1AD3" w:rsidP="00D4137E">
      <w:pPr>
        <w:pStyle w:val="Heading3"/>
        <w:ind w:left="868"/>
        <w:rPr>
          <w:rFonts w:ascii="Arial" w:hAnsi="Arial"/>
        </w:rPr>
      </w:pPr>
      <w:bookmarkStart w:id="1420" w:name="_Toc14272428"/>
      <w:bookmarkStart w:id="1421" w:name="_Toc14341866"/>
      <w:bookmarkStart w:id="1422" w:name="_Toc14365892"/>
      <w:bookmarkStart w:id="1423" w:name="_Toc65760557"/>
      <w:r w:rsidRPr="00AC41E0">
        <w:rPr>
          <w:rFonts w:ascii="Arial" w:hAnsi="Arial"/>
        </w:rPr>
        <w:t>Designing specifications</w:t>
      </w:r>
      <w:bookmarkEnd w:id="1420"/>
      <w:bookmarkEnd w:id="1421"/>
      <w:bookmarkEnd w:id="1422"/>
      <w:bookmarkEnd w:id="1423"/>
      <w:r w:rsidRPr="00AC41E0">
        <w:rPr>
          <w:rFonts w:ascii="Arial" w:hAnsi="Arial"/>
        </w:rPr>
        <w:t xml:space="preserve"> </w:t>
      </w:r>
    </w:p>
    <w:p w14:paraId="017ABD14" w14:textId="1055F7F5" w:rsidR="008E1AD3" w:rsidRPr="00AC41E0" w:rsidRDefault="008E1AD3" w:rsidP="00D4137E">
      <w:pPr>
        <w:pStyle w:val="DCSbodytext"/>
        <w:ind w:left="868"/>
        <w:rPr>
          <w:rFonts w:eastAsia="Calibri"/>
        </w:rPr>
      </w:pPr>
      <w:r w:rsidRPr="00AC41E0">
        <w:rPr>
          <w:rFonts w:eastAsia="Calibri"/>
        </w:rPr>
        <w:t xml:space="preserve">The specifications you release to market need to clearly state the outcome you want and the boundaries for </w:t>
      </w:r>
      <w:r w:rsidR="005B2DB3" w:rsidRPr="00AC41E0">
        <w:t>IoT service providers</w:t>
      </w:r>
      <w:r w:rsidR="005B2DB3" w:rsidRPr="00AC41E0">
        <w:rPr>
          <w:rFonts w:eastAsia="Calibri"/>
        </w:rPr>
        <w:t xml:space="preserve"> </w:t>
      </w:r>
      <w:r w:rsidRPr="00AC41E0">
        <w:rPr>
          <w:rFonts w:eastAsia="Calibri"/>
        </w:rPr>
        <w:t xml:space="preserve">to respond to. This table sets out considerations when developing specifications for projects involving IoT. </w:t>
      </w:r>
    </w:p>
    <w:p w14:paraId="68E96C4E" w14:textId="77777777" w:rsidR="005B7186" w:rsidRPr="00AC41E0" w:rsidRDefault="005B7186" w:rsidP="0022369F">
      <w:pPr>
        <w:ind w:left="868"/>
        <w:jc w:val="center"/>
        <w:rPr>
          <w:rFonts w:ascii="Arial" w:eastAsia="Calibri" w:hAnsi="Arial" w:cs="Arial"/>
          <w:b/>
          <w:sz w:val="22"/>
          <w:szCs w:val="22"/>
        </w:rPr>
      </w:pPr>
      <w:bookmarkStart w:id="1424" w:name="_Toc14272429"/>
      <w:bookmarkStart w:id="1425" w:name="_Toc14341867"/>
      <w:bookmarkStart w:id="1426" w:name="_Toc14365893"/>
    </w:p>
    <w:p w14:paraId="77EA2DD7" w14:textId="77777777" w:rsidR="00435D14" w:rsidRPr="00AC41E0" w:rsidRDefault="00435D14" w:rsidP="0022369F">
      <w:pPr>
        <w:ind w:left="868"/>
        <w:jc w:val="center"/>
        <w:rPr>
          <w:rFonts w:ascii="Arial" w:eastAsia="Calibri" w:hAnsi="Arial" w:cs="Arial"/>
          <w:b/>
          <w:sz w:val="22"/>
          <w:szCs w:val="22"/>
        </w:rPr>
        <w:sectPr w:rsidR="00435D14" w:rsidRPr="00AC41E0" w:rsidSect="002771AA">
          <w:pgSz w:w="11906" w:h="16838"/>
          <w:pgMar w:top="1440" w:right="1440" w:bottom="1440" w:left="1440" w:header="708" w:footer="708" w:gutter="0"/>
          <w:cols w:space="708"/>
          <w:docGrid w:linePitch="360"/>
        </w:sectPr>
      </w:pPr>
    </w:p>
    <w:p w14:paraId="01D89ADB" w14:textId="180AF874" w:rsidR="000844E1" w:rsidRPr="00AC41E0" w:rsidRDefault="000844E1" w:rsidP="0022369F">
      <w:pPr>
        <w:ind w:left="868"/>
        <w:jc w:val="center"/>
        <w:rPr>
          <w:rFonts w:ascii="Arial" w:eastAsia="Calibri" w:hAnsi="Arial" w:cs="Arial"/>
          <w:b/>
          <w:sz w:val="22"/>
          <w:szCs w:val="22"/>
        </w:rPr>
      </w:pPr>
      <w:r w:rsidRPr="00E46FB0">
        <w:rPr>
          <w:rFonts w:ascii="Arial" w:eastAsia="Calibri" w:hAnsi="Arial" w:cs="Arial"/>
          <w:b/>
          <w:sz w:val="22"/>
          <w:szCs w:val="22"/>
        </w:rPr>
        <w:lastRenderedPageBreak/>
        <w:t xml:space="preserve">Considerations when building specifications for </w:t>
      </w:r>
      <w:r w:rsidR="006B27BC" w:rsidRPr="00AC41E0">
        <w:rPr>
          <w:rFonts w:ascii="Arial" w:eastAsia="Calibri" w:hAnsi="Arial" w:cs="Arial"/>
          <w:b/>
          <w:sz w:val="22"/>
          <w:szCs w:val="22"/>
        </w:rPr>
        <w:t>IoT-enabled project</w:t>
      </w:r>
      <w:r w:rsidRPr="00AC41E0">
        <w:rPr>
          <w:rFonts w:ascii="Arial" w:eastAsia="Calibri" w:hAnsi="Arial" w:cs="Arial"/>
          <w:b/>
          <w:sz w:val="22"/>
          <w:szCs w:val="22"/>
        </w:rPr>
        <w:t>s</w:t>
      </w:r>
    </w:p>
    <w:p w14:paraId="2C8386C9" w14:textId="1D1F40F0" w:rsidR="00AF4E66" w:rsidRPr="00AC41E0" w:rsidRDefault="00AF4E66" w:rsidP="00D4137E">
      <w:pPr>
        <w:ind w:left="74"/>
        <w:jc w:val="center"/>
        <w:rPr>
          <w:rFonts w:ascii="Arial" w:eastAsia="Calibri" w:hAnsi="Arial" w:cs="Arial"/>
          <w:b/>
        </w:rPr>
      </w:pPr>
    </w:p>
    <w:tbl>
      <w:tblPr>
        <w:tblStyle w:val="GridTable4-Accent1"/>
        <w:tblW w:w="13891" w:type="dxa"/>
        <w:tblInd w:w="279" w:type="dxa"/>
        <w:tblLook w:val="04A0" w:firstRow="1" w:lastRow="0" w:firstColumn="1" w:lastColumn="0" w:noHBand="0" w:noVBand="1"/>
      </w:tblPr>
      <w:tblGrid>
        <w:gridCol w:w="2551"/>
        <w:gridCol w:w="11340"/>
      </w:tblGrid>
      <w:tr w:rsidR="00AF4E66" w:rsidRPr="00AC41E0" w14:paraId="1D3CEFAF" w14:textId="77777777" w:rsidTr="004738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auto"/>
              <w:left w:val="single" w:sz="4" w:space="0" w:color="auto"/>
              <w:bottom w:val="single" w:sz="4" w:space="0" w:color="auto"/>
              <w:right w:val="single" w:sz="4" w:space="0" w:color="auto"/>
            </w:tcBorders>
            <w:shd w:val="clear" w:color="auto" w:fill="1F497D" w:themeFill="text2"/>
          </w:tcPr>
          <w:p w14:paraId="4BD84267" w14:textId="73EE028B" w:rsidR="00AF4E66" w:rsidRPr="00AC41E0" w:rsidRDefault="00AF4E66" w:rsidP="00F80695">
            <w:pPr>
              <w:pStyle w:val="DCSbodytext"/>
              <w:ind w:left="0"/>
              <w:jc w:val="center"/>
              <w:rPr>
                <w:szCs w:val="22"/>
              </w:rPr>
            </w:pPr>
            <w:r w:rsidRPr="00AC41E0">
              <w:rPr>
                <w:szCs w:val="22"/>
              </w:rPr>
              <w:t>Consideration</w:t>
            </w:r>
          </w:p>
        </w:tc>
        <w:tc>
          <w:tcPr>
            <w:tcW w:w="11340" w:type="dxa"/>
            <w:tcBorders>
              <w:top w:val="single" w:sz="4" w:space="0" w:color="auto"/>
              <w:left w:val="single" w:sz="4" w:space="0" w:color="auto"/>
              <w:bottom w:val="single" w:sz="4" w:space="0" w:color="auto"/>
              <w:right w:val="single" w:sz="4" w:space="0" w:color="auto"/>
            </w:tcBorders>
            <w:shd w:val="clear" w:color="auto" w:fill="1F497D" w:themeFill="text2"/>
          </w:tcPr>
          <w:p w14:paraId="4278540B" w14:textId="2BB9EDD6" w:rsidR="00AF4E66" w:rsidRPr="00AC41E0" w:rsidRDefault="00AF4E66" w:rsidP="00F80695">
            <w:pPr>
              <w:pStyle w:val="DCSbodytext"/>
              <w:ind w:left="0"/>
              <w:jc w:val="center"/>
              <w:cnfStyle w:val="100000000000" w:firstRow="1" w:lastRow="0" w:firstColumn="0" w:lastColumn="0" w:oddVBand="0" w:evenVBand="0" w:oddHBand="0" w:evenHBand="0" w:firstRowFirstColumn="0" w:firstRowLastColumn="0" w:lastRowFirstColumn="0" w:lastRowLastColumn="0"/>
              <w:rPr>
                <w:szCs w:val="22"/>
              </w:rPr>
            </w:pPr>
            <w:r w:rsidRPr="00AC41E0">
              <w:rPr>
                <w:szCs w:val="22"/>
              </w:rPr>
              <w:t>Description</w:t>
            </w:r>
          </w:p>
        </w:tc>
      </w:tr>
      <w:tr w:rsidR="00AF4E66" w:rsidRPr="00AC41E0" w14:paraId="0A6D3C27" w14:textId="77777777" w:rsidTr="00473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auto"/>
            </w:tcBorders>
          </w:tcPr>
          <w:p w14:paraId="013E4950" w14:textId="0A99BEEA" w:rsidR="00AF4E66" w:rsidRPr="00AC41E0" w:rsidRDefault="00AF4E66" w:rsidP="00C2187D">
            <w:pPr>
              <w:pStyle w:val="DCSbodytext"/>
              <w:spacing w:after="120"/>
              <w:ind w:left="0"/>
              <w:rPr>
                <w:szCs w:val="22"/>
              </w:rPr>
            </w:pPr>
            <w:r w:rsidRPr="00AC41E0">
              <w:t>Focus on outcomes and success criteria</w:t>
            </w:r>
          </w:p>
        </w:tc>
        <w:tc>
          <w:tcPr>
            <w:tcW w:w="11340" w:type="dxa"/>
            <w:tcBorders>
              <w:top w:val="single" w:sz="4" w:space="0" w:color="auto"/>
            </w:tcBorders>
          </w:tcPr>
          <w:p w14:paraId="4B95EA7A" w14:textId="53186F9E" w:rsidR="00AF4E66" w:rsidRPr="00AC41E0" w:rsidRDefault="00AF4E66" w:rsidP="00C2187D">
            <w:pPr>
              <w:pStyle w:val="DCSbodytext"/>
              <w:spacing w:after="120"/>
              <w:ind w:left="0"/>
              <w:cnfStyle w:val="000000100000" w:firstRow="0" w:lastRow="0" w:firstColumn="0" w:lastColumn="0" w:oddVBand="0" w:evenVBand="0" w:oddHBand="1" w:evenHBand="0" w:firstRowFirstColumn="0" w:firstRowLastColumn="0" w:lastRowFirstColumn="0" w:lastRowLastColumn="0"/>
            </w:pPr>
            <w:r w:rsidRPr="00AC41E0">
              <w:t xml:space="preserve">Being clear about your desired outcome and success criteria creates opportunities to achieve the same outcome through different means. For example, if you want to improve public safety, </w:t>
            </w:r>
            <w:r w:rsidR="005B2DB3" w:rsidRPr="00AC41E0">
              <w:t xml:space="preserve">IoT service providers </w:t>
            </w:r>
            <w:r w:rsidRPr="00AC41E0">
              <w:t>can provide different solutions including smart lighting, GPS monitoring</w:t>
            </w:r>
            <w:r w:rsidR="00292E1F" w:rsidRPr="00AC41E0">
              <w:t>,</w:t>
            </w:r>
            <w:r w:rsidRPr="00AC41E0">
              <w:t xml:space="preserve"> and CCTV cameras. </w:t>
            </w:r>
          </w:p>
          <w:p w14:paraId="4D8F383C" w14:textId="116E375E" w:rsidR="00AF4E66" w:rsidRPr="00AC41E0" w:rsidRDefault="00AF4E66" w:rsidP="00C2187D">
            <w:pPr>
              <w:pStyle w:val="DCSbodytext"/>
              <w:spacing w:after="120"/>
              <w:ind w:left="0"/>
              <w:cnfStyle w:val="000000100000" w:firstRow="0" w:lastRow="0" w:firstColumn="0" w:lastColumn="0" w:oddVBand="0" w:evenVBand="0" w:oddHBand="1" w:evenHBand="0" w:firstRowFirstColumn="0" w:firstRowLastColumn="0" w:lastRowFirstColumn="0" w:lastRowLastColumn="0"/>
              <w:rPr>
                <w:szCs w:val="22"/>
              </w:rPr>
            </w:pPr>
            <w:r w:rsidRPr="00AC41E0">
              <w:t xml:space="preserve">Prescriptive specifications are used when you clearly understand your needs and the product requirements, for example, a decision has been made to procure smart lighting. This narrows the diversity in </w:t>
            </w:r>
            <w:r w:rsidR="00D31E17" w:rsidRPr="00AC41E0">
              <w:t xml:space="preserve">IoT service provider </w:t>
            </w:r>
            <w:r w:rsidRPr="00AC41E0">
              <w:t>responses.</w:t>
            </w:r>
          </w:p>
        </w:tc>
      </w:tr>
      <w:tr w:rsidR="00AF4E66" w:rsidRPr="00AC41E0" w14:paraId="1A8775CC" w14:textId="77777777" w:rsidTr="00473876">
        <w:tc>
          <w:tcPr>
            <w:cnfStyle w:val="001000000000" w:firstRow="0" w:lastRow="0" w:firstColumn="1" w:lastColumn="0" w:oddVBand="0" w:evenVBand="0" w:oddHBand="0" w:evenHBand="0" w:firstRowFirstColumn="0" w:firstRowLastColumn="0" w:lastRowFirstColumn="0" w:lastRowLastColumn="0"/>
            <w:tcW w:w="2551" w:type="dxa"/>
          </w:tcPr>
          <w:p w14:paraId="6B0B356A" w14:textId="71CF6EF5" w:rsidR="00AF4E66" w:rsidRPr="00AC41E0" w:rsidRDefault="00AF4E66" w:rsidP="00C2187D">
            <w:pPr>
              <w:pStyle w:val="DCSbodytext"/>
              <w:spacing w:after="120"/>
              <w:ind w:left="0"/>
              <w:rPr>
                <w:szCs w:val="22"/>
              </w:rPr>
            </w:pPr>
            <w:r w:rsidRPr="00AC41E0">
              <w:t xml:space="preserve">Network needs </w:t>
            </w:r>
          </w:p>
        </w:tc>
        <w:tc>
          <w:tcPr>
            <w:tcW w:w="11340" w:type="dxa"/>
          </w:tcPr>
          <w:p w14:paraId="280D1FBE" w14:textId="76D4FB05" w:rsidR="00AF4E66" w:rsidRPr="00AC41E0" w:rsidRDefault="00AF4E66" w:rsidP="00C2187D">
            <w:pPr>
              <w:pStyle w:val="DCSbodytext"/>
              <w:spacing w:after="120"/>
              <w:ind w:left="0"/>
              <w:cnfStyle w:val="000000000000" w:firstRow="0" w:lastRow="0" w:firstColumn="0" w:lastColumn="0" w:oddVBand="0" w:evenVBand="0" w:oddHBand="0" w:evenHBand="0" w:firstRowFirstColumn="0" w:firstRowLastColumn="0" w:lastRowFirstColumn="0" w:lastRowLastColumn="0"/>
              <w:rPr>
                <w:szCs w:val="22"/>
              </w:rPr>
            </w:pPr>
            <w:r w:rsidRPr="00AC41E0">
              <w:t xml:space="preserve">You need to think about what sort of network connectivity is required. For example, will your IoT device need to be accessible through public internet or a private network? See </w:t>
            </w:r>
            <w:hyperlink w:anchor="_Technology_for_IoT_2" w:history="1">
              <w:r w:rsidR="002E3738" w:rsidRPr="00AC41E0">
                <w:rPr>
                  <w:rStyle w:val="Hyperlink"/>
                </w:rPr>
                <w:t>Chapter 3</w:t>
              </w:r>
              <w:r w:rsidR="00E467FF" w:rsidRPr="00AC41E0">
                <w:rPr>
                  <w:rStyle w:val="Hyperlink"/>
                </w:rPr>
                <w:t>.8 T</w:t>
              </w:r>
              <w:r w:rsidR="00807ED9" w:rsidRPr="00AC41E0">
                <w:rPr>
                  <w:rStyle w:val="Hyperlink"/>
                </w:rPr>
                <w:t>echnology for IoT</w:t>
              </w:r>
            </w:hyperlink>
            <w:r w:rsidR="00E467FF" w:rsidRPr="00E46FB0">
              <w:rPr>
                <w:rStyle w:val="Hyperlink"/>
                <w:u w:val="none"/>
              </w:rPr>
              <w:t xml:space="preserve"> </w:t>
            </w:r>
            <w:r w:rsidRPr="00AC41E0">
              <w:t>for network options.</w:t>
            </w:r>
          </w:p>
        </w:tc>
      </w:tr>
      <w:tr w:rsidR="00AF4E66" w:rsidRPr="00AC41E0" w14:paraId="2578BA22" w14:textId="77777777" w:rsidTr="00473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59BEC84F" w14:textId="6B7ED6F0" w:rsidR="00AF4E66" w:rsidRPr="00AC41E0" w:rsidRDefault="00AF4E66" w:rsidP="00C2187D">
            <w:pPr>
              <w:pStyle w:val="DCSbodytext"/>
              <w:spacing w:after="120"/>
              <w:ind w:left="0"/>
              <w:rPr>
                <w:szCs w:val="22"/>
              </w:rPr>
            </w:pPr>
            <w:r w:rsidRPr="00AC41E0">
              <w:t>Asset maintenance, asset onboarding</w:t>
            </w:r>
            <w:r w:rsidR="00292E1F" w:rsidRPr="00AC41E0">
              <w:t>,</w:t>
            </w:r>
            <w:r w:rsidRPr="00AC41E0">
              <w:t xml:space="preserve"> and management</w:t>
            </w:r>
          </w:p>
        </w:tc>
        <w:tc>
          <w:tcPr>
            <w:tcW w:w="11340" w:type="dxa"/>
          </w:tcPr>
          <w:p w14:paraId="546EEB65" w14:textId="1E6E714B" w:rsidR="00AF4E66" w:rsidRPr="00AC41E0" w:rsidRDefault="00AF4E66" w:rsidP="00C2187D">
            <w:pPr>
              <w:pStyle w:val="DCSbodytext"/>
              <w:spacing w:after="120"/>
              <w:ind w:left="0"/>
              <w:cnfStyle w:val="000000100000" w:firstRow="0" w:lastRow="0" w:firstColumn="0" w:lastColumn="0" w:oddVBand="0" w:evenVBand="0" w:oddHBand="1" w:evenHBand="0" w:firstRowFirstColumn="0" w:firstRowLastColumn="0" w:lastRowFirstColumn="0" w:lastRowLastColumn="0"/>
            </w:pPr>
            <w:r w:rsidRPr="00AC41E0">
              <w:t xml:space="preserve">Understanding how a device will be installed, how often and how easily it </w:t>
            </w:r>
            <w:r w:rsidR="00261732" w:rsidRPr="00AC41E0">
              <w:t>can</w:t>
            </w:r>
            <w:r w:rsidRPr="00AC41E0">
              <w:t xml:space="preserve"> be updated, and the availability of replacement parts can help you</w:t>
            </w:r>
            <w:r w:rsidR="00C44422" w:rsidRPr="00AC41E0">
              <w:t>r</w:t>
            </w:r>
            <w:r w:rsidRPr="00AC41E0">
              <w:t xml:space="preserve"> future-proof your IoT solution. </w:t>
            </w:r>
          </w:p>
          <w:p w14:paraId="07175731" w14:textId="7C08AD85" w:rsidR="00AF4E66" w:rsidRPr="00AC41E0" w:rsidRDefault="00FA2A4C" w:rsidP="00C2187D">
            <w:pPr>
              <w:pStyle w:val="DCSbodytext"/>
              <w:spacing w:after="120"/>
              <w:ind w:left="0"/>
              <w:cnfStyle w:val="000000100000" w:firstRow="0" w:lastRow="0" w:firstColumn="0" w:lastColumn="0" w:oddVBand="0" w:evenVBand="0" w:oddHBand="1" w:evenHBand="0" w:firstRowFirstColumn="0" w:firstRowLastColumn="0" w:lastRowFirstColumn="0" w:lastRowLastColumn="0"/>
              <w:rPr>
                <w:szCs w:val="22"/>
              </w:rPr>
            </w:pPr>
            <w:r w:rsidRPr="00AC41E0">
              <w:t>Also</w:t>
            </w:r>
            <w:r w:rsidR="00292E1F" w:rsidRPr="00AC41E0">
              <w:t>,</w:t>
            </w:r>
            <w:r w:rsidRPr="00AC41E0">
              <w:t xml:space="preserve"> think about</w:t>
            </w:r>
            <w:r w:rsidR="00AF4E66" w:rsidRPr="00AC41E0">
              <w:t xml:space="preserve"> maintenance requirements for the broader IoT ecosystem (i.e. how do the maintenance needs of your IoT solution align with other IoT devices used by your organisation). See also </w:t>
            </w:r>
            <w:hyperlink w:anchor="_Technology_for_IoT_2" w:history="1">
              <w:r w:rsidR="002312F6" w:rsidRPr="00AC41E0">
                <w:rPr>
                  <w:rStyle w:val="Hyperlink"/>
                </w:rPr>
                <w:t>Chapter 3</w:t>
              </w:r>
              <w:r w:rsidR="00E467FF" w:rsidRPr="00AC41E0">
                <w:rPr>
                  <w:rStyle w:val="Hyperlink"/>
                </w:rPr>
                <w:t>.8 T</w:t>
              </w:r>
              <w:r w:rsidR="00C44422" w:rsidRPr="00AC41E0">
                <w:rPr>
                  <w:rStyle w:val="Hyperlink"/>
                </w:rPr>
                <w:t>echnology for IoT</w:t>
              </w:r>
            </w:hyperlink>
            <w:r w:rsidR="00261732" w:rsidRPr="00E46FB0">
              <w:t xml:space="preserve"> and </w:t>
            </w:r>
            <w:hyperlink w:anchor="_Device_and_data" w:history="1">
              <w:r w:rsidR="002312F6" w:rsidRPr="00AC41E0">
                <w:rPr>
                  <w:rStyle w:val="Hyperlink"/>
                  <w:rFonts w:eastAsia="Times New Roman" w:cs="Times New Roman"/>
                </w:rPr>
                <w:t>Chapter 7.3 D</w:t>
              </w:r>
              <w:r w:rsidR="00425116" w:rsidRPr="00AC41E0">
                <w:rPr>
                  <w:rStyle w:val="Hyperlink"/>
                  <w:rFonts w:eastAsia="Times New Roman" w:cs="Times New Roman"/>
                </w:rPr>
                <w:t>evice</w:t>
              </w:r>
              <w:r w:rsidR="00261732" w:rsidRPr="00AC41E0">
                <w:rPr>
                  <w:rStyle w:val="Hyperlink"/>
                  <w:rFonts w:eastAsia="Times New Roman" w:cs="Times New Roman"/>
                </w:rPr>
                <w:t xml:space="preserve"> </w:t>
              </w:r>
              <w:r w:rsidR="002312F6" w:rsidRPr="00AC41E0">
                <w:rPr>
                  <w:rStyle w:val="Hyperlink"/>
                  <w:rFonts w:eastAsia="Times New Roman" w:cs="Times New Roman"/>
                </w:rPr>
                <w:t xml:space="preserve">and data </w:t>
              </w:r>
              <w:r w:rsidR="00261732" w:rsidRPr="00AC41E0">
                <w:rPr>
                  <w:rStyle w:val="Hyperlink"/>
                  <w:rFonts w:eastAsia="Times New Roman" w:cs="Times New Roman"/>
                </w:rPr>
                <w:t>maintenance</w:t>
              </w:r>
            </w:hyperlink>
            <w:r w:rsidR="00425116" w:rsidRPr="00E46FB0">
              <w:t>.</w:t>
            </w:r>
          </w:p>
        </w:tc>
      </w:tr>
      <w:tr w:rsidR="00AF4E66" w:rsidRPr="00AC41E0" w14:paraId="2CFB9A3C" w14:textId="77777777" w:rsidTr="00473876">
        <w:tc>
          <w:tcPr>
            <w:cnfStyle w:val="001000000000" w:firstRow="0" w:lastRow="0" w:firstColumn="1" w:lastColumn="0" w:oddVBand="0" w:evenVBand="0" w:oddHBand="0" w:evenHBand="0" w:firstRowFirstColumn="0" w:firstRowLastColumn="0" w:lastRowFirstColumn="0" w:lastRowLastColumn="0"/>
            <w:tcW w:w="2551" w:type="dxa"/>
          </w:tcPr>
          <w:p w14:paraId="612C0B0E" w14:textId="37C927A7" w:rsidR="00AF4E66" w:rsidRPr="00AC41E0" w:rsidRDefault="00AF4E66" w:rsidP="00C2187D">
            <w:pPr>
              <w:pStyle w:val="DCSbodytext"/>
              <w:spacing w:after="120"/>
              <w:ind w:left="0"/>
              <w:rPr>
                <w:szCs w:val="22"/>
              </w:rPr>
            </w:pPr>
            <w:r w:rsidRPr="00AC41E0">
              <w:t>Designing your IoT architecture</w:t>
            </w:r>
          </w:p>
        </w:tc>
        <w:tc>
          <w:tcPr>
            <w:tcW w:w="11340" w:type="dxa"/>
          </w:tcPr>
          <w:p w14:paraId="71B0F6DE" w14:textId="2AC5FB44" w:rsidR="00AF4E66" w:rsidRPr="00AC41E0" w:rsidRDefault="00AF4E66" w:rsidP="00C2187D">
            <w:pPr>
              <w:pStyle w:val="DCSbodytext"/>
              <w:spacing w:after="120"/>
              <w:ind w:left="0"/>
              <w:cnfStyle w:val="000000000000" w:firstRow="0" w:lastRow="0" w:firstColumn="0" w:lastColumn="0" w:oddVBand="0" w:evenVBand="0" w:oddHBand="0" w:evenHBand="0" w:firstRowFirstColumn="0" w:firstRowLastColumn="0" w:lastRowFirstColumn="0" w:lastRowLastColumn="0"/>
              <w:rPr>
                <w:szCs w:val="22"/>
              </w:rPr>
            </w:pPr>
            <w:r w:rsidRPr="00AC41E0">
              <w:t xml:space="preserve">To design your IoT Hub and Edge, you need to consider your requirements around performance, business continuity and back up. See </w:t>
            </w:r>
            <w:hyperlink w:anchor="_Requirements_in_designing" w:history="1">
              <w:r w:rsidR="002312F6" w:rsidRPr="00AC41E0">
                <w:rPr>
                  <w:rStyle w:val="Hyperlink"/>
                </w:rPr>
                <w:t>Chapter 3</w:t>
              </w:r>
              <w:r w:rsidR="00E467FF" w:rsidRPr="00AC41E0">
                <w:rPr>
                  <w:rStyle w:val="Hyperlink"/>
                </w:rPr>
                <w:t>.8 T</w:t>
              </w:r>
              <w:r w:rsidR="00C44422" w:rsidRPr="00AC41E0">
                <w:rPr>
                  <w:rStyle w:val="Hyperlink"/>
                </w:rPr>
                <w:t>echnology for IoT</w:t>
              </w:r>
            </w:hyperlink>
            <w:r w:rsidR="00807ED9" w:rsidRPr="00E46FB0">
              <w:rPr>
                <w:rStyle w:val="Hyperlink"/>
                <w:u w:val="none"/>
              </w:rPr>
              <w:t xml:space="preserve"> </w:t>
            </w:r>
            <w:r w:rsidR="00807ED9" w:rsidRPr="00AC41E0">
              <w:rPr>
                <w:rStyle w:val="Hyperlink"/>
                <w:rFonts w:eastAsia="Times New Roman" w:cs="Times New Roman"/>
                <w:color w:val="auto"/>
                <w:u w:val="none"/>
              </w:rPr>
              <w:t>for guidance</w:t>
            </w:r>
            <w:r w:rsidRPr="00AC41E0">
              <w:rPr>
                <w:rFonts w:eastAsia="Times New Roman" w:cs="Times New Roman"/>
              </w:rPr>
              <w:t>.</w:t>
            </w:r>
          </w:p>
        </w:tc>
      </w:tr>
      <w:tr w:rsidR="00AF4E66" w:rsidRPr="00AC41E0" w14:paraId="44B7B28A" w14:textId="77777777" w:rsidTr="00473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4B58C5BD" w14:textId="7B2B9671" w:rsidR="00AF4E66" w:rsidRPr="00AC41E0" w:rsidRDefault="00AF4E66" w:rsidP="00C2187D">
            <w:pPr>
              <w:pStyle w:val="DCSbodytext"/>
              <w:spacing w:after="120"/>
              <w:ind w:left="0"/>
              <w:rPr>
                <w:szCs w:val="22"/>
              </w:rPr>
            </w:pPr>
            <w:r w:rsidRPr="00AC41E0">
              <w:t>Sensor positioning data</w:t>
            </w:r>
          </w:p>
        </w:tc>
        <w:tc>
          <w:tcPr>
            <w:tcW w:w="11340" w:type="dxa"/>
          </w:tcPr>
          <w:p w14:paraId="27A6CA9D" w14:textId="5B036B06" w:rsidR="00AF4E66" w:rsidRPr="00AC41E0" w:rsidRDefault="00AF4E66" w:rsidP="00C2187D">
            <w:pPr>
              <w:pStyle w:val="DCSbodytext"/>
              <w:spacing w:after="120"/>
              <w:ind w:left="0"/>
              <w:cnfStyle w:val="000000100000" w:firstRow="0" w:lastRow="0" w:firstColumn="0" w:lastColumn="0" w:oddVBand="0" w:evenVBand="0" w:oddHBand="1" w:evenHBand="0" w:firstRowFirstColumn="0" w:firstRowLastColumn="0" w:lastRowFirstColumn="0" w:lastRowLastColumn="0"/>
              <w:rPr>
                <w:szCs w:val="22"/>
              </w:rPr>
            </w:pPr>
            <w:r w:rsidRPr="00AC41E0">
              <w:t xml:space="preserve">Sensors that will (or have the potential to) feed into the NSW Digital Twin must record the device location and a time and data stamp in accordance with the requirements set out in </w:t>
            </w:r>
            <w:hyperlink w:anchor="_Spatial_data_requirements_2" w:history="1">
              <w:r w:rsidR="002312F6" w:rsidRPr="00AC41E0">
                <w:rPr>
                  <w:rStyle w:val="Hyperlink"/>
                </w:rPr>
                <w:t>Chapter 6.2 S</w:t>
              </w:r>
              <w:r w:rsidRPr="00AC41E0">
                <w:rPr>
                  <w:rStyle w:val="Hyperlink"/>
                </w:rPr>
                <w:t xml:space="preserve">patial </w:t>
              </w:r>
              <w:r w:rsidR="00C43472" w:rsidRPr="00AC41E0">
                <w:rPr>
                  <w:rStyle w:val="Hyperlink"/>
                </w:rPr>
                <w:t>d</w:t>
              </w:r>
              <w:r w:rsidRPr="00AC41E0">
                <w:rPr>
                  <w:rStyle w:val="Hyperlink"/>
                </w:rPr>
                <w:t xml:space="preserve">ata </w:t>
              </w:r>
              <w:r w:rsidR="00C43472" w:rsidRPr="00AC41E0">
                <w:rPr>
                  <w:rStyle w:val="Hyperlink"/>
                </w:rPr>
                <w:t>r</w:t>
              </w:r>
              <w:r w:rsidRPr="00AC41E0">
                <w:rPr>
                  <w:rStyle w:val="Hyperlink"/>
                </w:rPr>
                <w:t>equirements chapter</w:t>
              </w:r>
            </w:hyperlink>
            <w:r w:rsidRPr="00E46FB0">
              <w:t xml:space="preserve">.  </w:t>
            </w:r>
          </w:p>
        </w:tc>
      </w:tr>
      <w:tr w:rsidR="00AF4E66" w:rsidRPr="00AC41E0" w14:paraId="0DA6BDC7" w14:textId="77777777" w:rsidTr="00473876">
        <w:tc>
          <w:tcPr>
            <w:cnfStyle w:val="001000000000" w:firstRow="0" w:lastRow="0" w:firstColumn="1" w:lastColumn="0" w:oddVBand="0" w:evenVBand="0" w:oddHBand="0" w:evenHBand="0" w:firstRowFirstColumn="0" w:firstRowLastColumn="0" w:lastRowFirstColumn="0" w:lastRowLastColumn="0"/>
            <w:tcW w:w="2551" w:type="dxa"/>
          </w:tcPr>
          <w:p w14:paraId="5649393D" w14:textId="354CF26E" w:rsidR="00AF4E66" w:rsidRPr="00AC41E0" w:rsidRDefault="00AF4E66" w:rsidP="00C2187D">
            <w:pPr>
              <w:pStyle w:val="DCSbodytext"/>
              <w:spacing w:after="120"/>
              <w:ind w:left="0"/>
            </w:pPr>
            <w:r w:rsidRPr="00AC41E0">
              <w:t>Scalability</w:t>
            </w:r>
          </w:p>
        </w:tc>
        <w:tc>
          <w:tcPr>
            <w:tcW w:w="11340" w:type="dxa"/>
          </w:tcPr>
          <w:p w14:paraId="5225C295" w14:textId="05FBC85B" w:rsidR="00AF4E66" w:rsidRPr="00AC41E0" w:rsidRDefault="00AF4E66" w:rsidP="00C2187D">
            <w:pPr>
              <w:pStyle w:val="DCSbodytext"/>
              <w:spacing w:after="120"/>
              <w:ind w:left="0"/>
              <w:cnfStyle w:val="000000000000" w:firstRow="0" w:lastRow="0" w:firstColumn="0" w:lastColumn="0" w:oddVBand="0" w:evenVBand="0" w:oddHBand="0" w:evenHBand="0" w:firstRowFirstColumn="0" w:firstRowLastColumn="0" w:lastRowFirstColumn="0" w:lastRowLastColumn="0"/>
            </w:pPr>
            <w:r w:rsidRPr="00AC41E0">
              <w:rPr>
                <w:rFonts w:eastAsia="Calibri"/>
              </w:rPr>
              <w:t>Consider if the current scope/use of the IoT solution may be expanded in future. For example, if it is a pilot, it may be used in other locations or across NSW if successful.</w:t>
            </w:r>
          </w:p>
        </w:tc>
      </w:tr>
      <w:tr w:rsidR="00AF4E66" w:rsidRPr="00AC41E0" w14:paraId="36015C6A" w14:textId="77777777" w:rsidTr="00473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16CD088C" w14:textId="04911824" w:rsidR="00AF4E66" w:rsidRPr="00AC41E0" w:rsidRDefault="00AF4E66" w:rsidP="00C2187D">
            <w:pPr>
              <w:pStyle w:val="DCSbodytext"/>
              <w:spacing w:after="120"/>
              <w:ind w:left="0"/>
            </w:pPr>
            <w:r w:rsidRPr="00AC41E0">
              <w:t xml:space="preserve">Interoperability </w:t>
            </w:r>
          </w:p>
        </w:tc>
        <w:tc>
          <w:tcPr>
            <w:tcW w:w="11340" w:type="dxa"/>
          </w:tcPr>
          <w:p w14:paraId="52CDA35F" w14:textId="4E82B32B" w:rsidR="00AF4E66" w:rsidRPr="00AC41E0" w:rsidRDefault="00AF4E66" w:rsidP="00C2187D">
            <w:pPr>
              <w:pStyle w:val="DCSbodytext"/>
              <w:spacing w:after="120"/>
              <w:ind w:left="0"/>
              <w:cnfStyle w:val="000000100000" w:firstRow="0" w:lastRow="0" w:firstColumn="0" w:lastColumn="0" w:oddVBand="0" w:evenVBand="0" w:oddHBand="1" w:evenHBand="0" w:firstRowFirstColumn="0" w:firstRowLastColumn="0" w:lastRowFirstColumn="0" w:lastRowLastColumn="0"/>
            </w:pPr>
            <w:r w:rsidRPr="00AC41E0">
              <w:t xml:space="preserve">Interoperability is complex as IoT supports many applications across different industries and disciplines. You need to understand the existing technology systems in place that may affect the IoT solution’s ability to achieve the </w:t>
            </w:r>
            <w:r w:rsidRPr="00AC41E0">
              <w:lastRenderedPageBreak/>
              <w:t xml:space="preserve">desired outcome. Your IT department is the best source of information. See also </w:t>
            </w:r>
            <w:hyperlink w:anchor="_Useful_International_Standards" w:history="1">
              <w:r w:rsidR="002312F6" w:rsidRPr="00AC41E0">
                <w:rPr>
                  <w:rStyle w:val="Hyperlink"/>
                </w:rPr>
                <w:t>Chapter 3</w:t>
              </w:r>
              <w:r w:rsidR="00E467FF" w:rsidRPr="00AC41E0">
                <w:rPr>
                  <w:rStyle w:val="Hyperlink"/>
                </w:rPr>
                <w:t>.8 T</w:t>
              </w:r>
              <w:r w:rsidR="00EB0D14" w:rsidRPr="00AC41E0">
                <w:rPr>
                  <w:rStyle w:val="Hyperlink"/>
                </w:rPr>
                <w:t>echnology for IoT</w:t>
              </w:r>
            </w:hyperlink>
            <w:r w:rsidR="00EB0D14" w:rsidRPr="00E46FB0">
              <w:t xml:space="preserve"> </w:t>
            </w:r>
            <w:r w:rsidRPr="00AC41E0">
              <w:rPr>
                <w:rFonts w:eastAsia="Times New Roman" w:cs="Times New Roman"/>
              </w:rPr>
              <w:t>for more on interoperability.</w:t>
            </w:r>
          </w:p>
        </w:tc>
      </w:tr>
      <w:tr w:rsidR="00AF4E66" w:rsidRPr="00AC41E0" w14:paraId="0E9C4E87" w14:textId="77777777" w:rsidTr="00473876">
        <w:tc>
          <w:tcPr>
            <w:cnfStyle w:val="001000000000" w:firstRow="0" w:lastRow="0" w:firstColumn="1" w:lastColumn="0" w:oddVBand="0" w:evenVBand="0" w:oddHBand="0" w:evenHBand="0" w:firstRowFirstColumn="0" w:firstRowLastColumn="0" w:lastRowFirstColumn="0" w:lastRowLastColumn="0"/>
            <w:tcW w:w="2551" w:type="dxa"/>
          </w:tcPr>
          <w:p w14:paraId="0F9FFE68" w14:textId="0B20AA53" w:rsidR="00AF4E66" w:rsidRPr="00AC41E0" w:rsidRDefault="00AF4E66" w:rsidP="00C2187D">
            <w:pPr>
              <w:pStyle w:val="DCSbodytext"/>
              <w:spacing w:after="120"/>
              <w:ind w:left="0"/>
            </w:pPr>
            <w:r w:rsidRPr="00AC41E0">
              <w:lastRenderedPageBreak/>
              <w:t>Open source versus proprietary systems</w:t>
            </w:r>
          </w:p>
        </w:tc>
        <w:tc>
          <w:tcPr>
            <w:tcW w:w="11340" w:type="dxa"/>
          </w:tcPr>
          <w:p w14:paraId="07EF9E65" w14:textId="00AEAC06" w:rsidR="00AF4E66" w:rsidRPr="00AC41E0" w:rsidRDefault="00292E1F" w:rsidP="00C2187D">
            <w:pPr>
              <w:pStyle w:val="DCSbodytext"/>
              <w:spacing w:after="120"/>
              <w:ind w:left="0"/>
              <w:cnfStyle w:val="000000000000" w:firstRow="0" w:lastRow="0" w:firstColumn="0" w:lastColumn="0" w:oddVBand="0" w:evenVBand="0" w:oddHBand="0" w:evenHBand="0" w:firstRowFirstColumn="0" w:firstRowLastColumn="0" w:lastRowFirstColumn="0" w:lastRowLastColumn="0"/>
            </w:pPr>
            <w:r w:rsidRPr="00AC41E0">
              <w:t>Open-</w:t>
            </w:r>
            <w:r w:rsidR="00AF4E66" w:rsidRPr="00AC41E0">
              <w:t xml:space="preserve">source systems are fundamental to interoperability. </w:t>
            </w:r>
            <w:r w:rsidR="0045367B" w:rsidRPr="00AC41E0">
              <w:t xml:space="preserve">You </w:t>
            </w:r>
            <w:r w:rsidR="00AF4E66" w:rsidRPr="00AC41E0">
              <w:t xml:space="preserve">should choose open technology </w:t>
            </w:r>
            <w:r w:rsidR="0045367B" w:rsidRPr="00AC41E0">
              <w:t xml:space="preserve">where available </w:t>
            </w:r>
            <w:r w:rsidR="00AF4E66" w:rsidRPr="00AC41E0">
              <w:t>to avoid vendor lock</w:t>
            </w:r>
            <w:r w:rsidR="00374CED" w:rsidRPr="00AC41E0">
              <w:t>-</w:t>
            </w:r>
            <w:r w:rsidR="00AF4E66" w:rsidRPr="00AC41E0">
              <w:t xml:space="preserve">in. Similarly, you may be able to find </w:t>
            </w:r>
            <w:r w:rsidR="009C1658" w:rsidRPr="00AC41E0">
              <w:t xml:space="preserve">IoT service providers </w:t>
            </w:r>
            <w:r w:rsidR="00AF4E66" w:rsidRPr="00AC41E0">
              <w:t>who try to solve interoperability by offering solutions compatible with proprietary protocols.</w:t>
            </w:r>
          </w:p>
        </w:tc>
      </w:tr>
      <w:tr w:rsidR="00AF4E66" w:rsidRPr="00AC41E0" w14:paraId="6F22C6FC" w14:textId="77777777" w:rsidTr="00473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23EFFDDC" w14:textId="38C76EAB" w:rsidR="00AF4E66" w:rsidRPr="00AC41E0" w:rsidRDefault="00AF4E66" w:rsidP="00C2187D">
            <w:pPr>
              <w:pStyle w:val="DCSbodytext"/>
              <w:spacing w:after="120"/>
              <w:ind w:left="0"/>
            </w:pPr>
            <w:r w:rsidRPr="00AC41E0">
              <w:t>Privacy and personal information</w:t>
            </w:r>
          </w:p>
        </w:tc>
        <w:tc>
          <w:tcPr>
            <w:tcW w:w="11340" w:type="dxa"/>
          </w:tcPr>
          <w:p w14:paraId="48EAB4B1" w14:textId="68C88DA9" w:rsidR="00AF4E66" w:rsidRPr="00AC41E0" w:rsidRDefault="00AF4E66" w:rsidP="00C2187D">
            <w:pPr>
              <w:pStyle w:val="DCSbodytext"/>
              <w:spacing w:after="120"/>
              <w:ind w:left="0"/>
              <w:cnfStyle w:val="000000100000" w:firstRow="0" w:lastRow="0" w:firstColumn="0" w:lastColumn="0" w:oddVBand="0" w:evenVBand="0" w:oddHBand="1" w:evenHBand="0" w:firstRowFirstColumn="0" w:firstRowLastColumn="0" w:lastRowFirstColumn="0" w:lastRowLastColumn="0"/>
            </w:pPr>
            <w:r w:rsidRPr="00AC41E0">
              <w:t xml:space="preserve">Do not collect personal information unless absolutely required. Data collected using sensor networks may be personal information if it is about an identified person or can ‘reasonably’ be linked to an identified person. See also </w:t>
            </w:r>
            <w:hyperlink w:anchor="_Privacy_1" w:history="1">
              <w:r w:rsidR="00476BC8" w:rsidRPr="00AC41E0">
                <w:rPr>
                  <w:rStyle w:val="Hyperlink"/>
                </w:rPr>
                <w:t>C</w:t>
              </w:r>
              <w:r w:rsidR="00E467FF" w:rsidRPr="00AC41E0">
                <w:rPr>
                  <w:rStyle w:val="Hyperlink"/>
                </w:rPr>
                <w:t>hapter 3.5 Privacy</w:t>
              </w:r>
            </w:hyperlink>
            <w:r w:rsidRPr="00E46FB0">
              <w:t xml:space="preserve">. </w:t>
            </w:r>
          </w:p>
        </w:tc>
      </w:tr>
      <w:tr w:rsidR="00AF4E66" w:rsidRPr="00AC41E0" w14:paraId="358739D8" w14:textId="77777777" w:rsidTr="00473876">
        <w:tc>
          <w:tcPr>
            <w:cnfStyle w:val="001000000000" w:firstRow="0" w:lastRow="0" w:firstColumn="1" w:lastColumn="0" w:oddVBand="0" w:evenVBand="0" w:oddHBand="0" w:evenHBand="0" w:firstRowFirstColumn="0" w:firstRowLastColumn="0" w:lastRowFirstColumn="0" w:lastRowLastColumn="0"/>
            <w:tcW w:w="2551" w:type="dxa"/>
          </w:tcPr>
          <w:p w14:paraId="225F232E" w14:textId="5C77A628" w:rsidR="00AF4E66" w:rsidRPr="00AC41E0" w:rsidRDefault="00AF4E66" w:rsidP="00C2187D">
            <w:pPr>
              <w:pStyle w:val="DCSbodytext"/>
              <w:spacing w:after="120"/>
              <w:ind w:left="0"/>
            </w:pPr>
            <w:r w:rsidRPr="00AC41E0">
              <w:t>Relevant standards</w:t>
            </w:r>
          </w:p>
        </w:tc>
        <w:tc>
          <w:tcPr>
            <w:tcW w:w="11340" w:type="dxa"/>
          </w:tcPr>
          <w:p w14:paraId="36D5721B" w14:textId="6A3EA05E" w:rsidR="00AF4E66" w:rsidRPr="00AC41E0" w:rsidRDefault="003C6229" w:rsidP="00C2187D">
            <w:pPr>
              <w:pStyle w:val="DCSbodytext"/>
              <w:spacing w:after="120"/>
              <w:ind w:left="0"/>
              <w:cnfStyle w:val="000000000000" w:firstRow="0" w:lastRow="0" w:firstColumn="0" w:lastColumn="0" w:oddVBand="0" w:evenVBand="0" w:oddHBand="0" w:evenHBand="0" w:firstRowFirstColumn="0" w:firstRowLastColumn="0" w:lastRowFirstColumn="0" w:lastRowLastColumn="0"/>
            </w:pPr>
            <w:r w:rsidRPr="00AC41E0">
              <w:t>I</w:t>
            </w:r>
            <w:r w:rsidR="00AF4E66" w:rsidRPr="00AC41E0">
              <w:t xml:space="preserve">nvestigate if there are any standards instruments that are applicable. These may be international, national, or specific to your organisation. </w:t>
            </w:r>
            <w:hyperlink w:anchor="_Requirements_and_standards" w:history="1">
              <w:r w:rsidR="00476BC8" w:rsidRPr="00AC41E0">
                <w:rPr>
                  <w:rStyle w:val="Hyperlink"/>
                </w:rPr>
                <w:t>Chapter 3</w:t>
              </w:r>
              <w:r w:rsidR="00E467FF" w:rsidRPr="00AC41E0">
                <w:rPr>
                  <w:rStyle w:val="Hyperlink"/>
                </w:rPr>
                <w:t>.8 T</w:t>
              </w:r>
              <w:r w:rsidR="00AF4E66" w:rsidRPr="00AC41E0">
                <w:rPr>
                  <w:rStyle w:val="Hyperlink"/>
                </w:rPr>
                <w:t>echnology</w:t>
              </w:r>
              <w:r w:rsidR="00063F5A" w:rsidRPr="00AC41E0">
                <w:rPr>
                  <w:rStyle w:val="Hyperlink"/>
                </w:rPr>
                <w:t xml:space="preserve"> for IoT</w:t>
              </w:r>
            </w:hyperlink>
            <w:r w:rsidR="00AF4E66" w:rsidRPr="00E46FB0">
              <w:t xml:space="preserve"> lists standards related to IoT</w:t>
            </w:r>
            <w:r w:rsidR="00185053" w:rsidRPr="00AC41E0">
              <w:rPr>
                <w:rFonts w:eastAsia="Times New Roman" w:cs="Times New Roman"/>
              </w:rPr>
              <w:t xml:space="preserve">, </w:t>
            </w:r>
            <w:r w:rsidR="00AF4E66" w:rsidRPr="00AC41E0">
              <w:rPr>
                <w:rFonts w:eastAsia="Times New Roman" w:cs="Times New Roman"/>
              </w:rPr>
              <w:t>devices</w:t>
            </w:r>
            <w:r w:rsidR="00292E1F" w:rsidRPr="00AC41E0">
              <w:rPr>
                <w:rFonts w:eastAsia="Times New Roman" w:cs="Times New Roman"/>
              </w:rPr>
              <w:t>,</w:t>
            </w:r>
            <w:r w:rsidR="00AF4E66" w:rsidRPr="00AC41E0">
              <w:rPr>
                <w:rFonts w:eastAsia="Times New Roman" w:cs="Times New Roman"/>
              </w:rPr>
              <w:t xml:space="preserve"> and equipment. </w:t>
            </w:r>
          </w:p>
        </w:tc>
      </w:tr>
      <w:tr w:rsidR="00AF4E66" w:rsidRPr="00AC41E0" w14:paraId="30DAB81D" w14:textId="77777777" w:rsidTr="00473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64DCD6B0" w14:textId="0B4B6518" w:rsidR="00AF4E66" w:rsidRPr="00AC41E0" w:rsidRDefault="00AF4E66" w:rsidP="00C2187D">
            <w:pPr>
              <w:pStyle w:val="DCSbodytext"/>
              <w:spacing w:after="120"/>
              <w:ind w:left="0"/>
            </w:pPr>
            <w:r w:rsidRPr="00AC41E0">
              <w:t>Cyber security</w:t>
            </w:r>
          </w:p>
        </w:tc>
        <w:tc>
          <w:tcPr>
            <w:tcW w:w="11340" w:type="dxa"/>
          </w:tcPr>
          <w:p w14:paraId="0724FBC0" w14:textId="2286CD7E" w:rsidR="00AF4E66" w:rsidRPr="00AC41E0" w:rsidRDefault="00AF4E66" w:rsidP="00C2187D">
            <w:pPr>
              <w:pStyle w:val="DCSbodytext"/>
              <w:spacing w:after="120"/>
              <w:ind w:left="0"/>
              <w:cnfStyle w:val="000000100000" w:firstRow="0" w:lastRow="0" w:firstColumn="0" w:lastColumn="0" w:oddVBand="0" w:evenVBand="0" w:oddHBand="1" w:evenHBand="0" w:firstRowFirstColumn="0" w:firstRowLastColumn="0" w:lastRowFirstColumn="0" w:lastRowLastColumn="0"/>
            </w:pPr>
            <w:r w:rsidRPr="00AC41E0">
              <w:t xml:space="preserve">IoT devices are inherently insecure. You should embed cyber-related risks into your procurement business case. See </w:t>
            </w:r>
            <w:hyperlink w:anchor="_Cyber_Security_1" w:history="1">
              <w:r w:rsidRPr="00AC41E0">
                <w:rPr>
                  <w:rStyle w:val="Hyperlink"/>
                </w:rPr>
                <w:t>C</w:t>
              </w:r>
              <w:r w:rsidR="00476BC8" w:rsidRPr="00AC41E0">
                <w:rPr>
                  <w:rStyle w:val="Hyperlink"/>
                </w:rPr>
                <w:t>hapter 3.6 C</w:t>
              </w:r>
              <w:r w:rsidRPr="00AC41E0">
                <w:rPr>
                  <w:rStyle w:val="Hyperlink"/>
                </w:rPr>
                <w:t xml:space="preserve">yber </w:t>
              </w:r>
              <w:r w:rsidR="00C43472" w:rsidRPr="00AC41E0">
                <w:rPr>
                  <w:rStyle w:val="Hyperlink"/>
                </w:rPr>
                <w:t>s</w:t>
              </w:r>
              <w:r w:rsidRPr="00AC41E0">
                <w:rPr>
                  <w:rStyle w:val="Hyperlink"/>
                </w:rPr>
                <w:t>ecurity</w:t>
              </w:r>
            </w:hyperlink>
            <w:r w:rsidRPr="00E46FB0">
              <w:t xml:space="preserve"> for</w:t>
            </w:r>
            <w:r w:rsidRPr="00AC41E0">
              <w:t xml:space="preserve"> a list of vulnerabilities. </w:t>
            </w:r>
          </w:p>
        </w:tc>
      </w:tr>
      <w:tr w:rsidR="00AF4E66" w:rsidRPr="00AC41E0" w14:paraId="34792468" w14:textId="77777777" w:rsidTr="00473876">
        <w:tc>
          <w:tcPr>
            <w:cnfStyle w:val="001000000000" w:firstRow="0" w:lastRow="0" w:firstColumn="1" w:lastColumn="0" w:oddVBand="0" w:evenVBand="0" w:oddHBand="0" w:evenHBand="0" w:firstRowFirstColumn="0" w:firstRowLastColumn="0" w:lastRowFirstColumn="0" w:lastRowLastColumn="0"/>
            <w:tcW w:w="2551" w:type="dxa"/>
          </w:tcPr>
          <w:p w14:paraId="01777E9C" w14:textId="3F58A9D6" w:rsidR="00AF4E66" w:rsidRPr="00AC41E0" w:rsidRDefault="00AF4E66" w:rsidP="00C2187D">
            <w:pPr>
              <w:pStyle w:val="DCSbodytext"/>
              <w:spacing w:after="120"/>
              <w:ind w:left="0"/>
            </w:pPr>
            <w:r w:rsidRPr="00AC41E0">
              <w:t>Data requirements</w:t>
            </w:r>
          </w:p>
        </w:tc>
        <w:tc>
          <w:tcPr>
            <w:tcW w:w="11340" w:type="dxa"/>
          </w:tcPr>
          <w:p w14:paraId="064294C8" w14:textId="577D2AC7" w:rsidR="005E7F8C" w:rsidRPr="00AC41E0" w:rsidRDefault="004F3645" w:rsidP="00C2187D">
            <w:pPr>
              <w:pStyle w:val="DCSbodytext"/>
              <w:spacing w:after="120"/>
              <w:ind w:left="0"/>
              <w:cnfStyle w:val="000000000000" w:firstRow="0" w:lastRow="0" w:firstColumn="0" w:lastColumn="0" w:oddVBand="0" w:evenVBand="0" w:oddHBand="0" w:evenHBand="0" w:firstRowFirstColumn="0" w:firstRowLastColumn="0" w:lastRowFirstColumn="0" w:lastRowLastColumn="0"/>
            </w:pPr>
            <w:r w:rsidRPr="00AC41E0">
              <w:t>Specifications should include:</w:t>
            </w:r>
          </w:p>
          <w:p w14:paraId="4352729B" w14:textId="77777777" w:rsidR="005E7F8C" w:rsidRPr="00AC41E0" w:rsidRDefault="005E7F8C" w:rsidP="00D978A4">
            <w:pPr>
              <w:pStyle w:val="DCSbodytext"/>
              <w:numPr>
                <w:ilvl w:val="0"/>
                <w:numId w:val="60"/>
              </w:numPr>
              <w:spacing w:after="120"/>
              <w:cnfStyle w:val="000000000000" w:firstRow="0" w:lastRow="0" w:firstColumn="0" w:lastColumn="0" w:oddVBand="0" w:evenVBand="0" w:oddHBand="0" w:evenHBand="0" w:firstRowFirstColumn="0" w:firstRowLastColumn="0" w:lastRowFirstColumn="0" w:lastRowLastColumn="0"/>
            </w:pPr>
            <w:r w:rsidRPr="00AC41E0">
              <w:t>data requirements, including adherence to data standards and data quality requirements</w:t>
            </w:r>
          </w:p>
          <w:p w14:paraId="4D0375C1" w14:textId="77777777" w:rsidR="005E7F8C" w:rsidRPr="00AC41E0" w:rsidRDefault="005E7F8C" w:rsidP="00D978A4">
            <w:pPr>
              <w:pStyle w:val="DCSbodytext"/>
              <w:numPr>
                <w:ilvl w:val="0"/>
                <w:numId w:val="60"/>
              </w:numPr>
              <w:spacing w:after="120"/>
              <w:cnfStyle w:val="000000000000" w:firstRow="0" w:lastRow="0" w:firstColumn="0" w:lastColumn="0" w:oddVBand="0" w:evenVBand="0" w:oddHBand="0" w:evenHBand="0" w:firstRowFirstColumn="0" w:firstRowLastColumn="0" w:lastRowFirstColumn="0" w:lastRowLastColumn="0"/>
            </w:pPr>
            <w:r w:rsidRPr="00AC41E0">
              <w:t>privacy and information security requirements, including adherence to legislation and government policy</w:t>
            </w:r>
          </w:p>
          <w:p w14:paraId="18C957F7" w14:textId="2D7EBD53" w:rsidR="005E7F8C" w:rsidRPr="00AC41E0" w:rsidRDefault="005E7F8C" w:rsidP="00D978A4">
            <w:pPr>
              <w:pStyle w:val="DCSbodytext"/>
              <w:numPr>
                <w:ilvl w:val="0"/>
                <w:numId w:val="60"/>
              </w:numPr>
              <w:spacing w:after="120"/>
              <w:cnfStyle w:val="000000000000" w:firstRow="0" w:lastRow="0" w:firstColumn="0" w:lastColumn="0" w:oddVBand="0" w:evenVBand="0" w:oddHBand="0" w:evenHBand="0" w:firstRowFirstColumn="0" w:firstRowLastColumn="0" w:lastRowFirstColumn="0" w:lastRowLastColumn="0"/>
            </w:pPr>
            <w:r w:rsidRPr="00AC41E0">
              <w:t>data breach and security incident notification and management processes</w:t>
            </w:r>
          </w:p>
          <w:p w14:paraId="7231DCBC" w14:textId="24D11A43" w:rsidR="004F3645" w:rsidRPr="00AC41E0" w:rsidRDefault="004F3645" w:rsidP="00D978A4">
            <w:pPr>
              <w:pStyle w:val="DCSbodytext"/>
              <w:numPr>
                <w:ilvl w:val="0"/>
                <w:numId w:val="60"/>
              </w:numPr>
              <w:spacing w:after="120"/>
              <w:cnfStyle w:val="000000000000" w:firstRow="0" w:lastRow="0" w:firstColumn="0" w:lastColumn="0" w:oddVBand="0" w:evenVBand="0" w:oddHBand="0" w:evenHBand="0" w:firstRowFirstColumn="0" w:firstRowLastColumn="0" w:lastRowFirstColumn="0" w:lastRowLastColumn="0"/>
            </w:pPr>
            <w:r w:rsidRPr="00AC41E0">
              <w:t>data quality requirements</w:t>
            </w:r>
          </w:p>
          <w:p w14:paraId="7F4052F4" w14:textId="77777777" w:rsidR="005E7F8C" w:rsidRPr="00AC41E0" w:rsidRDefault="005E7F8C" w:rsidP="00D978A4">
            <w:pPr>
              <w:pStyle w:val="DCSbodytext"/>
              <w:numPr>
                <w:ilvl w:val="0"/>
                <w:numId w:val="60"/>
              </w:numPr>
              <w:spacing w:after="120"/>
              <w:cnfStyle w:val="000000000000" w:firstRow="0" w:lastRow="0" w:firstColumn="0" w:lastColumn="0" w:oddVBand="0" w:evenVBand="0" w:oddHBand="0" w:evenHBand="0" w:firstRowFirstColumn="0" w:firstRowLastColumn="0" w:lastRowFirstColumn="0" w:lastRowLastColumn="0"/>
            </w:pPr>
            <w:r w:rsidRPr="00AC41E0">
              <w:t xml:space="preserve">data ownership and rights, including for data assets generated from multiple sources </w:t>
            </w:r>
          </w:p>
          <w:p w14:paraId="61BB4BA1" w14:textId="77777777" w:rsidR="005E7F8C" w:rsidRPr="00AC41E0" w:rsidRDefault="005E7F8C" w:rsidP="00D978A4">
            <w:pPr>
              <w:pStyle w:val="DCSbodytext"/>
              <w:numPr>
                <w:ilvl w:val="0"/>
                <w:numId w:val="60"/>
              </w:numPr>
              <w:spacing w:after="120"/>
              <w:cnfStyle w:val="000000000000" w:firstRow="0" w:lastRow="0" w:firstColumn="0" w:lastColumn="0" w:oddVBand="0" w:evenVBand="0" w:oddHBand="0" w:evenHBand="0" w:firstRowFirstColumn="0" w:firstRowLastColumn="0" w:lastRowFirstColumn="0" w:lastRowLastColumn="0"/>
            </w:pPr>
            <w:r w:rsidRPr="00AC41E0">
              <w:t>data retention and disposal requirements, including when the contract ceases or is terminated</w:t>
            </w:r>
          </w:p>
          <w:p w14:paraId="69515C64" w14:textId="77777777" w:rsidR="005E7F8C" w:rsidRPr="00AC41E0" w:rsidRDefault="005E7F8C" w:rsidP="00D978A4">
            <w:pPr>
              <w:pStyle w:val="DCSbodytext"/>
              <w:numPr>
                <w:ilvl w:val="0"/>
                <w:numId w:val="60"/>
              </w:numPr>
              <w:spacing w:after="120"/>
              <w:cnfStyle w:val="000000000000" w:firstRow="0" w:lastRow="0" w:firstColumn="0" w:lastColumn="0" w:oddVBand="0" w:evenVBand="0" w:oddHBand="0" w:evenHBand="0" w:firstRowFirstColumn="0" w:firstRowLastColumn="0" w:lastRowFirstColumn="0" w:lastRowLastColumn="0"/>
            </w:pPr>
            <w:r w:rsidRPr="00AC41E0">
              <w:t xml:space="preserve">data storage requirements, including data sovereignty </w:t>
            </w:r>
          </w:p>
          <w:p w14:paraId="715260A9" w14:textId="2509012F" w:rsidR="005E7F8C" w:rsidRPr="00AC41E0" w:rsidRDefault="005E7F8C" w:rsidP="00D978A4">
            <w:pPr>
              <w:pStyle w:val="DCSbodytext"/>
              <w:numPr>
                <w:ilvl w:val="0"/>
                <w:numId w:val="60"/>
              </w:numPr>
              <w:spacing w:after="120"/>
              <w:cnfStyle w:val="000000000000" w:firstRow="0" w:lastRow="0" w:firstColumn="0" w:lastColumn="0" w:oddVBand="0" w:evenVBand="0" w:oddHBand="0" w:evenHBand="0" w:firstRowFirstColumn="0" w:firstRowLastColumn="0" w:lastRowFirstColumn="0" w:lastRowLastColumn="0"/>
            </w:pPr>
            <w:r w:rsidRPr="00AC41E0">
              <w:lastRenderedPageBreak/>
              <w:t xml:space="preserve">legislative compliance requirements, including the </w:t>
            </w:r>
            <w:hyperlink r:id="rId232" w:anchor="/view/act/1998/133" w:history="1">
              <w:r w:rsidRPr="00AC41E0">
                <w:rPr>
                  <w:rStyle w:val="Hyperlink"/>
                  <w:i/>
                </w:rPr>
                <w:t>Privacy and Personal Information Protection Act 1998</w:t>
              </w:r>
              <w:r w:rsidRPr="00AC41E0">
                <w:rPr>
                  <w:rStyle w:val="Hyperlink"/>
                </w:rPr>
                <w:t xml:space="preserve"> (NSW)</w:t>
              </w:r>
            </w:hyperlink>
            <w:r w:rsidRPr="00E46FB0">
              <w:t xml:space="preserve">, </w:t>
            </w:r>
            <w:hyperlink r:id="rId233" w:anchor="/view/act/2002/71" w:history="1">
              <w:r w:rsidRPr="00AC41E0">
                <w:rPr>
                  <w:rStyle w:val="Hyperlink"/>
                  <w:rFonts w:eastAsia="Times New Roman" w:cs="Times New Roman"/>
                  <w:i/>
                </w:rPr>
                <w:t>Health Records and Information Privacy Act 2002</w:t>
              </w:r>
              <w:r w:rsidRPr="00AC41E0">
                <w:rPr>
                  <w:rStyle w:val="Hyperlink"/>
                  <w:rFonts w:eastAsia="Times New Roman" w:cs="Times New Roman"/>
                </w:rPr>
                <w:t xml:space="preserve"> (NSW)</w:t>
              </w:r>
            </w:hyperlink>
            <w:r w:rsidRPr="00E46FB0">
              <w:t xml:space="preserve">, </w:t>
            </w:r>
            <w:hyperlink r:id="rId234" w:anchor="/view/act/2009/52" w:history="1">
              <w:r w:rsidRPr="00AC41E0">
                <w:rPr>
                  <w:rStyle w:val="Hyperlink"/>
                  <w:i/>
                </w:rPr>
                <w:t>Government Information (Public Access) Act 2009</w:t>
              </w:r>
              <w:r w:rsidRPr="00AC41E0">
                <w:rPr>
                  <w:rStyle w:val="Hyperlink"/>
                </w:rPr>
                <w:t xml:space="preserve"> (NSW)</w:t>
              </w:r>
            </w:hyperlink>
            <w:r w:rsidRPr="00E46FB0">
              <w:t xml:space="preserve">, </w:t>
            </w:r>
            <w:hyperlink r:id="rId235" w:anchor="/view/act/1998/17" w:history="1">
              <w:r w:rsidRPr="00AC41E0">
                <w:rPr>
                  <w:rStyle w:val="Hyperlink"/>
                  <w:rFonts w:eastAsia="Times New Roman" w:cs="Times New Roman"/>
                  <w:i/>
                </w:rPr>
                <w:t>State Records Act 1998</w:t>
              </w:r>
              <w:r w:rsidRPr="00AC41E0">
                <w:rPr>
                  <w:rStyle w:val="Hyperlink"/>
                  <w:rFonts w:eastAsia="Times New Roman" w:cs="Times New Roman"/>
                </w:rPr>
                <w:t xml:space="preserve"> (NSW)</w:t>
              </w:r>
            </w:hyperlink>
            <w:r w:rsidR="004F3645" w:rsidRPr="00E46FB0">
              <w:rPr>
                <w:rStyle w:val="Hyperlink"/>
              </w:rPr>
              <w:t>.</w:t>
            </w:r>
          </w:p>
          <w:p w14:paraId="6040E409" w14:textId="3FACDC73" w:rsidR="005E7F8C" w:rsidRPr="00AC41E0" w:rsidRDefault="007C6B92" w:rsidP="00C2187D">
            <w:pPr>
              <w:pStyle w:val="DCSbodytext"/>
              <w:spacing w:after="120"/>
              <w:ind w:left="0"/>
              <w:cnfStyle w:val="000000000000" w:firstRow="0" w:lastRow="0" w:firstColumn="0" w:lastColumn="0" w:oddVBand="0" w:evenVBand="0" w:oddHBand="0" w:evenHBand="0" w:firstRowFirstColumn="0" w:firstRowLastColumn="0" w:lastRowFirstColumn="0" w:lastRowLastColumn="0"/>
            </w:pPr>
            <w:r w:rsidRPr="00AC41E0">
              <w:t xml:space="preserve">See also </w:t>
            </w:r>
            <w:hyperlink w:anchor="_Data_considerations_for_3" w:history="1">
              <w:r w:rsidR="009839A0" w:rsidRPr="00AC41E0">
                <w:rPr>
                  <w:rStyle w:val="Hyperlink"/>
                  <w:rFonts w:cs="Arial"/>
                </w:rPr>
                <w:t>Chapter 5.2 Data considerations for contracting</w:t>
              </w:r>
            </w:hyperlink>
            <w:r w:rsidRPr="00E46FB0">
              <w:t xml:space="preserve">. </w:t>
            </w:r>
          </w:p>
        </w:tc>
      </w:tr>
      <w:tr w:rsidR="00AF4E66" w:rsidRPr="00AC41E0" w14:paraId="5090B756" w14:textId="77777777" w:rsidTr="00473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54495F0B" w14:textId="6B009518" w:rsidR="00AF4E66" w:rsidRPr="00AC41E0" w:rsidRDefault="00AF4E66" w:rsidP="00C2187D">
            <w:pPr>
              <w:pStyle w:val="DCSbodytext"/>
              <w:spacing w:after="120"/>
              <w:ind w:left="0"/>
            </w:pPr>
            <w:r w:rsidRPr="00AC41E0">
              <w:lastRenderedPageBreak/>
              <w:t xml:space="preserve">Indemnities </w:t>
            </w:r>
          </w:p>
        </w:tc>
        <w:tc>
          <w:tcPr>
            <w:tcW w:w="11340" w:type="dxa"/>
          </w:tcPr>
          <w:p w14:paraId="1DD0065C" w14:textId="0B24187D" w:rsidR="00AF4E66" w:rsidRPr="00E46FB0" w:rsidRDefault="00AF4E66">
            <w:pPr>
              <w:pStyle w:val="DCSbodytext"/>
              <w:spacing w:after="120"/>
              <w:ind w:left="0"/>
              <w:cnfStyle w:val="000000100000" w:firstRow="0" w:lastRow="0" w:firstColumn="0" w:lastColumn="0" w:oddVBand="0" w:evenVBand="0" w:oddHBand="1" w:evenHBand="0" w:firstRowFirstColumn="0" w:firstRowLastColumn="0" w:lastRowFirstColumn="0" w:lastRowLastColumn="0"/>
            </w:pPr>
            <w:r w:rsidRPr="00AC41E0">
              <w:t xml:space="preserve">Indemnities support insurances in managing contract risks and should be appropriate to the size and risk of the investment. NSW Government agencies are required to cap indemnity given by a </w:t>
            </w:r>
            <w:r w:rsidR="00D43193" w:rsidRPr="00AC41E0">
              <w:t>service provider</w:t>
            </w:r>
            <w:r w:rsidRPr="00AC41E0">
              <w:t xml:space="preserve">, which is determined based on the goods or services involved. More information is available at </w:t>
            </w:r>
            <w:hyperlink r:id="rId236" w:history="1">
              <w:r w:rsidR="002C7B36" w:rsidRPr="00AC41E0">
                <w:rPr>
                  <w:rStyle w:val="Hyperlink"/>
                </w:rPr>
                <w:t>https://buy.nsw.gov.au</w:t>
              </w:r>
            </w:hyperlink>
            <w:r w:rsidR="00816742" w:rsidRPr="00E46FB0">
              <w:t>.</w:t>
            </w:r>
            <w:hyperlink r:id="rId237" w:history="1"/>
          </w:p>
        </w:tc>
      </w:tr>
      <w:tr w:rsidR="00AF4E66" w:rsidRPr="00AC41E0" w14:paraId="5F81FC80" w14:textId="77777777" w:rsidTr="00473876">
        <w:tc>
          <w:tcPr>
            <w:cnfStyle w:val="001000000000" w:firstRow="0" w:lastRow="0" w:firstColumn="1" w:lastColumn="0" w:oddVBand="0" w:evenVBand="0" w:oddHBand="0" w:evenHBand="0" w:firstRowFirstColumn="0" w:firstRowLastColumn="0" w:lastRowFirstColumn="0" w:lastRowLastColumn="0"/>
            <w:tcW w:w="2551" w:type="dxa"/>
          </w:tcPr>
          <w:p w14:paraId="0E847DF8" w14:textId="03266585" w:rsidR="00AF4E66" w:rsidRPr="00AC41E0" w:rsidRDefault="00AF4E66" w:rsidP="00C2187D">
            <w:pPr>
              <w:pStyle w:val="DCSbodytext"/>
              <w:spacing w:after="120"/>
              <w:ind w:left="0"/>
            </w:pPr>
            <w:r w:rsidRPr="00AC41E0">
              <w:t>Insurance</w:t>
            </w:r>
          </w:p>
        </w:tc>
        <w:tc>
          <w:tcPr>
            <w:tcW w:w="11340" w:type="dxa"/>
          </w:tcPr>
          <w:p w14:paraId="7AE10011" w14:textId="77777777" w:rsidR="00AF4E66" w:rsidRPr="00AC41E0" w:rsidRDefault="00AF4E66" w:rsidP="00C2187D">
            <w:pPr>
              <w:pStyle w:val="DCSbodytext"/>
              <w:spacing w:after="120"/>
              <w:ind w:left="0"/>
              <w:cnfStyle w:val="000000000000" w:firstRow="0" w:lastRow="0" w:firstColumn="0" w:lastColumn="0" w:oddVBand="0" w:evenVBand="0" w:oddHBand="0" w:evenHBand="0" w:firstRowFirstColumn="0" w:firstRowLastColumn="0" w:lastRowFirstColumn="0" w:lastRowLastColumn="0"/>
            </w:pPr>
            <w:r w:rsidRPr="00AC41E0">
              <w:t xml:space="preserve">You need to consider: </w:t>
            </w:r>
          </w:p>
          <w:p w14:paraId="38F51459" w14:textId="77777777" w:rsidR="00AF4E66" w:rsidRPr="00AC41E0" w:rsidRDefault="00AF4E66" w:rsidP="0003467D">
            <w:pPr>
              <w:pStyle w:val="DCSbodytext"/>
              <w:numPr>
                <w:ilvl w:val="0"/>
                <w:numId w:val="38"/>
              </w:numPr>
              <w:spacing w:after="120"/>
              <w:cnfStyle w:val="000000000000" w:firstRow="0" w:lastRow="0" w:firstColumn="0" w:lastColumn="0" w:oddVBand="0" w:evenVBand="0" w:oddHBand="0" w:evenHBand="0" w:firstRowFirstColumn="0" w:firstRowLastColumn="0" w:lastRowFirstColumn="0" w:lastRowLastColumn="0"/>
            </w:pPr>
            <w:r w:rsidRPr="00AC41E0">
              <w:t>the level of public liability required (taking into account the risk profile of the procurement and products or services)</w:t>
            </w:r>
          </w:p>
          <w:p w14:paraId="03985102" w14:textId="77777777" w:rsidR="00AF4E66" w:rsidRPr="00AC41E0" w:rsidRDefault="00AF4E66" w:rsidP="0003467D">
            <w:pPr>
              <w:pStyle w:val="DCSbodytext"/>
              <w:numPr>
                <w:ilvl w:val="0"/>
                <w:numId w:val="38"/>
              </w:numPr>
              <w:spacing w:after="120"/>
              <w:cnfStyle w:val="000000000000" w:firstRow="0" w:lastRow="0" w:firstColumn="0" w:lastColumn="0" w:oddVBand="0" w:evenVBand="0" w:oddHBand="0" w:evenHBand="0" w:firstRowFirstColumn="0" w:firstRowLastColumn="0" w:lastRowFirstColumn="0" w:lastRowLastColumn="0"/>
            </w:pPr>
            <w:r w:rsidRPr="00AC41E0">
              <w:t xml:space="preserve">if professional and/or product insurance is required, and if so, what is the appropriate level. </w:t>
            </w:r>
          </w:p>
          <w:p w14:paraId="0BE15B8E" w14:textId="02CC3D25" w:rsidR="00F70BA7" w:rsidRPr="00AC41E0" w:rsidRDefault="00AF4E66">
            <w:pPr>
              <w:pStyle w:val="DCSbodytext"/>
              <w:spacing w:after="120"/>
              <w:ind w:left="0"/>
              <w:cnfStyle w:val="000000000000" w:firstRow="0" w:lastRow="0" w:firstColumn="0" w:lastColumn="0" w:oddVBand="0" w:evenVBand="0" w:oddHBand="0" w:evenHBand="0" w:firstRowFirstColumn="0" w:firstRowLastColumn="0" w:lastRowFirstColumn="0" w:lastRowLastColumn="0"/>
            </w:pPr>
            <w:r w:rsidRPr="00AC41E0">
              <w:t xml:space="preserve">Unnecessarily onerous insurance requirements will increase the cost of the procurement. More information is available at </w:t>
            </w:r>
            <w:hyperlink r:id="rId238" w:history="1">
              <w:r w:rsidR="00F70BA7" w:rsidRPr="00AC41E0">
                <w:rPr>
                  <w:rStyle w:val="Hyperlink"/>
                </w:rPr>
                <w:t>https://buy.nsw.gov.au</w:t>
              </w:r>
            </w:hyperlink>
            <w:r w:rsidR="00F70BA7" w:rsidRPr="00E46FB0">
              <w:t>.</w:t>
            </w:r>
          </w:p>
        </w:tc>
      </w:tr>
      <w:tr w:rsidR="00AF4E66" w:rsidRPr="00AC41E0" w14:paraId="514BE9AA" w14:textId="77777777" w:rsidTr="00473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58F883C4" w14:textId="6FA5E6F2" w:rsidR="00AF4E66" w:rsidRPr="00AC41E0" w:rsidRDefault="00AF4E66" w:rsidP="00C2187D">
            <w:pPr>
              <w:pStyle w:val="DCSbodytext"/>
              <w:spacing w:after="120"/>
              <w:ind w:left="0"/>
            </w:pPr>
            <w:r w:rsidRPr="00AC41E0">
              <w:t>Change management</w:t>
            </w:r>
          </w:p>
        </w:tc>
        <w:tc>
          <w:tcPr>
            <w:tcW w:w="11340" w:type="dxa"/>
          </w:tcPr>
          <w:p w14:paraId="50E3E16D" w14:textId="78230C47" w:rsidR="00AF4E66" w:rsidRPr="00AC41E0" w:rsidRDefault="00593685" w:rsidP="00C2187D">
            <w:pPr>
              <w:pStyle w:val="DCSbodytext"/>
              <w:spacing w:after="120"/>
              <w:ind w:left="0"/>
              <w:cnfStyle w:val="000000100000" w:firstRow="0" w:lastRow="0" w:firstColumn="0" w:lastColumn="0" w:oddVBand="0" w:evenVBand="0" w:oddHBand="1" w:evenHBand="0" w:firstRowFirstColumn="0" w:firstRowLastColumn="0" w:lastRowFirstColumn="0" w:lastRowLastColumn="0"/>
            </w:pPr>
            <w:r w:rsidRPr="00AC41E0">
              <w:t>Consider</w:t>
            </w:r>
            <w:r w:rsidR="00AF4E66" w:rsidRPr="00AC41E0">
              <w:t xml:space="preserve"> the costs and impacts of transitioning from the existing state to a new system, product and </w:t>
            </w:r>
            <w:r w:rsidR="00403654" w:rsidRPr="00AC41E0">
              <w:t>IoT service provider</w:t>
            </w:r>
            <w:r w:rsidR="00AF4E66" w:rsidRPr="00AC41E0">
              <w:t xml:space="preserve">. </w:t>
            </w:r>
          </w:p>
        </w:tc>
      </w:tr>
    </w:tbl>
    <w:p w14:paraId="530AF740" w14:textId="163D98C7" w:rsidR="00023FF6" w:rsidRPr="00AC41E0" w:rsidRDefault="00023FF6" w:rsidP="00D4137E">
      <w:pPr>
        <w:ind w:left="74"/>
        <w:jc w:val="center"/>
        <w:rPr>
          <w:rFonts w:ascii="Arial" w:eastAsia="Calibri" w:hAnsi="Arial" w:cs="Arial"/>
          <w:b/>
        </w:rPr>
      </w:pPr>
    </w:p>
    <w:p w14:paraId="541AD093" w14:textId="77777777" w:rsidR="00023FF6" w:rsidRPr="00AC41E0" w:rsidRDefault="00023FF6">
      <w:pPr>
        <w:rPr>
          <w:rFonts w:ascii="Arial" w:eastAsia="Calibri" w:hAnsi="Arial" w:cs="Arial"/>
          <w:b/>
        </w:rPr>
      </w:pPr>
      <w:r w:rsidRPr="00AC41E0">
        <w:rPr>
          <w:rFonts w:ascii="Arial" w:eastAsia="Calibri" w:hAnsi="Arial" w:cs="Arial"/>
          <w:b/>
        </w:rPr>
        <w:br w:type="page"/>
      </w:r>
    </w:p>
    <w:p w14:paraId="11463222" w14:textId="77777777" w:rsidR="00E75987" w:rsidRPr="00AC41E0" w:rsidRDefault="00E75987" w:rsidP="00D4137E">
      <w:pPr>
        <w:pStyle w:val="Heading3"/>
        <w:ind w:left="868"/>
        <w:rPr>
          <w:rFonts w:ascii="Arial" w:hAnsi="Arial"/>
        </w:rPr>
        <w:sectPr w:rsidR="00E75987" w:rsidRPr="00AC41E0" w:rsidSect="00473876">
          <w:pgSz w:w="16838" w:h="11906" w:orient="landscape"/>
          <w:pgMar w:top="1440" w:right="1440" w:bottom="1440" w:left="1440" w:header="708" w:footer="708" w:gutter="0"/>
          <w:cols w:space="708"/>
          <w:docGrid w:linePitch="360"/>
        </w:sectPr>
      </w:pPr>
      <w:bookmarkStart w:id="1427" w:name="_Toc14454748"/>
      <w:bookmarkStart w:id="1428" w:name="_Toc14686319"/>
      <w:bookmarkStart w:id="1429" w:name="_Toc14690058"/>
      <w:bookmarkStart w:id="1430" w:name="_Toc14692023"/>
      <w:bookmarkStart w:id="1431" w:name="_Toc14694096"/>
      <w:bookmarkStart w:id="1432" w:name="_Toc14694243"/>
      <w:bookmarkStart w:id="1433" w:name="_Toc14695815"/>
      <w:bookmarkStart w:id="1434" w:name="_Toc14701024"/>
      <w:bookmarkStart w:id="1435" w:name="_Toc14703000"/>
      <w:bookmarkStart w:id="1436" w:name="_Toc14709875"/>
      <w:bookmarkStart w:id="1437" w:name="_Toc14768742"/>
      <w:bookmarkStart w:id="1438" w:name="_Toc14771198"/>
      <w:bookmarkStart w:id="1439" w:name="_Toc14771381"/>
      <w:bookmarkStart w:id="1440" w:name="_Toc14771765"/>
      <w:bookmarkStart w:id="1441" w:name="_Toc14771975"/>
      <w:bookmarkStart w:id="1442" w:name="_Toc14774560"/>
      <w:bookmarkStart w:id="1443" w:name="_Toc14775624"/>
      <w:bookmarkStart w:id="1444" w:name="_Toc14775787"/>
      <w:bookmarkStart w:id="1445" w:name="_Toc14776381"/>
      <w:bookmarkStart w:id="1446" w:name="_Toc14777982"/>
      <w:bookmarkStart w:id="1447" w:name="_Toc14778128"/>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14:paraId="12DD2135" w14:textId="46E66F3C" w:rsidR="008E1AD3" w:rsidRPr="00AC41E0" w:rsidRDefault="008E1AD3" w:rsidP="00D4137E">
      <w:pPr>
        <w:pStyle w:val="Heading3"/>
        <w:ind w:left="868"/>
        <w:rPr>
          <w:rFonts w:ascii="Arial" w:hAnsi="Arial"/>
        </w:rPr>
      </w:pPr>
      <w:bookmarkStart w:id="1448" w:name="_Toc65760558"/>
      <w:r w:rsidRPr="00E46FB0">
        <w:rPr>
          <w:rFonts w:ascii="Arial" w:hAnsi="Arial"/>
        </w:rPr>
        <w:lastRenderedPageBreak/>
        <w:t>Procurement risks</w:t>
      </w:r>
      <w:bookmarkEnd w:id="1424"/>
      <w:bookmarkEnd w:id="1425"/>
      <w:bookmarkEnd w:id="1426"/>
      <w:bookmarkEnd w:id="1448"/>
    </w:p>
    <w:p w14:paraId="484FB55C" w14:textId="7C539C79" w:rsidR="008E1AD3" w:rsidRPr="00AC41E0" w:rsidRDefault="008E1AD3" w:rsidP="00D4137E">
      <w:pPr>
        <w:pStyle w:val="DCSbodytext"/>
        <w:ind w:left="868"/>
      </w:pPr>
      <w:r w:rsidRPr="00AC41E0">
        <w:t>Identification, assessment</w:t>
      </w:r>
      <w:r w:rsidR="00292E1F" w:rsidRPr="00AC41E0">
        <w:t>,</w:t>
      </w:r>
      <w:r w:rsidRPr="00AC41E0">
        <w:t xml:space="preserve"> and treatment of risks are integral to the procurement process. By identifying potential risks during the planning stage, you can formulate a plan to mitigate them. The effort expended in managing risks in a procurement process should be consistent with the estimated cost, complexity and nature of the procurement. </w:t>
      </w:r>
    </w:p>
    <w:p w14:paraId="44B48769" w14:textId="77777777" w:rsidR="009F735A" w:rsidRPr="00AC41E0" w:rsidRDefault="008E1AD3" w:rsidP="00D4137E">
      <w:pPr>
        <w:pStyle w:val="DCSbodytext"/>
        <w:ind w:left="868"/>
      </w:pPr>
      <w:r w:rsidRPr="00AC41E0">
        <w:t xml:space="preserve">When identifying the risks and potential treatments to mitigate them, people with relevant expertise should be consulted (for example, privacy, information management, cyber security experts). </w:t>
      </w:r>
    </w:p>
    <w:p w14:paraId="34ED72B9" w14:textId="672D7955" w:rsidR="008E1AD3" w:rsidRPr="00AC41E0" w:rsidRDefault="008E1AD3" w:rsidP="00D4137E">
      <w:pPr>
        <w:pStyle w:val="DCSbodytext"/>
        <w:ind w:left="868"/>
      </w:pPr>
      <w:r w:rsidRPr="00AC41E0">
        <w:t>It is the nature of risk and risk management that, sometimes, unexpected problems occur. When this happens, it is important that the reasons and circumstances are identified</w:t>
      </w:r>
      <w:r w:rsidR="002F4B7C" w:rsidRPr="00AC41E0">
        <w:t xml:space="preserve">, </w:t>
      </w:r>
      <w:r w:rsidRPr="00AC41E0">
        <w:t xml:space="preserve">documented and taken into account with future risk analyses including updating guidance documents. Remember to document your risks in a </w:t>
      </w:r>
      <w:hyperlink r:id="rId239" w:history="1">
        <w:r w:rsidRPr="00AC41E0">
          <w:rPr>
            <w:rStyle w:val="Hyperlink"/>
          </w:rPr>
          <w:t>Procurement Risk Register</w:t>
        </w:r>
      </w:hyperlink>
      <w:r w:rsidRPr="00E46FB0">
        <w:t xml:space="preserve">. </w:t>
      </w:r>
    </w:p>
    <w:p w14:paraId="066948B8" w14:textId="58ADF827" w:rsidR="00740B53" w:rsidRPr="00AC41E0" w:rsidRDefault="008E1AD3" w:rsidP="00D4137E">
      <w:pPr>
        <w:pStyle w:val="DCSbodytext"/>
        <w:ind w:left="868"/>
      </w:pPr>
      <w:r w:rsidRPr="00AC41E0">
        <w:t xml:space="preserve">The table below sets out common procurement risks and avoidance techniques. It is not an exhaustive list. More information on risks throughout the IoT user journey is available in the </w:t>
      </w:r>
      <w:hyperlink w:anchor="_Risks_and_Obligations" w:history="1">
        <w:r w:rsidRPr="00AC41E0">
          <w:rPr>
            <w:rStyle w:val="Hyperlink"/>
          </w:rPr>
          <w:t xml:space="preserve">Risks and </w:t>
        </w:r>
        <w:r w:rsidR="00B44F50" w:rsidRPr="00AC41E0">
          <w:rPr>
            <w:rStyle w:val="Hyperlink"/>
          </w:rPr>
          <w:t>o</w:t>
        </w:r>
        <w:r w:rsidRPr="00AC41E0">
          <w:rPr>
            <w:rStyle w:val="Hyperlink"/>
          </w:rPr>
          <w:t>bligations chapter</w:t>
        </w:r>
      </w:hyperlink>
      <w:r w:rsidRPr="00E46FB0">
        <w:t xml:space="preserve">. </w:t>
      </w:r>
    </w:p>
    <w:p w14:paraId="4584BAEC" w14:textId="77777777" w:rsidR="00E75987" w:rsidRPr="00AC41E0" w:rsidRDefault="00E75987">
      <w:pPr>
        <w:rPr>
          <w:b/>
        </w:rPr>
        <w:sectPr w:rsidR="00E75987" w:rsidRPr="00AC41E0" w:rsidSect="00E75987">
          <w:pgSz w:w="11906" w:h="16838"/>
          <w:pgMar w:top="1440" w:right="1440" w:bottom="1440" w:left="1440" w:header="709" w:footer="709" w:gutter="0"/>
          <w:cols w:space="708"/>
          <w:docGrid w:linePitch="360"/>
        </w:sectPr>
      </w:pPr>
    </w:p>
    <w:p w14:paraId="67509160" w14:textId="696D2DF4" w:rsidR="008E1AD3" w:rsidRPr="00AC41E0" w:rsidRDefault="008E1AD3" w:rsidP="00E75987">
      <w:pPr>
        <w:jc w:val="center"/>
        <w:rPr>
          <w:rFonts w:ascii="Arial" w:eastAsia="Calibri" w:hAnsi="Arial" w:cs="Arial"/>
          <w:b/>
          <w:sz w:val="22"/>
          <w:szCs w:val="22"/>
        </w:rPr>
      </w:pPr>
      <w:r w:rsidRPr="00E46FB0">
        <w:rPr>
          <w:rFonts w:ascii="Arial" w:eastAsia="Calibri" w:hAnsi="Arial" w:cs="Arial"/>
          <w:b/>
          <w:sz w:val="22"/>
          <w:szCs w:val="22"/>
        </w:rPr>
        <w:lastRenderedPageBreak/>
        <w:t>Common risks in procurement involving IoT goods and service</w:t>
      </w:r>
      <w:r w:rsidR="003512EA" w:rsidRPr="00AC41E0">
        <w:rPr>
          <w:rFonts w:ascii="Arial" w:eastAsia="Calibri" w:hAnsi="Arial" w:cs="Arial"/>
          <w:b/>
          <w:sz w:val="22"/>
          <w:szCs w:val="22"/>
        </w:rPr>
        <w:t>s</w:t>
      </w:r>
    </w:p>
    <w:p w14:paraId="1C88C7FA" w14:textId="77777777" w:rsidR="00E75987" w:rsidRPr="00AC41E0" w:rsidRDefault="00E75987" w:rsidP="00E75987">
      <w:pPr>
        <w:rPr>
          <w:rFonts w:ascii="Arial" w:eastAsia="Calibri" w:hAnsi="Arial" w:cs="Arial"/>
          <w:b/>
          <w:sz w:val="22"/>
          <w:szCs w:val="22"/>
        </w:rPr>
      </w:pPr>
    </w:p>
    <w:p w14:paraId="45BAD14B" w14:textId="77777777" w:rsidR="00D3330D" w:rsidRPr="00AC41E0" w:rsidRDefault="00D3330D"/>
    <w:tbl>
      <w:tblPr>
        <w:tblStyle w:val="GridTable4-Accent1"/>
        <w:tblW w:w="14175" w:type="dxa"/>
        <w:tblInd w:w="-5" w:type="dxa"/>
        <w:tblLook w:val="04A0" w:firstRow="1" w:lastRow="0" w:firstColumn="1" w:lastColumn="0" w:noHBand="0" w:noVBand="1"/>
      </w:tblPr>
      <w:tblGrid>
        <w:gridCol w:w="2979"/>
        <w:gridCol w:w="11196"/>
      </w:tblGrid>
      <w:tr w:rsidR="00E75987" w:rsidRPr="00AC41E0" w14:paraId="419C813B" w14:textId="77777777" w:rsidTr="004635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9" w:type="dxa"/>
            <w:tcBorders>
              <w:top w:val="single" w:sz="4" w:space="0" w:color="auto"/>
              <w:left w:val="single" w:sz="4" w:space="0" w:color="auto"/>
              <w:bottom w:val="single" w:sz="4" w:space="0" w:color="auto"/>
              <w:right w:val="single" w:sz="4" w:space="0" w:color="auto"/>
            </w:tcBorders>
            <w:shd w:val="clear" w:color="auto" w:fill="1F497D" w:themeFill="text2"/>
          </w:tcPr>
          <w:p w14:paraId="6F91CB8F" w14:textId="77777777" w:rsidR="00E75987" w:rsidRPr="00AC41E0" w:rsidRDefault="00E75987" w:rsidP="00757EC1">
            <w:pPr>
              <w:pStyle w:val="DCSbodytext"/>
              <w:ind w:left="0"/>
              <w:jc w:val="center"/>
              <w:rPr>
                <w:szCs w:val="22"/>
              </w:rPr>
            </w:pPr>
            <w:r w:rsidRPr="00AC41E0">
              <w:rPr>
                <w:szCs w:val="22"/>
              </w:rPr>
              <w:t>Procurement risk</w:t>
            </w:r>
          </w:p>
        </w:tc>
        <w:tc>
          <w:tcPr>
            <w:tcW w:w="11196" w:type="dxa"/>
            <w:tcBorders>
              <w:top w:val="single" w:sz="4" w:space="0" w:color="auto"/>
              <w:left w:val="single" w:sz="4" w:space="0" w:color="auto"/>
              <w:bottom w:val="single" w:sz="4" w:space="0" w:color="auto"/>
              <w:right w:val="single" w:sz="4" w:space="0" w:color="auto"/>
            </w:tcBorders>
            <w:shd w:val="clear" w:color="auto" w:fill="1F497D" w:themeFill="text2"/>
          </w:tcPr>
          <w:p w14:paraId="473B1B8B" w14:textId="77777777" w:rsidR="00E75987" w:rsidRPr="00AC41E0" w:rsidRDefault="00E75987" w:rsidP="00757EC1">
            <w:pPr>
              <w:pStyle w:val="DCSbodytext"/>
              <w:ind w:left="0"/>
              <w:jc w:val="center"/>
              <w:cnfStyle w:val="100000000000" w:firstRow="1" w:lastRow="0" w:firstColumn="0" w:lastColumn="0" w:oddVBand="0" w:evenVBand="0" w:oddHBand="0" w:evenHBand="0" w:firstRowFirstColumn="0" w:firstRowLastColumn="0" w:lastRowFirstColumn="0" w:lastRowLastColumn="0"/>
              <w:rPr>
                <w:szCs w:val="22"/>
              </w:rPr>
            </w:pPr>
            <w:r w:rsidRPr="00AC41E0">
              <w:rPr>
                <w:szCs w:val="22"/>
              </w:rPr>
              <w:t>How to avoid it</w:t>
            </w:r>
          </w:p>
        </w:tc>
      </w:tr>
      <w:tr w:rsidR="00E75987" w:rsidRPr="00AC41E0" w14:paraId="65EFFB18" w14:textId="77777777" w:rsidTr="0046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9" w:type="dxa"/>
          </w:tcPr>
          <w:p w14:paraId="2C169731" w14:textId="77777777" w:rsidR="00E75987" w:rsidRPr="00AC41E0" w:rsidRDefault="00E75987" w:rsidP="00757EC1">
            <w:pPr>
              <w:pStyle w:val="DCSbodytext"/>
              <w:spacing w:after="120"/>
              <w:ind w:left="0"/>
              <w:rPr>
                <w:szCs w:val="22"/>
              </w:rPr>
            </w:pPr>
            <w:r w:rsidRPr="00AC41E0">
              <w:t>Insufficient lead-time resulting in inadequate responses from and higher prices from prospective IoT service providers</w:t>
            </w:r>
          </w:p>
        </w:tc>
        <w:tc>
          <w:tcPr>
            <w:tcW w:w="11196" w:type="dxa"/>
          </w:tcPr>
          <w:p w14:paraId="79B2F5B5" w14:textId="77777777" w:rsidR="00E75987" w:rsidRPr="00AC41E0" w:rsidRDefault="00E75987" w:rsidP="00E75987">
            <w:pPr>
              <w:pStyle w:val="DCSbodytext"/>
              <w:numPr>
                <w:ilvl w:val="0"/>
                <w:numId w:val="56"/>
              </w:numPr>
              <w:spacing w:after="120"/>
              <w:cnfStyle w:val="000000100000" w:firstRow="0" w:lastRow="0" w:firstColumn="0" w:lastColumn="0" w:oddVBand="0" w:evenVBand="0" w:oddHBand="1" w:evenHBand="0" w:firstRowFirstColumn="0" w:firstRowLastColumn="0" w:lastRowFirstColumn="0" w:lastRowLastColumn="0"/>
            </w:pPr>
            <w:r w:rsidRPr="00AC41E0">
              <w:t xml:space="preserve">Involve procurement officers in the project planning phase. </w:t>
            </w:r>
          </w:p>
          <w:p w14:paraId="618928D2" w14:textId="0512301A" w:rsidR="00E75987" w:rsidRPr="00AC41E0" w:rsidRDefault="00E75987" w:rsidP="00E75987">
            <w:pPr>
              <w:pStyle w:val="DCSbodytext"/>
              <w:numPr>
                <w:ilvl w:val="0"/>
                <w:numId w:val="56"/>
              </w:numPr>
              <w:spacing w:after="120"/>
              <w:cnfStyle w:val="000000100000" w:firstRow="0" w:lastRow="0" w:firstColumn="0" w:lastColumn="0" w:oddVBand="0" w:evenVBand="0" w:oddHBand="1" w:evenHBand="0" w:firstRowFirstColumn="0" w:firstRowLastColumn="0" w:lastRowFirstColumn="0" w:lastRowLastColumn="0"/>
              <w:rPr>
                <w:szCs w:val="22"/>
              </w:rPr>
            </w:pPr>
            <w:r w:rsidRPr="00AC41E0">
              <w:t xml:space="preserve">The </w:t>
            </w:r>
            <w:hyperlink r:id="rId240" w:history="1">
              <w:r w:rsidRPr="00AC41E0">
                <w:rPr>
                  <w:rStyle w:val="Hyperlink"/>
                </w:rPr>
                <w:t>NSW Procurement Board Industry Engagement Guide</w:t>
              </w:r>
            </w:hyperlink>
            <w:r w:rsidRPr="00E46FB0">
              <w:t xml:space="preserve"> p</w:t>
            </w:r>
            <w:r w:rsidRPr="00AC41E0">
              <w:rPr>
                <w:rFonts w:eastAsia="Times New Roman" w:cs="Times New Roman"/>
              </w:rPr>
              <w:t xml:space="preserve">rovides advice on planning industry engagement activities and how to incorporate the outputs and outcomes into the formal procurement process.  </w:t>
            </w:r>
          </w:p>
        </w:tc>
      </w:tr>
      <w:tr w:rsidR="00E75987" w:rsidRPr="00AC41E0" w14:paraId="56366047" w14:textId="77777777" w:rsidTr="004635D0">
        <w:tc>
          <w:tcPr>
            <w:cnfStyle w:val="001000000000" w:firstRow="0" w:lastRow="0" w:firstColumn="1" w:lastColumn="0" w:oddVBand="0" w:evenVBand="0" w:oddHBand="0" w:evenHBand="0" w:firstRowFirstColumn="0" w:firstRowLastColumn="0" w:lastRowFirstColumn="0" w:lastRowLastColumn="0"/>
            <w:tcW w:w="2979" w:type="dxa"/>
          </w:tcPr>
          <w:p w14:paraId="4280BCC2" w14:textId="77777777" w:rsidR="00E75987" w:rsidRPr="00AC41E0" w:rsidRDefault="00E75987" w:rsidP="00757EC1">
            <w:pPr>
              <w:pStyle w:val="DCSbodytext"/>
              <w:spacing w:after="120"/>
              <w:ind w:left="0"/>
            </w:pPr>
            <w:r w:rsidRPr="00AC41E0">
              <w:t>Inadequate or unclear specifications that:</w:t>
            </w:r>
          </w:p>
          <w:p w14:paraId="5FD62DAD" w14:textId="77777777" w:rsidR="00E75987" w:rsidRPr="00AC41E0" w:rsidRDefault="00E75987" w:rsidP="00E75987">
            <w:pPr>
              <w:pStyle w:val="DCStablebodytext"/>
              <w:numPr>
                <w:ilvl w:val="0"/>
                <w:numId w:val="21"/>
              </w:numPr>
              <w:spacing w:after="120"/>
              <w:rPr>
                <w:rFonts w:eastAsia="Calibri"/>
              </w:rPr>
            </w:pPr>
            <w:r w:rsidRPr="00AC41E0">
              <w:rPr>
                <w:rFonts w:eastAsia="Calibri"/>
              </w:rPr>
              <w:t>result in responses which are insufficient/ do not meet your needs/are difficult to evaluate</w:t>
            </w:r>
          </w:p>
          <w:p w14:paraId="36A31F76" w14:textId="77777777" w:rsidR="00E75987" w:rsidRPr="00AC41E0" w:rsidRDefault="00E75987" w:rsidP="00E75987">
            <w:pPr>
              <w:pStyle w:val="DCSbodytext"/>
              <w:numPr>
                <w:ilvl w:val="0"/>
                <w:numId w:val="21"/>
              </w:numPr>
              <w:spacing w:after="120"/>
              <w:rPr>
                <w:szCs w:val="22"/>
              </w:rPr>
            </w:pPr>
            <w:r w:rsidRPr="00AC41E0">
              <w:rPr>
                <w:rFonts w:eastAsia="Calibri"/>
              </w:rPr>
              <w:t>create the possibility that evaluation will not meet probity/ audit scrutiny</w:t>
            </w:r>
          </w:p>
        </w:tc>
        <w:tc>
          <w:tcPr>
            <w:tcW w:w="11196" w:type="dxa"/>
          </w:tcPr>
          <w:p w14:paraId="2AFAD500" w14:textId="77777777" w:rsidR="00E75987" w:rsidRPr="00AC41E0" w:rsidRDefault="00E75987" w:rsidP="00E75987">
            <w:pPr>
              <w:pStyle w:val="DCSbodytext"/>
              <w:numPr>
                <w:ilvl w:val="0"/>
                <w:numId w:val="21"/>
              </w:numPr>
              <w:spacing w:after="120"/>
              <w:cnfStyle w:val="000000000000" w:firstRow="0" w:lastRow="0" w:firstColumn="0" w:lastColumn="0" w:oddVBand="0" w:evenVBand="0" w:oddHBand="0" w:evenHBand="0" w:firstRowFirstColumn="0" w:firstRowLastColumn="0" w:lastRowFirstColumn="0" w:lastRowLastColumn="0"/>
            </w:pPr>
            <w:r w:rsidRPr="00AC41E0">
              <w:t xml:space="preserve">Seek advice from procurement officers or other teams or organisations that have experienced similar issues. </w:t>
            </w:r>
          </w:p>
          <w:p w14:paraId="73CA2063" w14:textId="77777777" w:rsidR="00E75987" w:rsidRPr="00AC41E0" w:rsidRDefault="00E75987" w:rsidP="00E75987">
            <w:pPr>
              <w:pStyle w:val="DCSbodytext"/>
              <w:numPr>
                <w:ilvl w:val="0"/>
                <w:numId w:val="21"/>
              </w:numPr>
              <w:spacing w:after="120"/>
              <w:cnfStyle w:val="000000000000" w:firstRow="0" w:lastRow="0" w:firstColumn="0" w:lastColumn="0" w:oddVBand="0" w:evenVBand="0" w:oddHBand="0" w:evenHBand="0" w:firstRowFirstColumn="0" w:firstRowLastColumn="0" w:lastRowFirstColumn="0" w:lastRowLastColumn="0"/>
            </w:pPr>
            <w:r w:rsidRPr="00AC41E0">
              <w:t xml:space="preserve">Have a clear understanding of the problem you are trying to solve/outcome you want to achieve and your success criteria. </w:t>
            </w:r>
          </w:p>
          <w:p w14:paraId="2C49696E" w14:textId="77777777" w:rsidR="00E75987" w:rsidRPr="00AC41E0" w:rsidRDefault="00E75987" w:rsidP="00E75987">
            <w:pPr>
              <w:pStyle w:val="DCSbodytext"/>
              <w:numPr>
                <w:ilvl w:val="0"/>
                <w:numId w:val="21"/>
              </w:numPr>
              <w:spacing w:after="120"/>
              <w:cnfStyle w:val="000000000000" w:firstRow="0" w:lastRow="0" w:firstColumn="0" w:lastColumn="0" w:oddVBand="0" w:evenVBand="0" w:oddHBand="0" w:evenHBand="0" w:firstRowFirstColumn="0" w:firstRowLastColumn="0" w:lastRowFirstColumn="0" w:lastRowLastColumn="0"/>
            </w:pPr>
            <w:r w:rsidRPr="00AC41E0">
              <w:t xml:space="preserve">Run a multi-stage tender process where you: </w:t>
            </w:r>
          </w:p>
          <w:p w14:paraId="175E775B" w14:textId="77777777" w:rsidR="00E75987" w:rsidRPr="00AC41E0" w:rsidRDefault="00E75987" w:rsidP="00E75987">
            <w:pPr>
              <w:pStyle w:val="DCSbodytext"/>
              <w:numPr>
                <w:ilvl w:val="0"/>
                <w:numId w:val="102"/>
              </w:numPr>
              <w:spacing w:after="120"/>
              <w:ind w:left="714" w:hanging="357"/>
              <w:cnfStyle w:val="000000000000" w:firstRow="0" w:lastRow="0" w:firstColumn="0" w:lastColumn="0" w:oddVBand="0" w:evenVBand="0" w:oddHBand="0" w:evenHBand="0" w:firstRowFirstColumn="0" w:firstRowLastColumn="0" w:lastRowFirstColumn="0" w:lastRowLastColumn="0"/>
            </w:pPr>
            <w:r w:rsidRPr="00AC41E0">
              <w:t>release specifications for industry input prior to the final tender being released</w:t>
            </w:r>
          </w:p>
          <w:p w14:paraId="1E15A219" w14:textId="77777777" w:rsidR="00E75987" w:rsidRPr="00AC41E0" w:rsidRDefault="00E75987" w:rsidP="00E75987">
            <w:pPr>
              <w:pStyle w:val="DCSbodytext"/>
              <w:numPr>
                <w:ilvl w:val="0"/>
                <w:numId w:val="102"/>
              </w:numPr>
              <w:cnfStyle w:val="000000000000" w:firstRow="0" w:lastRow="0" w:firstColumn="0" w:lastColumn="0" w:oddVBand="0" w:evenVBand="0" w:oddHBand="0" w:evenHBand="0" w:firstRowFirstColumn="0" w:firstRowLastColumn="0" w:lastRowFirstColumn="0" w:lastRowLastColumn="0"/>
            </w:pPr>
            <w:r w:rsidRPr="00AC41E0">
              <w:t>run an information session/workshop.</w:t>
            </w:r>
          </w:p>
          <w:p w14:paraId="3EF849DC" w14:textId="77777777" w:rsidR="00E75987" w:rsidRPr="00AC41E0" w:rsidRDefault="00E75987" w:rsidP="00757EC1">
            <w:pPr>
              <w:pStyle w:val="DCSbullet"/>
              <w:tabs>
                <w:tab w:val="clear" w:pos="794"/>
              </w:tabs>
              <w:spacing w:line="276" w:lineRule="auto"/>
              <w:ind w:left="330"/>
              <w:cnfStyle w:val="000000000000" w:firstRow="0" w:lastRow="0" w:firstColumn="0" w:lastColumn="0" w:oddVBand="0" w:evenVBand="0" w:oddHBand="0" w:evenHBand="0" w:firstRowFirstColumn="0" w:firstRowLastColumn="0" w:lastRowFirstColumn="0" w:lastRowLastColumn="0"/>
              <w:rPr>
                <w:szCs w:val="22"/>
              </w:rPr>
            </w:pPr>
            <w:r w:rsidRPr="00AC41E0">
              <w:rPr>
                <w:rStyle w:val="DCSbodytextChar"/>
              </w:rPr>
              <w:t xml:space="preserve">Publish these opportunities publicly (i.e. on </w:t>
            </w:r>
            <w:hyperlink r:id="rId241" w:history="1">
              <w:r w:rsidRPr="00AC41E0">
                <w:rPr>
                  <w:rStyle w:val="Hyperlink"/>
                </w:rPr>
                <w:t>eTendering</w:t>
              </w:r>
            </w:hyperlink>
            <w:r w:rsidRPr="00E46FB0">
              <w:rPr>
                <w:rStyle w:val="DCSbodytextChar"/>
              </w:rPr>
              <w:t>) to gi</w:t>
            </w:r>
            <w:r w:rsidRPr="00AC41E0">
              <w:rPr>
                <w:rStyle w:val="DCSbodytextChar"/>
                <w:rFonts w:eastAsia="Times New Roman"/>
              </w:rPr>
              <w:t>ve all prospective tenderers an opportunity to participate</w:t>
            </w:r>
            <w:r w:rsidRPr="00AC41E0">
              <w:rPr>
                <w:rFonts w:eastAsia="Times New Roman"/>
              </w:rPr>
              <w:t xml:space="preserve">. </w:t>
            </w:r>
          </w:p>
        </w:tc>
      </w:tr>
      <w:tr w:rsidR="00E93400" w:rsidRPr="00AC41E0" w14:paraId="4FD0AAF9" w14:textId="77777777" w:rsidTr="00D3330D">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9" w:type="dxa"/>
          </w:tcPr>
          <w:p w14:paraId="052C31BD" w14:textId="50CAD5FF" w:rsidR="00E93400" w:rsidRPr="00AC41E0" w:rsidRDefault="00E93400" w:rsidP="00C2187D">
            <w:pPr>
              <w:pStyle w:val="DCSbodytext"/>
              <w:spacing w:after="120"/>
              <w:ind w:left="0"/>
              <w:rPr>
                <w:szCs w:val="22"/>
              </w:rPr>
            </w:pPr>
            <w:r w:rsidRPr="00AC41E0">
              <w:t xml:space="preserve">Misrepresentation of facts by potential </w:t>
            </w:r>
            <w:r w:rsidR="00403654" w:rsidRPr="00AC41E0">
              <w:t xml:space="preserve">IoT service providers </w:t>
            </w:r>
            <w:r w:rsidRPr="00AC41E0">
              <w:t>resulting in claims of unethical or unfair dealing, or breach of contract</w:t>
            </w:r>
          </w:p>
        </w:tc>
        <w:tc>
          <w:tcPr>
            <w:tcW w:w="11196" w:type="dxa"/>
          </w:tcPr>
          <w:p w14:paraId="2DA52646" w14:textId="3D463DC7" w:rsidR="00BC7457" w:rsidRPr="00AC41E0" w:rsidRDefault="00E93400" w:rsidP="00D978A4">
            <w:pPr>
              <w:pStyle w:val="DCSbodytext"/>
              <w:numPr>
                <w:ilvl w:val="0"/>
                <w:numId w:val="47"/>
              </w:numPr>
              <w:spacing w:after="120"/>
              <w:ind w:left="324" w:hanging="324"/>
              <w:cnfStyle w:val="000000100000" w:firstRow="0" w:lastRow="0" w:firstColumn="0" w:lastColumn="0" w:oddVBand="0" w:evenVBand="0" w:oddHBand="1" w:evenHBand="0" w:firstRowFirstColumn="0" w:firstRowLastColumn="0" w:lastRowFirstColumn="0" w:lastRowLastColumn="0"/>
            </w:pPr>
            <w:r w:rsidRPr="00AC41E0">
              <w:t xml:space="preserve">Independently verify </w:t>
            </w:r>
            <w:r w:rsidR="00403654" w:rsidRPr="00AC41E0">
              <w:t xml:space="preserve">service provider </w:t>
            </w:r>
            <w:r w:rsidRPr="00AC41E0">
              <w:t xml:space="preserve">qualifications. </w:t>
            </w:r>
          </w:p>
          <w:p w14:paraId="7D03206A" w14:textId="77777777" w:rsidR="00BC7457" w:rsidRPr="00AC41E0" w:rsidRDefault="00E93400" w:rsidP="00D978A4">
            <w:pPr>
              <w:pStyle w:val="DCSbodytext"/>
              <w:numPr>
                <w:ilvl w:val="0"/>
                <w:numId w:val="47"/>
              </w:numPr>
              <w:spacing w:after="120"/>
              <w:ind w:left="324" w:hanging="324"/>
              <w:cnfStyle w:val="000000100000" w:firstRow="0" w:lastRow="0" w:firstColumn="0" w:lastColumn="0" w:oddVBand="0" w:evenVBand="0" w:oddHBand="1" w:evenHBand="0" w:firstRowFirstColumn="0" w:firstRowLastColumn="0" w:lastRowFirstColumn="0" w:lastRowLastColumn="0"/>
            </w:pPr>
            <w:r w:rsidRPr="00AC41E0">
              <w:t>Conduct due diligence checks such as past convictions, corruption findings, bankruptcy or insolvency checks.</w:t>
            </w:r>
          </w:p>
          <w:p w14:paraId="3934F17C" w14:textId="77777777" w:rsidR="00BC7457" w:rsidRPr="00AC41E0" w:rsidRDefault="00E93400" w:rsidP="00D978A4">
            <w:pPr>
              <w:pStyle w:val="DCSbodytext"/>
              <w:numPr>
                <w:ilvl w:val="0"/>
                <w:numId w:val="47"/>
              </w:numPr>
              <w:spacing w:after="120"/>
              <w:ind w:left="324" w:hanging="324"/>
              <w:cnfStyle w:val="000000100000" w:firstRow="0" w:lastRow="0" w:firstColumn="0" w:lastColumn="0" w:oddVBand="0" w:evenVBand="0" w:oddHBand="1" w:evenHBand="0" w:firstRowFirstColumn="0" w:firstRowLastColumn="0" w:lastRowFirstColumn="0" w:lastRowLastColumn="0"/>
            </w:pPr>
            <w:r w:rsidRPr="00AC41E0">
              <w:t>Seek referee reports and independently verify their accuracy.</w:t>
            </w:r>
          </w:p>
          <w:p w14:paraId="0B7CDA55" w14:textId="43D6F7C2" w:rsidR="00E93400" w:rsidRPr="00AC41E0" w:rsidRDefault="00E93400" w:rsidP="00D978A4">
            <w:pPr>
              <w:pStyle w:val="DCSbodytext"/>
              <w:numPr>
                <w:ilvl w:val="0"/>
                <w:numId w:val="47"/>
              </w:numPr>
              <w:spacing w:after="120"/>
              <w:ind w:left="324" w:hanging="324"/>
              <w:cnfStyle w:val="000000100000" w:firstRow="0" w:lastRow="0" w:firstColumn="0" w:lastColumn="0" w:oddVBand="0" w:evenVBand="0" w:oddHBand="1" w:evenHBand="0" w:firstRowFirstColumn="0" w:firstRowLastColumn="0" w:lastRowFirstColumn="0" w:lastRowLastColumn="0"/>
            </w:pPr>
            <w:r w:rsidRPr="00AC41E0">
              <w:t xml:space="preserve">Confirm adequate performance if the </w:t>
            </w:r>
            <w:r w:rsidR="00403654" w:rsidRPr="00AC41E0">
              <w:t xml:space="preserve">IoT service providers </w:t>
            </w:r>
            <w:r w:rsidR="00292E1F" w:rsidRPr="00AC41E0">
              <w:t xml:space="preserve">have </w:t>
            </w:r>
            <w:r w:rsidRPr="00AC41E0">
              <w:t>previously supplied to government.</w:t>
            </w:r>
          </w:p>
        </w:tc>
      </w:tr>
      <w:tr w:rsidR="00E93400" w:rsidRPr="00AC41E0" w14:paraId="746086B1" w14:textId="77777777" w:rsidTr="00D3330D">
        <w:tblPrEx>
          <w:tblLook w:val="0480" w:firstRow="0"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979" w:type="dxa"/>
          </w:tcPr>
          <w:p w14:paraId="133BDFDC" w14:textId="06E11961" w:rsidR="00E93400" w:rsidRPr="00AC41E0" w:rsidRDefault="00E93400" w:rsidP="00C2187D">
            <w:pPr>
              <w:pStyle w:val="DCSbodytext"/>
              <w:spacing w:after="120"/>
              <w:ind w:left="0"/>
            </w:pPr>
            <w:r w:rsidRPr="00AC41E0">
              <w:lastRenderedPageBreak/>
              <w:t>Selection of inappropriate procurement strategy leading to an inadequate or inappropriate result and/or not achieving value for money</w:t>
            </w:r>
          </w:p>
        </w:tc>
        <w:tc>
          <w:tcPr>
            <w:tcW w:w="11196" w:type="dxa"/>
          </w:tcPr>
          <w:p w14:paraId="0A58BEF5" w14:textId="7C0E5A79" w:rsidR="00025F1F" w:rsidRPr="00AC41E0" w:rsidRDefault="00025F1F" w:rsidP="0003467D">
            <w:pPr>
              <w:pStyle w:val="DCSbodytext"/>
              <w:numPr>
                <w:ilvl w:val="0"/>
                <w:numId w:val="39"/>
              </w:numPr>
              <w:spacing w:after="120"/>
              <w:cnfStyle w:val="000000000000" w:firstRow="0" w:lastRow="0" w:firstColumn="0" w:lastColumn="0" w:oddVBand="0" w:evenVBand="0" w:oddHBand="0" w:evenHBand="0" w:firstRowFirstColumn="0" w:firstRowLastColumn="0" w:lastRowFirstColumn="0" w:lastRowLastColumn="0"/>
            </w:pPr>
            <w:r w:rsidRPr="00AC41E0">
              <w:t>Consider your business needs, key risks</w:t>
            </w:r>
            <w:r w:rsidR="00292E1F" w:rsidRPr="00AC41E0">
              <w:t>,</w:t>
            </w:r>
            <w:r w:rsidRPr="00AC41E0">
              <w:t xml:space="preserve"> and opportunities. Be clear on your desired procurement outcomes. This must be reflected in your procurement strategy (check out the NSW Procurement Approach for a </w:t>
            </w:r>
            <w:hyperlink r:id="rId242" w:history="1">
              <w:r w:rsidRPr="00AC41E0">
                <w:rPr>
                  <w:rStyle w:val="Hyperlink"/>
                </w:rPr>
                <w:t>Procurement Strategy template</w:t>
              </w:r>
            </w:hyperlink>
            <w:r w:rsidR="00FF2017" w:rsidRPr="00E46FB0">
              <w:rPr>
                <w:rFonts w:eastAsia="Times New Roman" w:cs="Times New Roman"/>
              </w:rPr>
              <w:t>)</w:t>
            </w:r>
            <w:r w:rsidRPr="00AC41E0">
              <w:rPr>
                <w:rFonts w:eastAsia="Times New Roman" w:cs="Times New Roman"/>
              </w:rPr>
              <w:t>.</w:t>
            </w:r>
          </w:p>
          <w:p w14:paraId="694B82D5" w14:textId="36B16E16" w:rsidR="00E93400" w:rsidRPr="00AC41E0" w:rsidRDefault="00E93400" w:rsidP="0003467D">
            <w:pPr>
              <w:pStyle w:val="DCSbodytext"/>
              <w:numPr>
                <w:ilvl w:val="0"/>
                <w:numId w:val="39"/>
              </w:numPr>
              <w:spacing w:after="120"/>
              <w:cnfStyle w:val="000000000000" w:firstRow="0" w:lastRow="0" w:firstColumn="0" w:lastColumn="0" w:oddVBand="0" w:evenVBand="0" w:oddHBand="0" w:evenHBand="0" w:firstRowFirstColumn="0" w:firstRowLastColumn="0" w:lastRowFirstColumn="0" w:lastRowLastColumn="0"/>
            </w:pPr>
            <w:r w:rsidRPr="00AC41E0">
              <w:t xml:space="preserve">Engage early with </w:t>
            </w:r>
            <w:r w:rsidR="002F588B" w:rsidRPr="00AC41E0">
              <w:t>your</w:t>
            </w:r>
            <w:r w:rsidRPr="00AC41E0">
              <w:t xml:space="preserve"> procurement team and other experts. </w:t>
            </w:r>
          </w:p>
          <w:p w14:paraId="512213E4" w14:textId="77777777" w:rsidR="00F43C79" w:rsidRPr="00AC41E0" w:rsidRDefault="00E93400" w:rsidP="0003467D">
            <w:pPr>
              <w:pStyle w:val="DCSbodytext"/>
              <w:numPr>
                <w:ilvl w:val="0"/>
                <w:numId w:val="39"/>
              </w:numPr>
              <w:spacing w:after="120"/>
              <w:cnfStyle w:val="000000000000" w:firstRow="0" w:lastRow="0" w:firstColumn="0" w:lastColumn="0" w:oddVBand="0" w:evenVBand="0" w:oddHBand="0" w:evenHBand="0" w:firstRowFirstColumn="0" w:firstRowLastColumn="0" w:lastRowFirstColumn="0" w:lastRowLastColumn="0"/>
            </w:pPr>
            <w:r w:rsidRPr="00AC41E0">
              <w:t>Research the market so the procurement strategy is effective within current market dynamics.</w:t>
            </w:r>
          </w:p>
          <w:p w14:paraId="2FD61D33" w14:textId="48B39D0B" w:rsidR="00951076" w:rsidRPr="00AC41E0" w:rsidRDefault="00951076" w:rsidP="0003467D">
            <w:pPr>
              <w:pStyle w:val="DCSbodytext"/>
              <w:numPr>
                <w:ilvl w:val="0"/>
                <w:numId w:val="39"/>
              </w:numPr>
              <w:spacing w:after="120"/>
              <w:cnfStyle w:val="000000000000" w:firstRow="0" w:lastRow="0" w:firstColumn="0" w:lastColumn="0" w:oddVBand="0" w:evenVBand="0" w:oddHBand="0" w:evenHBand="0" w:firstRowFirstColumn="0" w:firstRowLastColumn="0" w:lastRowFirstColumn="0" w:lastRowLastColumn="0"/>
            </w:pPr>
            <w:r w:rsidRPr="00AC41E0">
              <w:t>You can also c</w:t>
            </w:r>
            <w:r w:rsidR="00E93400" w:rsidRPr="00AC41E0">
              <w:t>onsider</w:t>
            </w:r>
            <w:r w:rsidRPr="00AC41E0">
              <w:t>:</w:t>
            </w:r>
          </w:p>
          <w:p w14:paraId="021B2724" w14:textId="7E97F414" w:rsidR="00951076" w:rsidRPr="00AC41E0" w:rsidRDefault="007A2B45" w:rsidP="00003096">
            <w:pPr>
              <w:pStyle w:val="DCSbodytext"/>
              <w:numPr>
                <w:ilvl w:val="0"/>
                <w:numId w:val="103"/>
              </w:numPr>
              <w:spacing w:after="120"/>
              <w:cnfStyle w:val="000000000000" w:firstRow="0" w:lastRow="0" w:firstColumn="0" w:lastColumn="0" w:oddVBand="0" w:evenVBand="0" w:oddHBand="0" w:evenHBand="0" w:firstRowFirstColumn="0" w:firstRowLastColumn="0" w:lastRowFirstColumn="0" w:lastRowLastColumn="0"/>
            </w:pPr>
            <w:r w:rsidRPr="00AC41E0">
              <w:t>A</w:t>
            </w:r>
            <w:r w:rsidR="00E93400" w:rsidRPr="00AC41E0">
              <w:t xml:space="preserve"> collaborative or staged market approach (e.g. competitive dialogue, Expression of Interest or request for proposals) then seek tenders from the best respondents.</w:t>
            </w:r>
          </w:p>
          <w:p w14:paraId="597115FB" w14:textId="03C06C53" w:rsidR="00F15616" w:rsidRPr="00AC41E0" w:rsidRDefault="007A2B45" w:rsidP="00003096">
            <w:pPr>
              <w:pStyle w:val="DCSbodytext"/>
              <w:numPr>
                <w:ilvl w:val="0"/>
                <w:numId w:val="103"/>
              </w:numPr>
              <w:spacing w:after="120"/>
              <w:cnfStyle w:val="000000000000" w:firstRow="0" w:lastRow="0" w:firstColumn="0" w:lastColumn="0" w:oddVBand="0" w:evenVBand="0" w:oddHBand="0" w:evenHBand="0" w:firstRowFirstColumn="0" w:firstRowLastColumn="0" w:lastRowFirstColumn="0" w:lastRowLastColumn="0"/>
            </w:pPr>
            <w:r w:rsidRPr="00AC41E0">
              <w:t>N</w:t>
            </w:r>
            <w:r w:rsidR="00E93400" w:rsidRPr="00AC41E0">
              <w:t>egotiat</w:t>
            </w:r>
            <w:r w:rsidR="00F15616" w:rsidRPr="00AC41E0">
              <w:t>ing</w:t>
            </w:r>
            <w:r w:rsidR="00E93400" w:rsidRPr="00AC41E0">
              <w:t xml:space="preserve"> with best performing </w:t>
            </w:r>
            <w:r w:rsidR="00403654" w:rsidRPr="00AC41E0">
              <w:t xml:space="preserve">IoT service providers </w:t>
            </w:r>
            <w:r w:rsidR="00E93400" w:rsidRPr="00AC41E0">
              <w:t xml:space="preserve">to improve value for money and/or responses (your tender documents should allow you to do this). </w:t>
            </w:r>
          </w:p>
          <w:p w14:paraId="7B07C6BF" w14:textId="1019CE90" w:rsidR="00E93400" w:rsidRPr="00AC41E0" w:rsidRDefault="004D0A7C" w:rsidP="00003096">
            <w:pPr>
              <w:pStyle w:val="DCSbodytext"/>
              <w:numPr>
                <w:ilvl w:val="0"/>
                <w:numId w:val="103"/>
              </w:numPr>
              <w:spacing w:after="120"/>
              <w:cnfStyle w:val="000000000000" w:firstRow="0" w:lastRow="0" w:firstColumn="0" w:lastColumn="0" w:oddVBand="0" w:evenVBand="0" w:oddHBand="0" w:evenHBand="0" w:firstRowFirstColumn="0" w:firstRowLastColumn="0" w:lastRowFirstColumn="0" w:lastRowLastColumn="0"/>
            </w:pPr>
            <w:r w:rsidRPr="00AC41E0">
              <w:t>R</w:t>
            </w:r>
            <w:r w:rsidR="00E93400" w:rsidRPr="00AC41E0">
              <w:t>un</w:t>
            </w:r>
            <w:r w:rsidR="00F15616" w:rsidRPr="00AC41E0">
              <w:t>ning</w:t>
            </w:r>
            <w:r w:rsidR="00E93400" w:rsidRPr="00AC41E0">
              <w:t xml:space="preserve"> a limited tender if it is clear that a limited number of </w:t>
            </w:r>
            <w:r w:rsidR="00403654" w:rsidRPr="00AC41E0">
              <w:t xml:space="preserve">IoT service providers </w:t>
            </w:r>
            <w:r w:rsidR="00E93400" w:rsidRPr="00AC41E0">
              <w:t xml:space="preserve">can meet your requirements (following an open tender). Note there are restrictions on this if your procurement is </w:t>
            </w:r>
            <w:r w:rsidR="00B66272" w:rsidRPr="00AC41E0">
              <w:rPr>
                <w:rStyle w:val="normaltextrun"/>
                <w:rFonts w:cs="Arial"/>
                <w:szCs w:val="22"/>
                <w:shd w:val="clear" w:color="auto" w:fill="FFFFFF"/>
              </w:rPr>
              <w:t>covered by the enforceable procurement provisions </w:t>
            </w:r>
            <w:r w:rsidR="00B66272" w:rsidRPr="00AC41E0">
              <w:rPr>
                <w:rStyle w:val="normaltextrun"/>
                <w:rFonts w:cs="Arial"/>
                <w:color w:val="000000"/>
                <w:szCs w:val="22"/>
                <w:shd w:val="clear" w:color="auto" w:fill="FFFFFF"/>
              </w:rPr>
              <w:t>(see the </w:t>
            </w:r>
            <w:hyperlink r:id="rId243" w:tgtFrame="_blank" w:history="1">
              <w:r w:rsidR="00B66272" w:rsidRPr="00AC41E0">
                <w:rPr>
                  <w:rStyle w:val="normaltextrun"/>
                  <w:rFonts w:cs="Arial"/>
                  <w:color w:val="000000"/>
                  <w:szCs w:val="22"/>
                  <w:u w:val="single"/>
                  <w:shd w:val="clear" w:color="auto" w:fill="E1E3E6"/>
                </w:rPr>
                <w:t>PBD-2019-05 Enforceable Procurement Provisions</w:t>
              </w:r>
            </w:hyperlink>
            <w:r w:rsidR="00B66272" w:rsidRPr="00E46FB0">
              <w:rPr>
                <w:rStyle w:val="normaltextrun"/>
                <w:color w:val="000000"/>
                <w:szCs w:val="22"/>
                <w:shd w:val="clear" w:color="auto" w:fill="FFFFFF"/>
              </w:rPr>
              <w:t>).</w:t>
            </w:r>
          </w:p>
        </w:tc>
      </w:tr>
      <w:tr w:rsidR="00F43C79" w:rsidRPr="00AC41E0" w14:paraId="10FF6EA9" w14:textId="77777777" w:rsidTr="00D3330D">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9" w:type="dxa"/>
          </w:tcPr>
          <w:p w14:paraId="361C3780" w14:textId="52F0D3AB" w:rsidR="00F43C79" w:rsidRPr="00AC41E0" w:rsidRDefault="00F43C79" w:rsidP="00C2187D">
            <w:pPr>
              <w:pStyle w:val="DCSbodytext"/>
              <w:spacing w:after="120"/>
              <w:ind w:left="0"/>
            </w:pPr>
            <w:r w:rsidRPr="00AC41E0">
              <w:t xml:space="preserve">Inappropriate evaluation criteria leading to inadequate or inappropriate response, or not achieving </w:t>
            </w:r>
            <w:r w:rsidR="00292E1F" w:rsidRPr="00AC41E0">
              <w:t xml:space="preserve">the </w:t>
            </w:r>
            <w:r w:rsidRPr="00AC41E0">
              <w:t>best value</w:t>
            </w:r>
          </w:p>
        </w:tc>
        <w:tc>
          <w:tcPr>
            <w:tcW w:w="11196" w:type="dxa"/>
          </w:tcPr>
          <w:p w14:paraId="1705BE46" w14:textId="5D04874F" w:rsidR="00BC7457" w:rsidRPr="00AC41E0" w:rsidRDefault="00F43C79" w:rsidP="00D978A4">
            <w:pPr>
              <w:pStyle w:val="DCSbodytext"/>
              <w:numPr>
                <w:ilvl w:val="0"/>
                <w:numId w:val="58"/>
              </w:numPr>
              <w:spacing w:after="120"/>
              <w:cnfStyle w:val="000000100000" w:firstRow="0" w:lastRow="0" w:firstColumn="0" w:lastColumn="0" w:oddVBand="0" w:evenVBand="0" w:oddHBand="1" w:evenHBand="0" w:firstRowFirstColumn="0" w:firstRowLastColumn="0" w:lastRowFirstColumn="0" w:lastRowLastColumn="0"/>
              <w:rPr>
                <w:rFonts w:eastAsia="Calibri"/>
              </w:rPr>
            </w:pPr>
            <w:r w:rsidRPr="00AC41E0">
              <w:rPr>
                <w:rFonts w:eastAsia="Calibri"/>
              </w:rPr>
              <w:t xml:space="preserve">Negotiate with the best performing </w:t>
            </w:r>
            <w:r w:rsidR="00536866" w:rsidRPr="00AC41E0">
              <w:t>IoT service providers</w:t>
            </w:r>
            <w:r w:rsidR="00536866" w:rsidRPr="00AC41E0">
              <w:rPr>
                <w:rFonts w:eastAsia="Calibri"/>
              </w:rPr>
              <w:t xml:space="preserve"> </w:t>
            </w:r>
            <w:r w:rsidRPr="00AC41E0">
              <w:rPr>
                <w:rFonts w:eastAsia="Calibri"/>
              </w:rPr>
              <w:t xml:space="preserve">to improve value for money and/or responses (your tender documents should allow you to do this). </w:t>
            </w:r>
          </w:p>
          <w:p w14:paraId="738A056F" w14:textId="75086E61" w:rsidR="00F43C79" w:rsidRPr="00AC41E0" w:rsidRDefault="00F43C79" w:rsidP="00D978A4">
            <w:pPr>
              <w:pStyle w:val="DCSbodytext"/>
              <w:numPr>
                <w:ilvl w:val="0"/>
                <w:numId w:val="58"/>
              </w:numPr>
              <w:spacing w:after="120"/>
              <w:cnfStyle w:val="000000100000" w:firstRow="0" w:lastRow="0" w:firstColumn="0" w:lastColumn="0" w:oddVBand="0" w:evenVBand="0" w:oddHBand="1" w:evenHBand="0" w:firstRowFirstColumn="0" w:firstRowLastColumn="0" w:lastRowFirstColumn="0" w:lastRowLastColumn="0"/>
              <w:rPr>
                <w:rFonts w:eastAsia="Calibri"/>
              </w:rPr>
            </w:pPr>
            <w:r w:rsidRPr="00AC41E0">
              <w:t>Go to market again</w:t>
            </w:r>
            <w:r w:rsidR="00603AEE" w:rsidRPr="00AC41E0">
              <w:t xml:space="preserve"> – c</w:t>
            </w:r>
            <w:r w:rsidRPr="00AC41E0">
              <w:t xml:space="preserve">onsider using a staged procurement approach if the specifications are not </w:t>
            </w:r>
            <w:r w:rsidR="00A75642" w:rsidRPr="00AC41E0">
              <w:t>clear and</w:t>
            </w:r>
            <w:r w:rsidRPr="00AC41E0">
              <w:t xml:space="preserve"> revise the evaluation criteria </w:t>
            </w:r>
            <w:r w:rsidR="00E27FC7" w:rsidRPr="00AC41E0">
              <w:t xml:space="preserve">so that </w:t>
            </w:r>
            <w:r w:rsidRPr="00AC41E0">
              <w:t xml:space="preserve">it </w:t>
            </w:r>
            <w:r w:rsidR="004F6553" w:rsidRPr="00AC41E0">
              <w:t xml:space="preserve">will </w:t>
            </w:r>
            <w:r w:rsidRPr="00AC41E0">
              <w:t xml:space="preserve">adequately </w:t>
            </w:r>
            <w:r w:rsidRPr="00AC41E0">
              <w:rPr>
                <w:rFonts w:eastAsia="Calibri"/>
              </w:rPr>
              <w:t>assess the solution.</w:t>
            </w:r>
          </w:p>
        </w:tc>
      </w:tr>
      <w:tr w:rsidR="00F43C79" w:rsidRPr="00AC41E0" w14:paraId="4FDD6BD6" w14:textId="77777777" w:rsidTr="00D3330D">
        <w:tblPrEx>
          <w:tblLook w:val="0480" w:firstRow="0"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979" w:type="dxa"/>
          </w:tcPr>
          <w:p w14:paraId="3244FC46" w14:textId="7B75B897" w:rsidR="00F43C79" w:rsidRPr="00AC41E0" w:rsidRDefault="00F43C79" w:rsidP="00C2187D">
            <w:pPr>
              <w:pStyle w:val="DCSbodytext"/>
              <w:spacing w:after="120"/>
              <w:ind w:left="0"/>
            </w:pPr>
            <w:r w:rsidRPr="00AC41E0">
              <w:t xml:space="preserve">Terms and conditions are unacceptable to </w:t>
            </w:r>
            <w:r w:rsidR="00403654" w:rsidRPr="00AC41E0">
              <w:t xml:space="preserve">IoT service providers </w:t>
            </w:r>
            <w:r w:rsidRPr="00AC41E0">
              <w:t xml:space="preserve">leading to higher costs, tenders with numerous </w:t>
            </w:r>
            <w:r w:rsidRPr="00AC41E0">
              <w:lastRenderedPageBreak/>
              <w:t>qualifications/exemptions, or no/limited number of tender responses</w:t>
            </w:r>
          </w:p>
        </w:tc>
        <w:tc>
          <w:tcPr>
            <w:tcW w:w="11196" w:type="dxa"/>
          </w:tcPr>
          <w:p w14:paraId="61CD203F" w14:textId="77777777" w:rsidR="00BC7457" w:rsidRPr="00AC41E0" w:rsidRDefault="00F43C79" w:rsidP="00D978A4">
            <w:pPr>
              <w:pStyle w:val="DCSbodytext"/>
              <w:numPr>
                <w:ilvl w:val="0"/>
                <w:numId w:val="57"/>
              </w:numPr>
              <w:spacing w:after="120"/>
              <w:cnfStyle w:val="000000000000" w:firstRow="0" w:lastRow="0" w:firstColumn="0" w:lastColumn="0" w:oddVBand="0" w:evenVBand="0" w:oddHBand="0" w:evenHBand="0" w:firstRowFirstColumn="0" w:firstRowLastColumn="0" w:lastRowFirstColumn="0" w:lastRowLastColumn="0"/>
            </w:pPr>
            <w:r w:rsidRPr="00AC41E0">
              <w:lastRenderedPageBreak/>
              <w:t>Use standard terms and conditions (where they exist) or develop commercially accepted terms that are tested with the market. Avoid onerous reporting requirements, short delivery timeframes or departure from industry standards.</w:t>
            </w:r>
          </w:p>
          <w:p w14:paraId="1B8EC9B9" w14:textId="5F7F637E" w:rsidR="00F43C79" w:rsidRPr="00AC41E0" w:rsidRDefault="00F43C79" w:rsidP="00D978A4">
            <w:pPr>
              <w:pStyle w:val="DCSbodytext"/>
              <w:numPr>
                <w:ilvl w:val="0"/>
                <w:numId w:val="57"/>
              </w:numPr>
              <w:spacing w:after="120"/>
              <w:cnfStyle w:val="000000000000" w:firstRow="0" w:lastRow="0" w:firstColumn="0" w:lastColumn="0" w:oddVBand="0" w:evenVBand="0" w:oddHBand="0" w:evenHBand="0" w:firstRowFirstColumn="0" w:firstRowLastColumn="0" w:lastRowFirstColumn="0" w:lastRowLastColumn="0"/>
            </w:pPr>
            <w:r w:rsidRPr="00AC41E0">
              <w:t xml:space="preserve">Do not try to contract out of all risks. </w:t>
            </w:r>
            <w:r w:rsidR="00292E1F" w:rsidRPr="00AC41E0">
              <w:t xml:space="preserve">The best </w:t>
            </w:r>
            <w:r w:rsidRPr="00AC41E0">
              <w:t xml:space="preserve">practice is to allocate risks based on who is best placed to manage them. Do not ask </w:t>
            </w:r>
            <w:r w:rsidR="00536866" w:rsidRPr="00AC41E0">
              <w:t xml:space="preserve">IoT service providers </w:t>
            </w:r>
            <w:r w:rsidRPr="00AC41E0">
              <w:t>to carry a risk that is outside their control.</w:t>
            </w:r>
          </w:p>
        </w:tc>
      </w:tr>
      <w:tr w:rsidR="00E93400" w:rsidRPr="00AC41E0" w14:paraId="4C4DBC47" w14:textId="77777777" w:rsidTr="00D3330D">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9" w:type="dxa"/>
          </w:tcPr>
          <w:p w14:paraId="7C7EE255" w14:textId="6DD103BE" w:rsidR="00E93400" w:rsidRPr="00AC41E0" w:rsidRDefault="00E93400" w:rsidP="00C2187D">
            <w:pPr>
              <w:pStyle w:val="DCSbodytext"/>
              <w:spacing w:after="120"/>
              <w:ind w:left="0"/>
            </w:pPr>
            <w:r w:rsidRPr="00AC41E0">
              <w:t xml:space="preserve">Actual or perceived breach of confidentiality where a tender respondent’s intellectual property/commercial information is not protected, resulting in </w:t>
            </w:r>
            <w:r w:rsidR="00536866" w:rsidRPr="00AC41E0">
              <w:t xml:space="preserve">IoT service provider </w:t>
            </w:r>
            <w:r w:rsidRPr="00AC41E0">
              <w:t>complaints, mistrust or political intervention</w:t>
            </w:r>
          </w:p>
        </w:tc>
        <w:tc>
          <w:tcPr>
            <w:tcW w:w="11196" w:type="dxa"/>
          </w:tcPr>
          <w:p w14:paraId="26A1419B" w14:textId="1B0016AD" w:rsidR="00F43C79" w:rsidRPr="00AC41E0" w:rsidRDefault="00F43C79" w:rsidP="0003467D">
            <w:pPr>
              <w:pStyle w:val="DCSbodytext"/>
              <w:numPr>
                <w:ilvl w:val="0"/>
                <w:numId w:val="41"/>
              </w:numPr>
              <w:spacing w:after="120"/>
              <w:cnfStyle w:val="000000100000" w:firstRow="0" w:lastRow="0" w:firstColumn="0" w:lastColumn="0" w:oddVBand="0" w:evenVBand="0" w:oddHBand="1" w:evenHBand="0" w:firstRowFirstColumn="0" w:firstRowLastColumn="0" w:lastRowFirstColumn="0" w:lastRowLastColumn="0"/>
            </w:pPr>
            <w:r w:rsidRPr="00AC41E0">
              <w:t>Establish formal security procedures to ensure tenders are handled securely:</w:t>
            </w:r>
          </w:p>
          <w:p w14:paraId="7DDC8ACA" w14:textId="77772232" w:rsidR="00F43C79" w:rsidRPr="00AC41E0" w:rsidRDefault="00F43C79" w:rsidP="0003467D">
            <w:pPr>
              <w:pStyle w:val="DCSbodytext"/>
              <w:numPr>
                <w:ilvl w:val="0"/>
                <w:numId w:val="40"/>
              </w:numPr>
              <w:spacing w:after="120"/>
              <w:cnfStyle w:val="000000100000" w:firstRow="0" w:lastRow="0" w:firstColumn="0" w:lastColumn="0" w:oddVBand="0" w:evenVBand="0" w:oddHBand="1" w:evenHBand="0" w:firstRowFirstColumn="0" w:firstRowLastColumn="0" w:lastRowFirstColumn="0" w:lastRowLastColumn="0"/>
            </w:pPr>
            <w:r w:rsidRPr="00AC41E0">
              <w:t xml:space="preserve">Use </w:t>
            </w:r>
            <w:hyperlink r:id="rId244" w:history="1">
              <w:r w:rsidRPr="00AC41E0">
                <w:rPr>
                  <w:rStyle w:val="Hyperlink"/>
                </w:rPr>
                <w:t>eTendering</w:t>
              </w:r>
            </w:hyperlink>
            <w:r w:rsidRPr="00E46FB0">
              <w:rPr>
                <w:rFonts w:eastAsia="Times New Roman" w:cs="Times New Roman"/>
              </w:rPr>
              <w:t xml:space="preserve"> to manage </w:t>
            </w:r>
            <w:r w:rsidR="00292E1F" w:rsidRPr="00AC41E0">
              <w:rPr>
                <w:rFonts w:eastAsia="Times New Roman" w:cs="Times New Roman"/>
              </w:rPr>
              <w:t xml:space="preserve">the </w:t>
            </w:r>
            <w:r w:rsidRPr="00AC41E0">
              <w:rPr>
                <w:rFonts w:eastAsia="Times New Roman" w:cs="Times New Roman"/>
              </w:rPr>
              <w:t>receipt of tenders and secure systems to store information</w:t>
            </w:r>
          </w:p>
          <w:p w14:paraId="33F8B2A1" w14:textId="77777777" w:rsidR="00F43C79" w:rsidRPr="00AC41E0" w:rsidRDefault="00F43C79" w:rsidP="0003467D">
            <w:pPr>
              <w:pStyle w:val="DCSbodytext"/>
              <w:numPr>
                <w:ilvl w:val="0"/>
                <w:numId w:val="40"/>
              </w:numPr>
              <w:spacing w:after="120"/>
              <w:cnfStyle w:val="000000100000" w:firstRow="0" w:lastRow="0" w:firstColumn="0" w:lastColumn="0" w:oddVBand="0" w:evenVBand="0" w:oddHBand="1" w:evenHBand="0" w:firstRowFirstColumn="0" w:firstRowLastColumn="0" w:lastRowFirstColumn="0" w:lastRowLastColumn="0"/>
            </w:pPr>
            <w:r w:rsidRPr="00AC41E0">
              <w:t>Restrict access to tenders to the evaluation committee and/or make staff with access to tenders sign a code of conduct and declaration of conflicts of interest</w:t>
            </w:r>
          </w:p>
          <w:p w14:paraId="38F4CF0E" w14:textId="77777777" w:rsidR="00F43C79" w:rsidRPr="00AC41E0" w:rsidRDefault="00F43C79" w:rsidP="0003467D">
            <w:pPr>
              <w:pStyle w:val="DCSbodytext"/>
              <w:numPr>
                <w:ilvl w:val="0"/>
                <w:numId w:val="40"/>
              </w:numPr>
              <w:spacing w:after="120"/>
              <w:cnfStyle w:val="000000100000" w:firstRow="0" w:lastRow="0" w:firstColumn="0" w:lastColumn="0" w:oddVBand="0" w:evenVBand="0" w:oddHBand="1" w:evenHBand="0" w:firstRowFirstColumn="0" w:firstRowLastColumn="0" w:lastRowFirstColumn="0" w:lastRowLastColumn="0"/>
            </w:pPr>
            <w:r w:rsidRPr="00AC41E0">
              <w:t>Check conflict of interests arising during evaluation at the start of each meeting</w:t>
            </w:r>
          </w:p>
          <w:p w14:paraId="7DCA41BA" w14:textId="203F56E2" w:rsidR="00F43C79" w:rsidRPr="00AC41E0" w:rsidRDefault="00F43C79" w:rsidP="0003467D">
            <w:pPr>
              <w:pStyle w:val="DCSbodytext"/>
              <w:numPr>
                <w:ilvl w:val="0"/>
                <w:numId w:val="40"/>
              </w:numPr>
              <w:spacing w:after="120"/>
              <w:cnfStyle w:val="000000100000" w:firstRow="0" w:lastRow="0" w:firstColumn="0" w:lastColumn="0" w:oddVBand="0" w:evenVBand="0" w:oddHBand="1" w:evenHBand="0" w:firstRowFirstColumn="0" w:firstRowLastColumn="0" w:lastRowFirstColumn="0" w:lastRowLastColumn="0"/>
            </w:pPr>
            <w:r w:rsidRPr="00AC41E0">
              <w:t xml:space="preserve">Keep thorough records, record any conflicts and mitigation actions. </w:t>
            </w:r>
          </w:p>
          <w:p w14:paraId="2ABDBECE" w14:textId="438FD727" w:rsidR="00E93400" w:rsidRPr="00AC41E0" w:rsidRDefault="00F43C79" w:rsidP="0003467D">
            <w:pPr>
              <w:pStyle w:val="DCSbodytext"/>
              <w:numPr>
                <w:ilvl w:val="0"/>
                <w:numId w:val="41"/>
              </w:numPr>
              <w:spacing w:after="120"/>
              <w:cnfStyle w:val="000000100000" w:firstRow="0" w:lastRow="0" w:firstColumn="0" w:lastColumn="0" w:oddVBand="0" w:evenVBand="0" w:oddHBand="1" w:evenHBand="0" w:firstRowFirstColumn="0" w:firstRowLastColumn="0" w:lastRowFirstColumn="0" w:lastRowLastColumn="0"/>
            </w:pPr>
            <w:r w:rsidRPr="00AC41E0">
              <w:t xml:space="preserve">Perform regular security audits and reviews, advise </w:t>
            </w:r>
            <w:r w:rsidR="00D31E17" w:rsidRPr="00AC41E0">
              <w:t xml:space="preserve">IoT service providers </w:t>
            </w:r>
            <w:r w:rsidRPr="00AC41E0">
              <w:t>of security measures, and train staff.</w:t>
            </w:r>
          </w:p>
        </w:tc>
      </w:tr>
      <w:tr w:rsidR="00F43C79" w:rsidRPr="00AC41E0" w14:paraId="6BB6167D" w14:textId="77777777" w:rsidTr="00D3330D">
        <w:tblPrEx>
          <w:tblLook w:val="0480" w:firstRow="0"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979" w:type="dxa"/>
          </w:tcPr>
          <w:p w14:paraId="5D3CC8A8" w14:textId="3E4F1E1B" w:rsidR="00F43C79" w:rsidRPr="00AC41E0" w:rsidRDefault="00F43C79" w:rsidP="00C2187D">
            <w:pPr>
              <w:pStyle w:val="DCSbodytext"/>
              <w:spacing w:after="120"/>
              <w:ind w:left="0"/>
            </w:pPr>
            <w:r w:rsidRPr="00AC41E0">
              <w:t xml:space="preserve">Organisation does not own IoT data collected and the </w:t>
            </w:r>
            <w:r w:rsidR="00D31E17" w:rsidRPr="00AC41E0">
              <w:t xml:space="preserve">IoT service provider </w:t>
            </w:r>
            <w:r w:rsidRPr="00AC41E0">
              <w:t>limits or prevents the organisation from accessing the data</w:t>
            </w:r>
          </w:p>
        </w:tc>
        <w:tc>
          <w:tcPr>
            <w:tcW w:w="11196" w:type="dxa"/>
          </w:tcPr>
          <w:p w14:paraId="7FEABF33" w14:textId="3067D838" w:rsidR="00F43C79" w:rsidRPr="00AC41E0" w:rsidRDefault="00F43C79" w:rsidP="0003467D">
            <w:pPr>
              <w:pStyle w:val="DCSbodytext"/>
              <w:numPr>
                <w:ilvl w:val="0"/>
                <w:numId w:val="41"/>
              </w:numPr>
              <w:spacing w:after="120"/>
              <w:cnfStyle w:val="000000000000" w:firstRow="0" w:lastRow="0" w:firstColumn="0" w:lastColumn="0" w:oddVBand="0" w:evenVBand="0" w:oddHBand="0" w:evenHBand="0" w:firstRowFirstColumn="0" w:firstRowLastColumn="0" w:lastRowFirstColumn="0" w:lastRowLastColumn="0"/>
            </w:pPr>
            <w:r w:rsidRPr="00AC41E0">
              <w:t xml:space="preserve">The procurement specifications and the contract need to explicitly state who owns the raw data. It is recommended </w:t>
            </w:r>
            <w:r w:rsidR="005E382C" w:rsidRPr="00AC41E0">
              <w:t xml:space="preserve">that your </w:t>
            </w:r>
            <w:r w:rsidRPr="00AC41E0">
              <w:t>organisation owns the raw data</w:t>
            </w:r>
            <w:r w:rsidR="00901E03" w:rsidRPr="00AC41E0">
              <w:t xml:space="preserve"> to give you flexibility to use the raw data</w:t>
            </w:r>
            <w:r w:rsidRPr="00AC41E0">
              <w:t xml:space="preserve"> </w:t>
            </w:r>
            <w:r w:rsidR="00292E1F" w:rsidRPr="00AC41E0">
              <w:t xml:space="preserve">for </w:t>
            </w:r>
            <w:r w:rsidRPr="00AC41E0">
              <w:t xml:space="preserve">other purposes (e.g. data analysis and combining with different data sets). </w:t>
            </w:r>
          </w:p>
        </w:tc>
      </w:tr>
      <w:tr w:rsidR="00F43C79" w:rsidRPr="00AC41E0" w14:paraId="53A31211" w14:textId="77777777" w:rsidTr="00D3330D">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9" w:type="dxa"/>
          </w:tcPr>
          <w:p w14:paraId="4389A921" w14:textId="580CC39D" w:rsidR="00F43C79" w:rsidRPr="00AC41E0" w:rsidRDefault="00F43C79" w:rsidP="00C2187D">
            <w:pPr>
              <w:pStyle w:val="DCSbodytext"/>
              <w:spacing w:after="120"/>
              <w:ind w:left="0"/>
            </w:pPr>
            <w:r w:rsidRPr="00AC41E0">
              <w:t xml:space="preserve">Selection of inappropriate goods/services means the </w:t>
            </w:r>
            <w:r w:rsidR="00D31E17" w:rsidRPr="00AC41E0">
              <w:t xml:space="preserve">IoT service provider’s </w:t>
            </w:r>
            <w:r w:rsidRPr="00AC41E0">
              <w:t>solution does not meet the desired outcome</w:t>
            </w:r>
          </w:p>
        </w:tc>
        <w:tc>
          <w:tcPr>
            <w:tcW w:w="11196" w:type="dxa"/>
          </w:tcPr>
          <w:p w14:paraId="61F30646" w14:textId="3518B41D" w:rsidR="001B68E3" w:rsidRPr="00AC41E0" w:rsidRDefault="00977557" w:rsidP="0003467D">
            <w:pPr>
              <w:pStyle w:val="DCSbodytext"/>
              <w:numPr>
                <w:ilvl w:val="0"/>
                <w:numId w:val="41"/>
              </w:numPr>
              <w:spacing w:after="120"/>
              <w:cnfStyle w:val="000000100000" w:firstRow="0" w:lastRow="0" w:firstColumn="0" w:lastColumn="0" w:oddVBand="0" w:evenVBand="0" w:oddHBand="1" w:evenHBand="0" w:firstRowFirstColumn="0" w:firstRowLastColumn="0" w:lastRowFirstColumn="0" w:lastRowLastColumn="0"/>
            </w:pPr>
            <w:r w:rsidRPr="00AC41E0">
              <w:t xml:space="preserve">Involve </w:t>
            </w:r>
            <w:r w:rsidR="00292E1F" w:rsidRPr="00AC41E0">
              <w:t>end-</w:t>
            </w:r>
            <w:r w:rsidR="00F43C79" w:rsidRPr="00AC41E0">
              <w:t>users in the evaluation</w:t>
            </w:r>
          </w:p>
          <w:p w14:paraId="132A2A3D" w14:textId="462D9690" w:rsidR="00F43C79" w:rsidRPr="00AC41E0" w:rsidRDefault="001B68E3" w:rsidP="0003467D">
            <w:pPr>
              <w:pStyle w:val="DCSbodytext"/>
              <w:numPr>
                <w:ilvl w:val="0"/>
                <w:numId w:val="41"/>
              </w:numPr>
              <w:spacing w:after="120"/>
              <w:cnfStyle w:val="000000100000" w:firstRow="0" w:lastRow="0" w:firstColumn="0" w:lastColumn="0" w:oddVBand="0" w:evenVBand="0" w:oddHBand="1" w:evenHBand="0" w:firstRowFirstColumn="0" w:firstRowLastColumn="0" w:lastRowFirstColumn="0" w:lastRowLastColumn="0"/>
            </w:pPr>
            <w:r w:rsidRPr="00AC41E0">
              <w:t xml:space="preserve">Make sure </w:t>
            </w:r>
            <w:r w:rsidR="00F43C79" w:rsidRPr="00AC41E0">
              <w:t xml:space="preserve">the evaluation panel has or can access the relevant technical expertise. Refer to the </w:t>
            </w:r>
            <w:hyperlink r:id="rId245" w:history="1">
              <w:r w:rsidR="00F43C79" w:rsidRPr="00AC41E0">
                <w:rPr>
                  <w:rStyle w:val="Hyperlink"/>
                </w:rPr>
                <w:t>UN Procurement Practitioner</w:t>
              </w:r>
              <w:r w:rsidR="00A4566E" w:rsidRPr="00AC41E0">
                <w:rPr>
                  <w:rStyle w:val="Hyperlink"/>
                </w:rPr>
                <w:t>’</w:t>
              </w:r>
              <w:r w:rsidR="00F43C79" w:rsidRPr="00AC41E0">
                <w:rPr>
                  <w:rStyle w:val="Hyperlink"/>
                </w:rPr>
                <w:t>s Handbook</w:t>
              </w:r>
            </w:hyperlink>
            <w:r w:rsidR="00F43C79" w:rsidRPr="00E46FB0">
              <w:rPr>
                <w:rFonts w:eastAsia="Times New Roman" w:cs="Times New Roman"/>
              </w:rPr>
              <w:t xml:space="preserve"> for more information.</w:t>
            </w:r>
          </w:p>
        </w:tc>
      </w:tr>
    </w:tbl>
    <w:p w14:paraId="4A1541AD" w14:textId="143F09B4" w:rsidR="00D14D3C" w:rsidRPr="00AC41E0" w:rsidRDefault="00D14D3C" w:rsidP="00D14D3C">
      <w:pPr>
        <w:tabs>
          <w:tab w:val="left" w:pos="10989"/>
        </w:tabs>
        <w:rPr>
          <w:lang w:eastAsia="en-US"/>
        </w:rPr>
        <w:sectPr w:rsidR="00D14D3C" w:rsidRPr="00AC41E0" w:rsidSect="00473876">
          <w:pgSz w:w="16838" w:h="11906" w:orient="landscape"/>
          <w:pgMar w:top="1440" w:right="1440" w:bottom="1440" w:left="1440" w:header="708" w:footer="708" w:gutter="0"/>
          <w:cols w:space="708"/>
          <w:docGrid w:linePitch="360"/>
        </w:sectPr>
      </w:pPr>
    </w:p>
    <w:p w14:paraId="79F859C8" w14:textId="77777777" w:rsidR="00D9295B" w:rsidRPr="00AC41E0" w:rsidRDefault="00D2428C" w:rsidP="00D2428C">
      <w:pPr>
        <w:pStyle w:val="Heading3"/>
        <w:rPr>
          <w:rFonts w:ascii="Arial" w:hAnsi="Arial"/>
        </w:rPr>
      </w:pPr>
      <w:bookmarkStart w:id="1449" w:name="_Toc18322131"/>
      <w:bookmarkStart w:id="1450" w:name="_Toc18322310"/>
      <w:bookmarkStart w:id="1451" w:name="_Toc18336893"/>
      <w:bookmarkStart w:id="1452" w:name="_Toc18338174"/>
      <w:bookmarkStart w:id="1453" w:name="_Data_considerations_for"/>
      <w:bookmarkStart w:id="1454" w:name="_Data_considerations_for_1"/>
      <w:bookmarkStart w:id="1455" w:name="_Data_considerations_for_2"/>
      <w:bookmarkStart w:id="1456" w:name="_Disposal_of_assets"/>
      <w:bookmarkStart w:id="1457" w:name="_Toc65760559"/>
      <w:bookmarkEnd w:id="1406"/>
      <w:bookmarkEnd w:id="1449"/>
      <w:bookmarkEnd w:id="1450"/>
      <w:bookmarkEnd w:id="1451"/>
      <w:bookmarkEnd w:id="1452"/>
      <w:bookmarkEnd w:id="1453"/>
      <w:bookmarkEnd w:id="1454"/>
      <w:bookmarkEnd w:id="1455"/>
      <w:bookmarkEnd w:id="1456"/>
      <w:r w:rsidRPr="00E46FB0">
        <w:rPr>
          <w:rFonts w:ascii="Arial" w:hAnsi="Arial"/>
        </w:rPr>
        <w:lastRenderedPageBreak/>
        <w:t xml:space="preserve">Disposal of </w:t>
      </w:r>
      <w:r w:rsidRPr="00AC41E0">
        <w:rPr>
          <w:rFonts w:ascii="Arial" w:hAnsi="Arial"/>
        </w:rPr>
        <w:t>assets</w:t>
      </w:r>
      <w:bookmarkEnd w:id="1457"/>
    </w:p>
    <w:p w14:paraId="6E9A819F" w14:textId="50DF1875" w:rsidR="00D2428C" w:rsidRPr="00AC41E0" w:rsidRDefault="00D2428C" w:rsidP="00D2428C">
      <w:pPr>
        <w:pStyle w:val="DCSbodytext"/>
        <w:rPr>
          <w:lang w:eastAsia="en-AU"/>
        </w:rPr>
      </w:pPr>
      <w:r w:rsidRPr="00AC41E0">
        <w:rPr>
          <w:lang w:eastAsia="en-AU"/>
        </w:rPr>
        <w:t xml:space="preserve">The final stage in the procurement process is the disposal of assets that have reached the end of life. Disposal is considered ‘procurement’ under the </w:t>
      </w:r>
      <w:hyperlink r:id="rId246" w:anchor="/view/act/1912/45" w:history="1">
        <w:r w:rsidRPr="00AC41E0">
          <w:rPr>
            <w:rStyle w:val="Hyperlink"/>
            <w:i/>
            <w:lang w:eastAsia="en-AU"/>
          </w:rPr>
          <w:t>Public Works and Procurement Act</w:t>
        </w:r>
        <w:r w:rsidR="002270BD" w:rsidRPr="00AC41E0">
          <w:rPr>
            <w:rStyle w:val="Hyperlink"/>
            <w:i/>
            <w:lang w:eastAsia="en-AU"/>
          </w:rPr>
          <w:t xml:space="preserve"> 1912 </w:t>
        </w:r>
        <w:r w:rsidR="002270BD" w:rsidRPr="00AC41E0">
          <w:rPr>
            <w:rStyle w:val="Hyperlink"/>
            <w:lang w:eastAsia="en-AU"/>
          </w:rPr>
          <w:t>(NSW)</w:t>
        </w:r>
      </w:hyperlink>
      <w:r w:rsidRPr="00E46FB0">
        <w:rPr>
          <w:lang w:eastAsia="en-AU"/>
        </w:rPr>
        <w:t xml:space="preserve"> and is governed by the </w:t>
      </w:r>
      <w:hyperlink r:id="rId247" w:history="1">
        <w:r w:rsidR="00FC5D87" w:rsidRPr="00AC41E0">
          <w:rPr>
            <w:rStyle w:val="Hyperlink"/>
            <w:lang w:eastAsia="en-AU"/>
          </w:rPr>
          <w:t xml:space="preserve">NSW Government </w:t>
        </w:r>
        <w:r w:rsidRPr="00AC41E0">
          <w:rPr>
            <w:rStyle w:val="Hyperlink"/>
            <w:lang w:eastAsia="en-AU"/>
          </w:rPr>
          <w:t>Procurement Policy Framework</w:t>
        </w:r>
      </w:hyperlink>
      <w:r w:rsidR="00FD09F5" w:rsidRPr="00E46FB0">
        <w:rPr>
          <w:lang w:eastAsia="en-AU"/>
        </w:rPr>
        <w:t xml:space="preserve"> </w:t>
      </w:r>
      <w:r w:rsidRPr="00AC41E0">
        <w:rPr>
          <w:lang w:eastAsia="en-AU"/>
        </w:rPr>
        <w:t xml:space="preserve">and </w:t>
      </w:r>
      <w:hyperlink r:id="rId248" w:history="1">
        <w:r w:rsidR="00FC5D87" w:rsidRPr="00AC41E0">
          <w:rPr>
            <w:rStyle w:val="Hyperlink"/>
            <w:lang w:eastAsia="en-AU"/>
          </w:rPr>
          <w:t xml:space="preserve">NSW Procurement </w:t>
        </w:r>
        <w:r w:rsidRPr="00AC41E0">
          <w:rPr>
            <w:rStyle w:val="Hyperlink"/>
            <w:lang w:eastAsia="en-AU"/>
          </w:rPr>
          <w:t>Board Directions</w:t>
        </w:r>
      </w:hyperlink>
      <w:r w:rsidRPr="00E46FB0">
        <w:rPr>
          <w:lang w:eastAsia="en-AU"/>
        </w:rPr>
        <w:t>.</w:t>
      </w:r>
    </w:p>
    <w:p w14:paraId="386BA3A1" w14:textId="52785259" w:rsidR="00D2428C" w:rsidRPr="00AC41E0" w:rsidRDefault="00AE45A3" w:rsidP="00D2428C">
      <w:pPr>
        <w:pStyle w:val="DCSbodytext"/>
        <w:rPr>
          <w:lang w:eastAsia="en-AU"/>
        </w:rPr>
      </w:pPr>
      <w:r w:rsidRPr="00AC41E0">
        <w:rPr>
          <w:lang w:eastAsia="en-AU"/>
        </w:rPr>
        <w:t>Your</w:t>
      </w:r>
      <w:r w:rsidR="00D2428C" w:rsidRPr="00AC41E0">
        <w:rPr>
          <w:lang w:eastAsia="en-AU"/>
        </w:rPr>
        <w:t xml:space="preserve"> project should address end of life planning for disposal of ‘things’ and associated assets</w:t>
      </w:r>
      <w:r w:rsidR="00C30D63" w:rsidRPr="00AC41E0">
        <w:rPr>
          <w:lang w:eastAsia="en-AU"/>
        </w:rPr>
        <w:t>. For example, on</w:t>
      </w:r>
      <w:r w:rsidR="00D2428C" w:rsidRPr="00AC41E0">
        <w:rPr>
          <w:lang w:eastAsia="en-AU"/>
        </w:rPr>
        <w:t>-selling if items can still be used, repurposing, recycling useful or valuable materials, appropriate disposal of hazardous items.</w:t>
      </w:r>
    </w:p>
    <w:p w14:paraId="14711C80" w14:textId="2D451004" w:rsidR="00D2428C" w:rsidRPr="00AC41E0" w:rsidRDefault="000B7271" w:rsidP="00D2428C">
      <w:pPr>
        <w:pStyle w:val="DCSbodytext"/>
        <w:rPr>
          <w:lang w:eastAsia="en-AU"/>
        </w:rPr>
      </w:pPr>
      <w:r w:rsidRPr="00AC41E0">
        <w:rPr>
          <w:lang w:eastAsia="en-AU"/>
        </w:rPr>
        <w:t>Disposal</w:t>
      </w:r>
      <w:r w:rsidR="00D2428C" w:rsidRPr="00AC41E0">
        <w:rPr>
          <w:lang w:eastAsia="en-AU"/>
        </w:rPr>
        <w:t xml:space="preserve"> can be factored into the procurement strategy</w:t>
      </w:r>
      <w:r w:rsidR="00583947" w:rsidRPr="00AC41E0">
        <w:rPr>
          <w:lang w:eastAsia="en-AU"/>
        </w:rPr>
        <w:t>. M</w:t>
      </w:r>
      <w:r w:rsidR="00D2428C" w:rsidRPr="00AC41E0">
        <w:rPr>
          <w:lang w:eastAsia="en-AU"/>
        </w:rPr>
        <w:t>anufacturers or suppliers may have established recycling</w:t>
      </w:r>
      <w:r w:rsidR="00601DE2" w:rsidRPr="00AC41E0">
        <w:rPr>
          <w:lang w:eastAsia="en-AU"/>
        </w:rPr>
        <w:t xml:space="preserve"> or </w:t>
      </w:r>
      <w:r w:rsidR="00D2428C" w:rsidRPr="00AC41E0">
        <w:rPr>
          <w:lang w:eastAsia="en-AU"/>
        </w:rPr>
        <w:t>repurposing programs already in place</w:t>
      </w:r>
      <w:r w:rsidR="00601DE2" w:rsidRPr="00AC41E0">
        <w:rPr>
          <w:lang w:eastAsia="en-AU"/>
        </w:rPr>
        <w:t>. If so,</w:t>
      </w:r>
      <w:r w:rsidR="00E63BE1" w:rsidRPr="00AC41E0">
        <w:rPr>
          <w:lang w:eastAsia="en-AU"/>
        </w:rPr>
        <w:t xml:space="preserve"> </w:t>
      </w:r>
      <w:r w:rsidR="00D2428C" w:rsidRPr="00AC41E0">
        <w:rPr>
          <w:lang w:eastAsia="en-AU"/>
        </w:rPr>
        <w:t xml:space="preserve">this </w:t>
      </w:r>
      <w:r w:rsidR="00E63BE1" w:rsidRPr="00AC41E0">
        <w:rPr>
          <w:lang w:eastAsia="en-AU"/>
        </w:rPr>
        <w:t xml:space="preserve">can </w:t>
      </w:r>
      <w:r w:rsidR="005F4F2B" w:rsidRPr="00AC41E0">
        <w:rPr>
          <w:lang w:eastAsia="en-AU"/>
        </w:rPr>
        <w:t>be</w:t>
      </w:r>
      <w:r w:rsidR="00D2428C" w:rsidRPr="00AC41E0">
        <w:rPr>
          <w:lang w:eastAsia="en-AU"/>
        </w:rPr>
        <w:t xml:space="preserve"> written into the tender and resulting contracts.</w:t>
      </w:r>
      <w:r w:rsidR="00F067BA" w:rsidRPr="00AC41E0">
        <w:rPr>
          <w:lang w:eastAsia="en-AU"/>
        </w:rPr>
        <w:t xml:space="preserve"> </w:t>
      </w:r>
    </w:p>
    <w:p w14:paraId="51EF0827" w14:textId="01D939DC" w:rsidR="00736B5A" w:rsidRPr="00AC41E0" w:rsidRDefault="00736B5A" w:rsidP="005A20AD">
      <w:pPr>
        <w:pStyle w:val="Heading2"/>
        <w:tabs>
          <w:tab w:val="clear" w:pos="5188"/>
          <w:tab w:val="num" w:pos="794"/>
        </w:tabs>
        <w:ind w:left="851"/>
        <w:rPr>
          <w:rFonts w:ascii="Arial" w:hAnsi="Arial"/>
        </w:rPr>
      </w:pPr>
      <w:bookmarkStart w:id="1458" w:name="_Data_considerations_for_3"/>
      <w:bookmarkStart w:id="1459" w:name="_Toc65760560"/>
      <w:bookmarkEnd w:id="1458"/>
      <w:r w:rsidRPr="00AC41E0">
        <w:rPr>
          <w:rFonts w:ascii="Arial" w:hAnsi="Arial"/>
        </w:rPr>
        <w:t xml:space="preserve">Data considerations for </w:t>
      </w:r>
      <w:r w:rsidR="005E7F8C" w:rsidRPr="00AC41E0">
        <w:rPr>
          <w:rFonts w:ascii="Arial" w:hAnsi="Arial"/>
        </w:rPr>
        <w:t>contracting</w:t>
      </w:r>
      <w:bookmarkEnd w:id="1459"/>
    </w:p>
    <w:p w14:paraId="63C01478" w14:textId="1E64697B" w:rsidR="00981218" w:rsidRPr="00AC41E0" w:rsidRDefault="00BC7711" w:rsidP="00A040DD">
      <w:pPr>
        <w:pStyle w:val="DCSbodytext"/>
      </w:pPr>
      <w:r w:rsidRPr="00AC41E0">
        <w:t xml:space="preserve">It is </w:t>
      </w:r>
      <w:r w:rsidR="0085461E" w:rsidRPr="00AC41E0">
        <w:t>critical</w:t>
      </w:r>
      <w:r w:rsidRPr="00AC41E0">
        <w:t xml:space="preserve"> to </w:t>
      </w:r>
      <w:r w:rsidR="00F47531" w:rsidRPr="00AC41E0">
        <w:t>clearly address data</w:t>
      </w:r>
      <w:r w:rsidR="0085461E" w:rsidRPr="00AC41E0">
        <w:t xml:space="preserve"> requirements</w:t>
      </w:r>
      <w:r w:rsidR="00F47531" w:rsidRPr="00AC41E0">
        <w:t xml:space="preserve"> in contracts with </w:t>
      </w:r>
      <w:r w:rsidR="00D31E17" w:rsidRPr="00AC41E0">
        <w:t>IoT service providers</w:t>
      </w:r>
      <w:r w:rsidR="00F47531" w:rsidRPr="00AC41E0">
        <w:t xml:space="preserve">. </w:t>
      </w:r>
      <w:r w:rsidR="00E21992" w:rsidRPr="00AC41E0">
        <w:t>Contracts need to</w:t>
      </w:r>
      <w:r w:rsidR="00EE6FE3" w:rsidRPr="00AC41E0">
        <w:t xml:space="preserve"> address the </w:t>
      </w:r>
      <w:r w:rsidR="00391E7E" w:rsidRPr="00AC41E0">
        <w:t>matters outlined in this chapter.</w:t>
      </w:r>
    </w:p>
    <w:p w14:paraId="2A0BD305" w14:textId="600FA4B7" w:rsidR="00894F8E" w:rsidRPr="00AC41E0" w:rsidRDefault="00894F8E" w:rsidP="00894F8E">
      <w:pPr>
        <w:pStyle w:val="Heading3"/>
        <w:rPr>
          <w:rFonts w:ascii="Arial" w:hAnsi="Arial"/>
        </w:rPr>
      </w:pPr>
      <w:bookmarkStart w:id="1460" w:name="_Toc65760561"/>
      <w:r w:rsidRPr="00AC41E0">
        <w:rPr>
          <w:rFonts w:ascii="Arial" w:hAnsi="Arial"/>
        </w:rPr>
        <w:t xml:space="preserve">Data </w:t>
      </w:r>
      <w:r w:rsidR="00F34871" w:rsidRPr="00AC41E0">
        <w:rPr>
          <w:rFonts w:ascii="Arial" w:hAnsi="Arial"/>
        </w:rPr>
        <w:t>handling</w:t>
      </w:r>
      <w:bookmarkEnd w:id="1460"/>
    </w:p>
    <w:p w14:paraId="3ECC2CC3" w14:textId="4F82439C" w:rsidR="00B374E6" w:rsidRPr="00AC41E0" w:rsidRDefault="00913923" w:rsidP="00A040DD">
      <w:pPr>
        <w:pStyle w:val="DCSbodytext"/>
      </w:pPr>
      <w:r w:rsidRPr="00AC41E0">
        <w:t xml:space="preserve">IoT solutions often need multiple </w:t>
      </w:r>
      <w:r w:rsidR="00D31E17" w:rsidRPr="00AC41E0">
        <w:t xml:space="preserve">IoT service providers </w:t>
      </w:r>
      <w:r w:rsidRPr="00AC41E0">
        <w:t>to provide hardware, software</w:t>
      </w:r>
      <w:r w:rsidR="00292E1F" w:rsidRPr="00AC41E0">
        <w:t>,</w:t>
      </w:r>
      <w:r w:rsidRPr="00AC41E0">
        <w:t xml:space="preserve"> and connectivity</w:t>
      </w:r>
      <w:r w:rsidR="008E79C4" w:rsidRPr="00AC41E0">
        <w:t xml:space="preserve">. </w:t>
      </w:r>
      <w:r w:rsidR="00E21992" w:rsidRPr="00AC41E0">
        <w:t>You need to</w:t>
      </w:r>
      <w:r w:rsidR="00115A42" w:rsidRPr="00AC41E0">
        <w:t xml:space="preserve"> require </w:t>
      </w:r>
      <w:r w:rsidR="00D31E17" w:rsidRPr="00AC41E0">
        <w:t xml:space="preserve">service providers </w:t>
      </w:r>
      <w:r w:rsidR="00115A42" w:rsidRPr="00AC41E0">
        <w:t xml:space="preserve">to perform due diligence and identify all parties involved in developing and delivering these products and services. </w:t>
      </w:r>
    </w:p>
    <w:p w14:paraId="11D511C5" w14:textId="0B3CC3F9" w:rsidR="008E79C4" w:rsidRPr="00AC41E0" w:rsidRDefault="00115A42" w:rsidP="00A040DD">
      <w:pPr>
        <w:pStyle w:val="DCSbodytext"/>
      </w:pPr>
      <w:r w:rsidRPr="00AC41E0">
        <w:t xml:space="preserve">You want </w:t>
      </w:r>
      <w:r w:rsidR="008E79C4" w:rsidRPr="00AC41E0">
        <w:t>transparency from your service providers about their data handling and storage practice</w:t>
      </w:r>
      <w:r w:rsidR="007F2C65" w:rsidRPr="00AC41E0">
        <w:t>s so that you have full visibility of all parties who have access to the data generated by your devices.</w:t>
      </w:r>
    </w:p>
    <w:p w14:paraId="3FD537C9" w14:textId="1E084088" w:rsidR="00FB21DE" w:rsidRPr="00AC41E0" w:rsidRDefault="00646C75" w:rsidP="00646C75">
      <w:pPr>
        <w:pStyle w:val="Heading3"/>
        <w:rPr>
          <w:rFonts w:ascii="Arial" w:hAnsi="Arial"/>
        </w:rPr>
      </w:pPr>
      <w:bookmarkStart w:id="1461" w:name="_Data_ownership_and"/>
      <w:bookmarkStart w:id="1462" w:name="_Toc65760562"/>
      <w:bookmarkEnd w:id="1461"/>
      <w:r w:rsidRPr="00AC41E0">
        <w:rPr>
          <w:rFonts w:ascii="Arial" w:hAnsi="Arial"/>
        </w:rPr>
        <w:t>Data owner</w:t>
      </w:r>
      <w:r w:rsidR="007F3F3A" w:rsidRPr="00AC41E0">
        <w:rPr>
          <w:rFonts w:ascii="Arial" w:hAnsi="Arial"/>
        </w:rPr>
        <w:t>s</w:t>
      </w:r>
      <w:r w:rsidRPr="00AC41E0">
        <w:rPr>
          <w:rFonts w:ascii="Arial" w:hAnsi="Arial"/>
        </w:rPr>
        <w:t>hip and rights</w:t>
      </w:r>
      <w:bookmarkEnd w:id="1462"/>
    </w:p>
    <w:p w14:paraId="799DB4E6" w14:textId="28F8F753" w:rsidR="003727D9" w:rsidRPr="00AC41E0" w:rsidRDefault="003727D9" w:rsidP="0042728A">
      <w:pPr>
        <w:pStyle w:val="Heading4"/>
        <w:rPr>
          <w:rFonts w:ascii="Arial" w:hAnsi="Arial"/>
        </w:rPr>
      </w:pPr>
      <w:bookmarkStart w:id="1463" w:name="_Data_ownership_and_1"/>
      <w:bookmarkEnd w:id="1463"/>
      <w:r w:rsidRPr="00AC41E0">
        <w:rPr>
          <w:rFonts w:ascii="Arial" w:hAnsi="Arial"/>
        </w:rPr>
        <w:t>Data ownership and control</w:t>
      </w:r>
    </w:p>
    <w:p w14:paraId="5EC00FB4" w14:textId="7C0C296A" w:rsidR="00FB21DE" w:rsidRPr="00AC41E0" w:rsidRDefault="008C1E75" w:rsidP="008C1E75">
      <w:pPr>
        <w:pStyle w:val="DCSbodytext"/>
      </w:pPr>
      <w:r w:rsidRPr="00AC41E0">
        <w:t>Identify who owns the data under the contract</w:t>
      </w:r>
      <w:r w:rsidR="00FB21DE" w:rsidRPr="00AC41E0">
        <w:t xml:space="preserve"> and ensure your contract enables you to have all reasonable control over your data. Define your data governance requirements in contractual approaches and stipulate your requirements for what data is being collected, where it is stored and who can access it, at what granularity and for what purpose.</w:t>
      </w:r>
    </w:p>
    <w:p w14:paraId="20CC35C9" w14:textId="1AF151E1" w:rsidR="00AB14E7" w:rsidRPr="00AC41E0" w:rsidRDefault="008C1E75" w:rsidP="008C1E75">
      <w:pPr>
        <w:pStyle w:val="DCSbodytext"/>
      </w:pPr>
      <w:r w:rsidRPr="00AC41E0">
        <w:t xml:space="preserve">If the </w:t>
      </w:r>
      <w:r w:rsidR="00B224B3" w:rsidRPr="00AC41E0">
        <w:t xml:space="preserve">IoT </w:t>
      </w:r>
      <w:r w:rsidRPr="00AC41E0">
        <w:t xml:space="preserve">service provider owns the data, identify whether </w:t>
      </w:r>
      <w:r w:rsidR="00B67592" w:rsidRPr="00AC41E0">
        <w:t>they are</w:t>
      </w:r>
      <w:r w:rsidRPr="00AC41E0">
        <w:t xml:space="preserve"> entitled to sell the data about your performance to a third party, and understand any contractual rights to see, use and monetise this data. If this use is unacceptable, look for other service providers who have data policies that give you rights to your data for ownership, use and reuse purposes.</w:t>
      </w:r>
    </w:p>
    <w:p w14:paraId="36DEE09B" w14:textId="77777777" w:rsidR="00AB14E7" w:rsidRPr="00AC41E0" w:rsidRDefault="00AB14E7">
      <w:pPr>
        <w:rPr>
          <w:rFonts w:ascii="Arial" w:hAnsi="Arial"/>
          <w:sz w:val="22"/>
          <w:lang w:eastAsia="en-US"/>
        </w:rPr>
      </w:pPr>
      <w:r w:rsidRPr="00AC41E0">
        <w:br w:type="page"/>
      </w:r>
    </w:p>
    <w:p w14:paraId="6764A3EB" w14:textId="77777777" w:rsidR="00A040DD" w:rsidRPr="00AC41E0" w:rsidRDefault="00A040DD" w:rsidP="008C1E75">
      <w:pPr>
        <w:pStyle w:val="DCSbodytext"/>
      </w:pPr>
    </w:p>
    <w:tbl>
      <w:tblPr>
        <w:tblStyle w:val="TableGrid"/>
        <w:tblW w:w="8788" w:type="dxa"/>
        <w:tblInd w:w="846" w:type="dxa"/>
        <w:shd w:val="clear" w:color="auto" w:fill="D9D9D9" w:themeFill="background1" w:themeFillShade="D9"/>
        <w:tblLook w:val="04A0" w:firstRow="1" w:lastRow="0" w:firstColumn="1" w:lastColumn="0" w:noHBand="0" w:noVBand="1"/>
      </w:tblPr>
      <w:tblGrid>
        <w:gridCol w:w="8788"/>
      </w:tblGrid>
      <w:tr w:rsidR="00894F8E" w:rsidRPr="00AC41E0" w14:paraId="59EB0973" w14:textId="77777777" w:rsidTr="00C346B6">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E7336B" w14:textId="6EB4C8EB" w:rsidR="00894F8E" w:rsidRPr="00AC41E0" w:rsidRDefault="00894F8E" w:rsidP="00C346B6">
            <w:pPr>
              <w:pStyle w:val="DCSbodytext"/>
              <w:ind w:left="0"/>
              <w:jc w:val="center"/>
              <w:rPr>
                <w:b/>
              </w:rPr>
            </w:pPr>
            <w:r w:rsidRPr="00AC41E0">
              <w:rPr>
                <w:b/>
              </w:rPr>
              <w:t xml:space="preserve">Case </w:t>
            </w:r>
            <w:r w:rsidR="002F2955" w:rsidRPr="00AC41E0">
              <w:rPr>
                <w:b/>
              </w:rPr>
              <w:t>S</w:t>
            </w:r>
            <w:r w:rsidRPr="00AC41E0">
              <w:rPr>
                <w:b/>
              </w:rPr>
              <w:t>tudy</w:t>
            </w:r>
            <w:r w:rsidR="002F2955" w:rsidRPr="00AC41E0">
              <w:rPr>
                <w:b/>
              </w:rPr>
              <w:t xml:space="preserve"> –</w:t>
            </w:r>
            <w:r w:rsidRPr="00AC41E0">
              <w:rPr>
                <w:b/>
              </w:rPr>
              <w:t xml:space="preserve"> Intellectual property and data access</w:t>
            </w:r>
          </w:p>
          <w:p w14:paraId="70AC88BA" w14:textId="73A4F7C5" w:rsidR="00894F8E" w:rsidRPr="00AC41E0" w:rsidRDefault="00894F8E" w:rsidP="00C346B6">
            <w:pPr>
              <w:pStyle w:val="DCSbodytext"/>
              <w:ind w:left="0"/>
            </w:pPr>
            <w:r w:rsidRPr="00AC41E0">
              <w:t xml:space="preserve">One </w:t>
            </w:r>
            <w:r w:rsidR="00360B99" w:rsidRPr="00AC41E0">
              <w:t>local council</w:t>
            </w:r>
            <w:r w:rsidRPr="00AC41E0">
              <w:t xml:space="preserve"> tried to gain access to parking data collected as part of its ‘smart parking</w:t>
            </w:r>
            <w:r w:rsidR="00360B99" w:rsidRPr="00AC41E0">
              <w:t>’ software trial. Unfortunately,</w:t>
            </w:r>
            <w:r w:rsidRPr="00AC41E0">
              <w:t xml:space="preserve"> under the terms of the contract, the data </w:t>
            </w:r>
            <w:r w:rsidR="00E55718" w:rsidRPr="00AC41E0">
              <w:t>was not</w:t>
            </w:r>
            <w:r w:rsidRPr="00AC41E0">
              <w:t xml:space="preserve"> exportable from the app provided by the software supplier. This limited data reuse potential.  </w:t>
            </w:r>
          </w:p>
          <w:p w14:paraId="26064753" w14:textId="77777777" w:rsidR="00894F8E" w:rsidRPr="00AC41E0" w:rsidRDefault="00894F8E" w:rsidP="00C346B6">
            <w:pPr>
              <w:pStyle w:val="DCSbodytext"/>
              <w:ind w:left="0"/>
            </w:pPr>
            <w:r w:rsidRPr="00AC41E0">
              <w:t xml:space="preserve">Ensuring you can access and use any data collected by sensors is an integral part of the planning and contracting process for IoT-enabled projects. </w:t>
            </w:r>
          </w:p>
        </w:tc>
      </w:tr>
    </w:tbl>
    <w:p w14:paraId="29BC4780" w14:textId="77777777" w:rsidR="00894F8E" w:rsidRPr="00AC41E0" w:rsidRDefault="00894F8E" w:rsidP="00926F86">
      <w:pPr>
        <w:pStyle w:val="DCSbodytext"/>
        <w:spacing w:after="0"/>
      </w:pPr>
    </w:p>
    <w:p w14:paraId="5A6E9BF9" w14:textId="57E64F77" w:rsidR="00BC7711" w:rsidRPr="00AC41E0" w:rsidRDefault="00117631" w:rsidP="00D4137E">
      <w:pPr>
        <w:pStyle w:val="DCSbodytext"/>
        <w:ind w:left="868"/>
      </w:pPr>
      <w:r w:rsidRPr="00AC41E0">
        <w:t xml:space="preserve">Organisations </w:t>
      </w:r>
      <w:r w:rsidR="00BC7711" w:rsidRPr="00AC41E0">
        <w:t xml:space="preserve">enabling IoT deployments often have direct legal responsibilities to persons affected by </w:t>
      </w:r>
      <w:r w:rsidR="00292E1F" w:rsidRPr="00AC41E0">
        <w:t xml:space="preserve">the </w:t>
      </w:r>
      <w:r w:rsidR="00BC7711" w:rsidRPr="00AC41E0">
        <w:t>use of those IoT deployments, even if the use of the IoT deployment is by other entities (such as third-party service providers).</w:t>
      </w:r>
      <w:r w:rsidR="00A54774" w:rsidRPr="00AC41E0">
        <w:t xml:space="preserve"> You </w:t>
      </w:r>
      <w:r w:rsidR="00954B23" w:rsidRPr="00AC41E0">
        <w:t>need to</w:t>
      </w:r>
      <w:r w:rsidR="00A54774" w:rsidRPr="00AC41E0">
        <w:t xml:space="preserve"> c</w:t>
      </w:r>
      <w:r w:rsidR="00143803" w:rsidRPr="00AC41E0">
        <w:t xml:space="preserve">learly stipulate </w:t>
      </w:r>
      <w:r w:rsidR="00A54774" w:rsidRPr="00AC41E0">
        <w:t xml:space="preserve">in the contract </w:t>
      </w:r>
      <w:r w:rsidR="00BC7711" w:rsidRPr="00AC41E0">
        <w:t>the rights and responsibilities of each entity within a data ecosystem</w:t>
      </w:r>
      <w:r w:rsidR="007C5818" w:rsidRPr="00AC41E0">
        <w:t>.</w:t>
      </w:r>
      <w:r w:rsidR="003D05F0" w:rsidRPr="00AC41E0">
        <w:t xml:space="preserve"> C</w:t>
      </w:r>
      <w:r w:rsidR="00BC7711" w:rsidRPr="00AC41E0">
        <w:t xml:space="preserve">ontracts should </w:t>
      </w:r>
      <w:r w:rsidR="00037917" w:rsidRPr="00AC41E0">
        <w:t>specify</w:t>
      </w:r>
      <w:r w:rsidR="00BC7711" w:rsidRPr="00AC41E0">
        <w:t xml:space="preserve"> who the data controller</w:t>
      </w:r>
      <w:r w:rsidR="00EB53D6" w:rsidRPr="00AC41E0">
        <w:t xml:space="preserve"> is</w:t>
      </w:r>
      <w:r w:rsidR="00BC7711" w:rsidRPr="00AC41E0">
        <w:t xml:space="preserve"> and create appropriate restrictions</w:t>
      </w:r>
      <w:r w:rsidR="006678CA" w:rsidRPr="00AC41E0">
        <w:t xml:space="preserve">, </w:t>
      </w:r>
      <w:r w:rsidR="00BC7711" w:rsidRPr="00AC41E0">
        <w:t>controls</w:t>
      </w:r>
      <w:r w:rsidR="00292E1F" w:rsidRPr="00AC41E0">
        <w:t>,</w:t>
      </w:r>
      <w:r w:rsidR="00BC7711" w:rsidRPr="00AC41E0">
        <w:t xml:space="preserve"> and safeguards as to the roles and responsibilities of </w:t>
      </w:r>
      <w:r w:rsidR="003F659A" w:rsidRPr="00AC41E0">
        <w:t xml:space="preserve">the </w:t>
      </w:r>
      <w:r w:rsidR="00BC7711" w:rsidRPr="00AC41E0">
        <w:t>other entities</w:t>
      </w:r>
      <w:r w:rsidR="003D05F0" w:rsidRPr="00AC41E0">
        <w:t>.</w:t>
      </w:r>
    </w:p>
    <w:p w14:paraId="5619FF10" w14:textId="456F03C5" w:rsidR="002D0618" w:rsidRPr="00AC41E0" w:rsidRDefault="002D0618" w:rsidP="002D0618">
      <w:pPr>
        <w:pStyle w:val="DCSbodytext"/>
        <w:ind w:left="868"/>
        <w:rPr>
          <w:i/>
          <w:color w:val="000000"/>
          <w:lang w:eastAsia="en-AU"/>
        </w:rPr>
      </w:pPr>
      <w:r w:rsidRPr="00AC41E0">
        <w:t xml:space="preserve">IoT service providers are subject to NSW data laws, such as the </w:t>
      </w:r>
      <w:hyperlink r:id="rId249" w:anchor="/view/act/1998/17" w:history="1">
        <w:r w:rsidRPr="00AC41E0">
          <w:rPr>
            <w:rStyle w:val="Hyperlink"/>
            <w:i/>
            <w:lang w:eastAsia="en-AU"/>
          </w:rPr>
          <w:t xml:space="preserve">State Records Act 1998 </w:t>
        </w:r>
        <w:r w:rsidRPr="00AC41E0">
          <w:rPr>
            <w:rStyle w:val="Hyperlink"/>
            <w:lang w:eastAsia="en-AU"/>
          </w:rPr>
          <w:t>(NSW)</w:t>
        </w:r>
      </w:hyperlink>
      <w:r w:rsidRPr="00E46FB0">
        <w:rPr>
          <w:color w:val="000000"/>
          <w:lang w:eastAsia="en-AU"/>
        </w:rPr>
        <w:t xml:space="preserve">, </w:t>
      </w:r>
      <w:hyperlink r:id="rId250" w:anchor="/view/act/1998/133" w:history="1">
        <w:r w:rsidRPr="00AC41E0">
          <w:rPr>
            <w:rStyle w:val="Hyperlink"/>
            <w:i/>
          </w:rPr>
          <w:t>P</w:t>
        </w:r>
        <w:r w:rsidRPr="00AC41E0">
          <w:rPr>
            <w:rStyle w:val="Hyperlink"/>
            <w:i/>
            <w:lang w:eastAsia="en-AU"/>
          </w:rPr>
          <w:t xml:space="preserve">rivacy and Personal Information Protection Act 1998 </w:t>
        </w:r>
        <w:r w:rsidRPr="00AC41E0">
          <w:rPr>
            <w:rStyle w:val="Hyperlink"/>
            <w:lang w:eastAsia="en-AU"/>
          </w:rPr>
          <w:t>(NSW)</w:t>
        </w:r>
      </w:hyperlink>
      <w:r w:rsidRPr="00E46FB0">
        <w:rPr>
          <w:color w:val="000000"/>
          <w:lang w:eastAsia="en-AU"/>
        </w:rPr>
        <w:t xml:space="preserve"> and </w:t>
      </w:r>
      <w:hyperlink r:id="rId251" w:anchor="/view/act/2009/52" w:history="1">
        <w:r w:rsidRPr="00AC41E0">
          <w:rPr>
            <w:rStyle w:val="Hyperlink"/>
            <w:i/>
            <w:lang w:eastAsia="en-AU"/>
          </w:rPr>
          <w:t xml:space="preserve">Government Information (Public Access) Act 2009 </w:t>
        </w:r>
        <w:r w:rsidRPr="00AC41E0">
          <w:rPr>
            <w:rStyle w:val="Hyperlink"/>
            <w:lang w:eastAsia="en-AU"/>
          </w:rPr>
          <w:t>(NSW)</w:t>
        </w:r>
      </w:hyperlink>
      <w:r w:rsidRPr="00E46FB0">
        <w:rPr>
          <w:color w:val="000000"/>
          <w:lang w:eastAsia="en-AU"/>
        </w:rPr>
        <w:t>.</w:t>
      </w:r>
      <w:r w:rsidRPr="00AC41E0">
        <w:rPr>
          <w:i/>
          <w:color w:val="000000"/>
          <w:lang w:eastAsia="en-AU"/>
        </w:rPr>
        <w:t xml:space="preserve"> </w:t>
      </w:r>
    </w:p>
    <w:p w14:paraId="3761811D" w14:textId="411B1E0A" w:rsidR="00FC1B47" w:rsidRPr="00AC41E0" w:rsidRDefault="00FC1B47" w:rsidP="00FC1B47">
      <w:pPr>
        <w:pStyle w:val="DCSbodytext"/>
        <w:ind w:left="1514"/>
        <w:rPr>
          <w:i/>
        </w:rPr>
      </w:pPr>
      <w:r w:rsidRPr="00E46FB0">
        <w:rPr>
          <w:noProof/>
        </w:rPr>
        <w:drawing>
          <wp:anchor distT="0" distB="0" distL="114300" distR="114300" simplePos="0" relativeHeight="251658261" behindDoc="1" locked="0" layoutInCell="1" allowOverlap="1" wp14:anchorId="32A305A2" wp14:editId="2F2C0826">
            <wp:simplePos x="0" y="0"/>
            <wp:positionH relativeFrom="margin">
              <wp:posOffset>438150</wp:posOffset>
            </wp:positionH>
            <wp:positionV relativeFrom="paragraph">
              <wp:posOffset>18415</wp:posOffset>
            </wp:positionV>
            <wp:extent cx="389255" cy="389255"/>
            <wp:effectExtent l="0" t="0" r="0" b="0"/>
            <wp:wrapTight wrapText="bothSides">
              <wp:wrapPolygon edited="0">
                <wp:start x="7400" y="0"/>
                <wp:lineTo x="0" y="5285"/>
                <wp:lineTo x="0" y="13742"/>
                <wp:lineTo x="6343" y="20085"/>
                <wp:lineTo x="12685" y="20085"/>
                <wp:lineTo x="14799" y="16914"/>
                <wp:lineTo x="20085" y="10571"/>
                <wp:lineTo x="20085" y="5285"/>
                <wp:lineTo x="11628" y="0"/>
                <wp:lineTo x="7400" y="0"/>
              </wp:wrapPolygon>
            </wp:wrapTight>
            <wp:docPr id="16" name="Graphic 16"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r w:rsidRPr="00E46FB0">
        <w:rPr>
          <w:i/>
          <w:iCs/>
        </w:rPr>
        <w:t>Tip</w:t>
      </w:r>
      <w:r w:rsidRPr="00AC41E0">
        <w:t>:</w:t>
      </w:r>
      <w:r w:rsidRPr="00AC41E0">
        <w:rPr>
          <w:i/>
          <w:iCs/>
        </w:rPr>
        <w:t xml:space="preserve"> Software development is the major growth area in IoT as commercial organisations look to leverage the power of data generated through IoT initiatives. If your organisation is likely to leverage this type of software, consider data ‘ownership’ and rights of data use and disclosure in your contract.</w:t>
      </w:r>
    </w:p>
    <w:p w14:paraId="295DA015" w14:textId="4D8B143D" w:rsidR="00F20370" w:rsidRPr="00AC41E0" w:rsidRDefault="00F20370" w:rsidP="0042728A">
      <w:pPr>
        <w:pStyle w:val="Heading4"/>
        <w:rPr>
          <w:rFonts w:ascii="Arial" w:hAnsi="Arial"/>
        </w:rPr>
      </w:pPr>
      <w:r w:rsidRPr="00AC41E0">
        <w:rPr>
          <w:rFonts w:ascii="Arial" w:hAnsi="Arial"/>
        </w:rPr>
        <w:t>Exclusive rights to use of data</w:t>
      </w:r>
    </w:p>
    <w:p w14:paraId="1493421C" w14:textId="77777777" w:rsidR="008B4296" w:rsidRPr="00AC41E0" w:rsidRDefault="00BC7711" w:rsidP="00D4137E">
      <w:pPr>
        <w:pStyle w:val="DCSbodytext"/>
        <w:ind w:left="868"/>
      </w:pPr>
      <w:r w:rsidRPr="00AC41E0">
        <w:t xml:space="preserve">All contracts and design processes should make clear that exclusive rights to use of IoT data </w:t>
      </w:r>
      <w:r w:rsidR="0052514B" w:rsidRPr="00AC41E0">
        <w:t xml:space="preserve">generated or facilitated by </w:t>
      </w:r>
      <w:r w:rsidRPr="00AC41E0">
        <w:t xml:space="preserve">NSW Government agencies cannot be granted. </w:t>
      </w:r>
    </w:p>
    <w:p w14:paraId="606277B9" w14:textId="48EF04AD" w:rsidR="00BC7711" w:rsidRPr="00AC41E0" w:rsidRDefault="00BC7711" w:rsidP="00D4137E">
      <w:pPr>
        <w:pStyle w:val="DCSbodytext"/>
        <w:ind w:left="868"/>
      </w:pPr>
      <w:r w:rsidRPr="00AC41E0">
        <w:t>Where fair to affected individuals and reasonably practicable, data about public activities of citizens that government agencies cause or facilitate to be generated should be treated as a public asset and made available as open data as widely as possible</w:t>
      </w:r>
      <w:r w:rsidR="00037917" w:rsidRPr="00AC41E0">
        <w:t>.</w:t>
      </w:r>
      <w:r w:rsidRPr="00AC41E0">
        <w:t xml:space="preserve"> </w:t>
      </w:r>
    </w:p>
    <w:p w14:paraId="0DBD8E47" w14:textId="310F99B9" w:rsidR="002D0618" w:rsidRPr="00AC41E0" w:rsidRDefault="002D0618" w:rsidP="0042728A">
      <w:pPr>
        <w:pStyle w:val="Heading4"/>
        <w:rPr>
          <w:rFonts w:ascii="Arial" w:hAnsi="Arial"/>
        </w:rPr>
      </w:pPr>
      <w:r w:rsidRPr="00AC41E0">
        <w:rPr>
          <w:rFonts w:ascii="Arial" w:hAnsi="Arial"/>
        </w:rPr>
        <w:t>New datasets</w:t>
      </w:r>
    </w:p>
    <w:p w14:paraId="3DD31D4A" w14:textId="318FD310" w:rsidR="00795845" w:rsidRPr="00AC41E0" w:rsidRDefault="000B45E6" w:rsidP="00D4137E">
      <w:pPr>
        <w:pStyle w:val="DCSbodytext"/>
        <w:ind w:left="868"/>
      </w:pPr>
      <w:r w:rsidRPr="00AC41E0">
        <w:t>A</w:t>
      </w:r>
      <w:r w:rsidR="00BC7711" w:rsidRPr="00AC41E0">
        <w:t xml:space="preserve"> new dataset may be generated </w:t>
      </w:r>
      <w:r w:rsidRPr="00AC41E0">
        <w:t xml:space="preserve">as part of your IoT initiative </w:t>
      </w:r>
      <w:r w:rsidR="00BC7711" w:rsidRPr="00AC41E0">
        <w:t xml:space="preserve">that is a combination of data from several sources. It is very important to define ‘ownership’ (through rights of control to the exclusion of others) of data sources and </w:t>
      </w:r>
      <w:r w:rsidR="008E5E73" w:rsidRPr="00AC41E0">
        <w:t xml:space="preserve">confirm </w:t>
      </w:r>
      <w:r w:rsidR="00BC7711" w:rsidRPr="00AC41E0">
        <w:t xml:space="preserve">this is clear to all parties so that respective rights of use of new datasets are clear and understood by all parties. </w:t>
      </w:r>
    </w:p>
    <w:p w14:paraId="26A035D8" w14:textId="1A0C4C4A" w:rsidR="00BC7711" w:rsidRPr="00AC41E0" w:rsidRDefault="00F27814" w:rsidP="00D4137E">
      <w:pPr>
        <w:pStyle w:val="DCSbodytext"/>
        <w:ind w:left="868"/>
      </w:pPr>
      <w:r w:rsidRPr="00AC41E0">
        <w:t>Y</w:t>
      </w:r>
      <w:r w:rsidR="00BC7711" w:rsidRPr="00AC41E0">
        <w:t xml:space="preserve">ou may also need to consider whether monetisation and intellectual property of data and trained machine learning models also need to be addressed in your contract arrangements. </w:t>
      </w:r>
    </w:p>
    <w:p w14:paraId="591D1CBD" w14:textId="32F5D046" w:rsidR="00443BC0" w:rsidRPr="00AC41E0" w:rsidRDefault="00443BC0" w:rsidP="0042728A">
      <w:pPr>
        <w:pStyle w:val="Heading4"/>
        <w:rPr>
          <w:rFonts w:ascii="Arial" w:hAnsi="Arial"/>
        </w:rPr>
      </w:pPr>
      <w:r w:rsidRPr="00AC41E0">
        <w:rPr>
          <w:rFonts w:ascii="Arial" w:hAnsi="Arial"/>
        </w:rPr>
        <w:lastRenderedPageBreak/>
        <w:t>Data retention and destruction obligations</w:t>
      </w:r>
    </w:p>
    <w:p w14:paraId="56430B38" w14:textId="7E989A03" w:rsidR="00E6672F" w:rsidRPr="00AC41E0" w:rsidRDefault="004B62F9" w:rsidP="00D4137E">
      <w:pPr>
        <w:pStyle w:val="DCSbodytext"/>
        <w:ind w:left="868"/>
      </w:pPr>
      <w:r w:rsidRPr="00AC41E0">
        <w:t>All government data held by an IoT service or service provider should be contractually required to be returned to government (in a format specified by government) a</w:t>
      </w:r>
      <w:r w:rsidR="00BC7711" w:rsidRPr="00AC41E0">
        <w:t xml:space="preserve">t the end of a contract, or when a service or relationship </w:t>
      </w:r>
      <w:r w:rsidR="00CC16A2" w:rsidRPr="00AC41E0">
        <w:t xml:space="preserve">with </w:t>
      </w:r>
      <w:r w:rsidR="007856AE" w:rsidRPr="00AC41E0">
        <w:t xml:space="preserve">an IoT service provider </w:t>
      </w:r>
      <w:r w:rsidR="00BC7711" w:rsidRPr="00AC41E0">
        <w:t xml:space="preserve">is discontinued. </w:t>
      </w:r>
    </w:p>
    <w:p w14:paraId="0BF6D422" w14:textId="00F78584" w:rsidR="00BC7711" w:rsidRPr="00AC41E0" w:rsidRDefault="00BC7711" w:rsidP="00D4137E">
      <w:pPr>
        <w:pStyle w:val="DCSbodytext"/>
        <w:ind w:left="868"/>
      </w:pPr>
      <w:r w:rsidRPr="00AC41E0">
        <w:t xml:space="preserve">Alternatively, </w:t>
      </w:r>
      <w:r w:rsidR="000D45A8" w:rsidRPr="00AC41E0">
        <w:t xml:space="preserve">evidence must be provided to government of data destruction </w:t>
      </w:r>
      <w:r w:rsidRPr="00AC41E0">
        <w:t>if legal data retention requirements have been met and data destruction has been authorised</w:t>
      </w:r>
      <w:r w:rsidR="000D45A8" w:rsidRPr="00AC41E0">
        <w:t xml:space="preserve">. </w:t>
      </w:r>
      <w:r w:rsidRPr="00AC41E0">
        <w:t xml:space="preserve">Contracts should make clear whether this also includes removing all data and artefacts, including knowledge, rules and machine learning models extracted from the data. </w:t>
      </w:r>
    </w:p>
    <w:p w14:paraId="1734E63C" w14:textId="77777777" w:rsidR="00BC7711" w:rsidRPr="00AC41E0" w:rsidRDefault="00BC7711" w:rsidP="00D4137E">
      <w:pPr>
        <w:pStyle w:val="Heading3"/>
        <w:ind w:left="868"/>
        <w:rPr>
          <w:rFonts w:ascii="Arial" w:hAnsi="Arial"/>
        </w:rPr>
      </w:pPr>
      <w:bookmarkStart w:id="1464" w:name="_Toc14795075"/>
      <w:bookmarkStart w:id="1465" w:name="_Toc14795434"/>
      <w:bookmarkStart w:id="1466" w:name="_Toc14795564"/>
      <w:bookmarkStart w:id="1467" w:name="_Toc14797735"/>
      <w:bookmarkStart w:id="1468" w:name="_Toc14799273"/>
      <w:bookmarkStart w:id="1469" w:name="_Toc14799391"/>
      <w:bookmarkStart w:id="1470" w:name="_Toc14799535"/>
      <w:bookmarkStart w:id="1471" w:name="_Toc14799653"/>
      <w:bookmarkStart w:id="1472" w:name="_Toc14799769"/>
      <w:bookmarkStart w:id="1473" w:name="_Toc65760563"/>
      <w:bookmarkEnd w:id="1464"/>
      <w:bookmarkEnd w:id="1465"/>
      <w:bookmarkEnd w:id="1466"/>
      <w:bookmarkEnd w:id="1467"/>
      <w:bookmarkEnd w:id="1468"/>
      <w:bookmarkEnd w:id="1469"/>
      <w:bookmarkEnd w:id="1470"/>
      <w:bookmarkEnd w:id="1471"/>
      <w:bookmarkEnd w:id="1472"/>
      <w:r w:rsidRPr="00AC41E0">
        <w:rPr>
          <w:rFonts w:ascii="Arial" w:hAnsi="Arial"/>
        </w:rPr>
        <w:t>Data quality requirements</w:t>
      </w:r>
      <w:bookmarkEnd w:id="1473"/>
      <w:r w:rsidRPr="00AC41E0">
        <w:rPr>
          <w:rFonts w:ascii="Arial" w:hAnsi="Arial"/>
        </w:rPr>
        <w:t xml:space="preserve"> </w:t>
      </w:r>
    </w:p>
    <w:p w14:paraId="0E261F2E" w14:textId="03463E55" w:rsidR="00130B00" w:rsidRPr="00AC41E0" w:rsidRDefault="00130B00" w:rsidP="0042728A">
      <w:pPr>
        <w:pStyle w:val="Heading4"/>
        <w:rPr>
          <w:rFonts w:ascii="Arial" w:hAnsi="Arial"/>
        </w:rPr>
      </w:pPr>
      <w:r w:rsidRPr="00AC41E0">
        <w:rPr>
          <w:rFonts w:ascii="Arial" w:hAnsi="Arial"/>
        </w:rPr>
        <w:t>Data quality issues</w:t>
      </w:r>
      <w:r w:rsidR="00C90CBB" w:rsidRPr="00AC41E0">
        <w:rPr>
          <w:rFonts w:ascii="Arial" w:hAnsi="Arial"/>
        </w:rPr>
        <w:t xml:space="preserve"> </w:t>
      </w:r>
    </w:p>
    <w:p w14:paraId="0B24EBA4" w14:textId="142D0B74" w:rsidR="00BC7711" w:rsidRPr="00AC41E0" w:rsidRDefault="0062018C" w:rsidP="0042728A">
      <w:pPr>
        <w:pStyle w:val="DCSbodytext"/>
        <w:spacing w:after="120"/>
        <w:ind w:left="868"/>
      </w:pPr>
      <w:r w:rsidRPr="00AC41E0">
        <w:t>D</w:t>
      </w:r>
      <w:r w:rsidR="00BC7711" w:rsidRPr="00AC41E0">
        <w:t>ata quality issues caused by device breakdowns</w:t>
      </w:r>
      <w:r w:rsidR="00712990" w:rsidRPr="00AC41E0">
        <w:t xml:space="preserve"> or device calibration </w:t>
      </w:r>
      <w:r w:rsidR="00BC7711" w:rsidRPr="00AC41E0">
        <w:t>can generate incorrect or inaccurate data</w:t>
      </w:r>
      <w:r w:rsidR="006363FF" w:rsidRPr="00AC41E0">
        <w:t xml:space="preserve"> which can </w:t>
      </w:r>
      <w:r w:rsidR="00BC7711" w:rsidRPr="00AC41E0">
        <w:t>lead to incorrect decision making. If this poses unacceptable business or customer risk, use your contract to define data governance requirements and required mitigations that minimise the likelihood of these risks</w:t>
      </w:r>
      <w:r w:rsidR="00773117" w:rsidRPr="00AC41E0">
        <w:t xml:space="preserve">. This </w:t>
      </w:r>
      <w:r w:rsidR="000C1E2C" w:rsidRPr="00AC41E0">
        <w:t xml:space="preserve">can </w:t>
      </w:r>
      <w:r w:rsidR="00773117" w:rsidRPr="00AC41E0">
        <w:t>include:</w:t>
      </w:r>
    </w:p>
    <w:p w14:paraId="2270975F" w14:textId="4098A53A" w:rsidR="00BC7711" w:rsidRPr="00AC41E0" w:rsidRDefault="00DB21A1" w:rsidP="00F94126">
      <w:pPr>
        <w:pStyle w:val="DCSbodytext"/>
        <w:numPr>
          <w:ilvl w:val="0"/>
          <w:numId w:val="85"/>
        </w:numPr>
        <w:spacing w:after="120"/>
        <w:ind w:left="1228"/>
        <w:rPr>
          <w:rStyle w:val="Hyperlink"/>
          <w:rFonts w:cs="Arial"/>
          <w:color w:val="000000" w:themeColor="text1"/>
          <w:u w:val="none"/>
        </w:rPr>
      </w:pPr>
      <w:r w:rsidRPr="00AC41E0">
        <w:rPr>
          <w:rStyle w:val="Hyperlink"/>
          <w:rFonts w:cs="Arial"/>
          <w:color w:val="000000" w:themeColor="text1"/>
          <w:u w:val="none"/>
        </w:rPr>
        <w:t>s</w:t>
      </w:r>
      <w:r w:rsidR="00BC7711" w:rsidRPr="00AC41E0">
        <w:rPr>
          <w:rStyle w:val="Hyperlink"/>
          <w:rFonts w:cs="Arial"/>
          <w:color w:val="000000" w:themeColor="text1"/>
          <w:u w:val="none"/>
        </w:rPr>
        <w:t xml:space="preserve">ervice level agreements with </w:t>
      </w:r>
      <w:r w:rsidR="00A33C2F" w:rsidRPr="00AC41E0">
        <w:rPr>
          <w:rStyle w:val="Hyperlink"/>
          <w:rFonts w:cs="Arial"/>
          <w:color w:val="000000" w:themeColor="text1"/>
          <w:u w:val="none"/>
        </w:rPr>
        <w:t xml:space="preserve">IoT </w:t>
      </w:r>
      <w:r w:rsidR="00BC7711" w:rsidRPr="00AC41E0">
        <w:rPr>
          <w:rStyle w:val="Hyperlink"/>
          <w:rFonts w:cs="Arial"/>
          <w:color w:val="000000" w:themeColor="text1"/>
          <w:u w:val="none"/>
        </w:rPr>
        <w:t>service providers for fault identification</w:t>
      </w:r>
      <w:r w:rsidR="00712990" w:rsidRPr="00AC41E0">
        <w:rPr>
          <w:rStyle w:val="Hyperlink"/>
          <w:rFonts w:cs="Arial"/>
          <w:color w:val="000000" w:themeColor="text1"/>
          <w:u w:val="none"/>
        </w:rPr>
        <w:t xml:space="preserve">, </w:t>
      </w:r>
      <w:r w:rsidR="00BC7711" w:rsidRPr="00AC41E0">
        <w:rPr>
          <w:rStyle w:val="Hyperlink"/>
          <w:rFonts w:cs="Arial"/>
          <w:color w:val="000000" w:themeColor="text1"/>
          <w:u w:val="none"/>
        </w:rPr>
        <w:t>remediation</w:t>
      </w:r>
      <w:r w:rsidR="00712990" w:rsidRPr="00AC41E0">
        <w:rPr>
          <w:rStyle w:val="Hyperlink"/>
          <w:rFonts w:cs="Arial"/>
          <w:color w:val="000000" w:themeColor="text1"/>
          <w:u w:val="none"/>
        </w:rPr>
        <w:t xml:space="preserve"> and re-calibration of devices at regular intervals</w:t>
      </w:r>
    </w:p>
    <w:p w14:paraId="546BD21B" w14:textId="3B076F3F" w:rsidR="00BC7711" w:rsidRPr="00AC41E0" w:rsidRDefault="00DB21A1" w:rsidP="00F94126">
      <w:pPr>
        <w:pStyle w:val="DCSbodytext"/>
        <w:numPr>
          <w:ilvl w:val="0"/>
          <w:numId w:val="85"/>
        </w:numPr>
        <w:spacing w:after="120"/>
        <w:ind w:left="1228"/>
        <w:rPr>
          <w:rStyle w:val="Hyperlink"/>
          <w:rFonts w:cs="Arial"/>
          <w:color w:val="000000" w:themeColor="text1"/>
          <w:u w:val="none"/>
        </w:rPr>
      </w:pPr>
      <w:r w:rsidRPr="00AC41E0">
        <w:rPr>
          <w:rStyle w:val="Hyperlink"/>
          <w:rFonts w:cs="Arial"/>
          <w:color w:val="000000" w:themeColor="text1"/>
          <w:u w:val="none"/>
        </w:rPr>
        <w:t>a</w:t>
      </w:r>
      <w:r w:rsidR="00BC7711" w:rsidRPr="00AC41E0">
        <w:rPr>
          <w:rStyle w:val="Hyperlink"/>
          <w:rFonts w:cs="Arial"/>
          <w:color w:val="000000" w:themeColor="text1"/>
          <w:u w:val="none"/>
        </w:rPr>
        <w:t>cceptable standards for data quality</w:t>
      </w:r>
    </w:p>
    <w:p w14:paraId="4768314C" w14:textId="2743A12D" w:rsidR="00BC7711" w:rsidRPr="00AC41E0" w:rsidRDefault="00DB21A1" w:rsidP="00F94126">
      <w:pPr>
        <w:pStyle w:val="DCSbodytext"/>
        <w:numPr>
          <w:ilvl w:val="0"/>
          <w:numId w:val="85"/>
        </w:numPr>
        <w:spacing w:after="120"/>
        <w:ind w:left="1228"/>
        <w:rPr>
          <w:rStyle w:val="Hyperlink"/>
          <w:rFonts w:cs="Arial"/>
          <w:color w:val="000000" w:themeColor="text1"/>
          <w:u w:val="none"/>
        </w:rPr>
      </w:pPr>
      <w:r w:rsidRPr="00AC41E0">
        <w:rPr>
          <w:rStyle w:val="Hyperlink"/>
          <w:rFonts w:cs="Arial"/>
          <w:color w:val="000000" w:themeColor="text1"/>
          <w:u w:val="none"/>
        </w:rPr>
        <w:t>u</w:t>
      </w:r>
      <w:r w:rsidR="00BC7711" w:rsidRPr="00AC41E0">
        <w:rPr>
          <w:rStyle w:val="Hyperlink"/>
          <w:rFonts w:cs="Arial"/>
          <w:color w:val="000000" w:themeColor="text1"/>
          <w:u w:val="none"/>
        </w:rPr>
        <w:t>ptime and availability requirements</w:t>
      </w:r>
      <w:r w:rsidR="00347229" w:rsidRPr="00AC41E0">
        <w:rPr>
          <w:rStyle w:val="Hyperlink"/>
          <w:rFonts w:cs="Arial"/>
          <w:color w:val="000000" w:themeColor="text1"/>
          <w:u w:val="none"/>
        </w:rPr>
        <w:t>.</w:t>
      </w:r>
    </w:p>
    <w:p w14:paraId="5D044B3D" w14:textId="688AF44A" w:rsidR="00130B00" w:rsidRPr="00AC41E0" w:rsidRDefault="00130B00" w:rsidP="0042728A">
      <w:pPr>
        <w:pStyle w:val="Heading4"/>
        <w:rPr>
          <w:rFonts w:ascii="Arial" w:hAnsi="Arial"/>
        </w:rPr>
      </w:pPr>
      <w:r w:rsidRPr="00AC41E0">
        <w:rPr>
          <w:rFonts w:ascii="Arial" w:hAnsi="Arial"/>
        </w:rPr>
        <w:t>Liability arising from data quality</w:t>
      </w:r>
    </w:p>
    <w:p w14:paraId="1143AAF2" w14:textId="0FC28020" w:rsidR="003D3EDD" w:rsidRPr="00AC41E0" w:rsidRDefault="00684F77" w:rsidP="003D3EDD">
      <w:pPr>
        <w:pStyle w:val="DCSbodytext"/>
      </w:pPr>
      <w:r w:rsidRPr="00AC41E0">
        <w:t>You need to be transparent about any potential quality issues in licen</w:t>
      </w:r>
      <w:r w:rsidR="00292E1F" w:rsidRPr="00AC41E0">
        <w:t>c</w:t>
      </w:r>
      <w:r w:rsidRPr="00AC41E0">
        <w:t>e or sharing agreements i</w:t>
      </w:r>
      <w:r w:rsidR="003D3EDD" w:rsidRPr="00AC41E0">
        <w:t>f the data will be made available to others as open data or as s</w:t>
      </w:r>
      <w:r w:rsidR="000E44EF" w:rsidRPr="00AC41E0">
        <w:t>hared data</w:t>
      </w:r>
      <w:r w:rsidR="003D3EDD" w:rsidRPr="00AC41E0">
        <w:t xml:space="preserve">. Depending on the strength and resilience of your IoT network, it may be important to flag in any contracts or sharing agreements that data may be incomplete, intermittently available or otherwise unreliable if there are connectivity or outage issues impacting your IoT network. This will help protect against any liability claims. </w:t>
      </w:r>
    </w:p>
    <w:p w14:paraId="16B69DCF" w14:textId="39C14EA2" w:rsidR="00BC7711" w:rsidRPr="00AC41E0" w:rsidRDefault="00BC7711" w:rsidP="00E46838">
      <w:pPr>
        <w:pStyle w:val="DCSbodytext"/>
      </w:pPr>
      <w:r w:rsidRPr="00AC41E0">
        <w:t>Contracts, data licences</w:t>
      </w:r>
      <w:r w:rsidR="00292E1F" w:rsidRPr="00AC41E0">
        <w:t>,</w:t>
      </w:r>
      <w:r w:rsidRPr="00AC41E0">
        <w:t xml:space="preserve"> and data sharing agreements must make clear that the NSW government is not responsible for any liability issues that may arise from data quality issues or reliance by users. NSW government organisations must be transparent about any quality issues and have high quality, routine</w:t>
      </w:r>
      <w:r w:rsidR="00292E1F" w:rsidRPr="00AC41E0">
        <w:t>,</w:t>
      </w:r>
      <w:r w:rsidRPr="00AC41E0">
        <w:t xml:space="preserve"> and well</w:t>
      </w:r>
      <w:r w:rsidR="00FC0D1D" w:rsidRPr="00AC41E0">
        <w:t>-</w:t>
      </w:r>
      <w:r w:rsidRPr="00AC41E0">
        <w:t>governed processes in place to ensure the timeliness and accuracy of IoT data</w:t>
      </w:r>
      <w:r w:rsidR="000F63DF" w:rsidRPr="00AC41E0">
        <w:t>. This will</w:t>
      </w:r>
      <w:r w:rsidRPr="00AC41E0">
        <w:t xml:space="preserve"> mitigate against the likelihood of any impactful data quality issues occurring.  </w:t>
      </w:r>
    </w:p>
    <w:p w14:paraId="76D0BE4D" w14:textId="13F99621" w:rsidR="00BC7711" w:rsidRPr="00AC41E0" w:rsidRDefault="00BC7711" w:rsidP="00E46838">
      <w:pPr>
        <w:pStyle w:val="DCSbodytext"/>
        <w:rPr>
          <w:lang w:eastAsia="en-AU"/>
        </w:rPr>
      </w:pPr>
      <w:r w:rsidRPr="00AC41E0">
        <w:rPr>
          <w:lang w:eastAsia="en-AU"/>
        </w:rPr>
        <w:t xml:space="preserve">To guard against any liability issues that may arise with the use of a third-party product derived from NSW government data, </w:t>
      </w:r>
      <w:r w:rsidR="00C134E4" w:rsidRPr="00AC41E0">
        <w:rPr>
          <w:lang w:eastAsia="en-AU"/>
        </w:rPr>
        <w:t>s</w:t>
      </w:r>
      <w:r w:rsidRPr="00AC41E0">
        <w:rPr>
          <w:lang w:eastAsia="en-AU"/>
        </w:rPr>
        <w:t xml:space="preserve">eek legal advice on appropriate wording and include a disclaimer in </w:t>
      </w:r>
      <w:r w:rsidR="00FE386B" w:rsidRPr="00AC41E0">
        <w:rPr>
          <w:lang w:eastAsia="en-AU"/>
        </w:rPr>
        <w:t xml:space="preserve">any </w:t>
      </w:r>
      <w:r w:rsidRPr="00AC41E0">
        <w:rPr>
          <w:lang w:eastAsia="en-AU"/>
        </w:rPr>
        <w:t>licence agreements. Disclaimers will not eliminate complete risk</w:t>
      </w:r>
      <w:r w:rsidR="00E04B55" w:rsidRPr="00AC41E0">
        <w:rPr>
          <w:lang w:eastAsia="en-AU"/>
        </w:rPr>
        <w:t xml:space="preserve">, but </w:t>
      </w:r>
      <w:r w:rsidRPr="00AC41E0">
        <w:rPr>
          <w:lang w:eastAsia="en-AU"/>
        </w:rPr>
        <w:t xml:space="preserve">a combined metadata </w:t>
      </w:r>
      <w:r w:rsidR="004037F2" w:rsidRPr="00AC41E0">
        <w:rPr>
          <w:lang w:eastAsia="en-AU"/>
        </w:rPr>
        <w:t>statement,</w:t>
      </w:r>
      <w:r w:rsidR="004037F2" w:rsidRPr="00AC41E0">
        <w:t xml:space="preserve"> </w:t>
      </w:r>
      <w:r w:rsidR="004037F2" w:rsidRPr="00AC41E0">
        <w:rPr>
          <w:lang w:eastAsia="en-AU"/>
        </w:rPr>
        <w:t xml:space="preserve">licensing agreement and disclaimer is a suitable method for risk mitigation. </w:t>
      </w:r>
    </w:p>
    <w:p w14:paraId="3917A594" w14:textId="4DC08868" w:rsidR="00475876" w:rsidRPr="00AC41E0" w:rsidRDefault="005A0A25" w:rsidP="00475876">
      <w:pPr>
        <w:pStyle w:val="Heading3"/>
        <w:rPr>
          <w:rFonts w:ascii="Arial" w:hAnsi="Arial"/>
        </w:rPr>
      </w:pPr>
      <w:bookmarkStart w:id="1474" w:name="_Toc65760564"/>
      <w:r w:rsidRPr="00AC41E0">
        <w:rPr>
          <w:rFonts w:ascii="Arial" w:hAnsi="Arial"/>
        </w:rPr>
        <w:lastRenderedPageBreak/>
        <w:t>D</w:t>
      </w:r>
      <w:r w:rsidR="00CF774D" w:rsidRPr="00AC41E0">
        <w:rPr>
          <w:rFonts w:ascii="Arial" w:hAnsi="Arial"/>
        </w:rPr>
        <w:t>ata</w:t>
      </w:r>
      <w:r w:rsidRPr="00AC41E0">
        <w:rPr>
          <w:rFonts w:ascii="Arial" w:hAnsi="Arial"/>
        </w:rPr>
        <w:t xml:space="preserve"> privacy and security</w:t>
      </w:r>
      <w:bookmarkEnd w:id="1474"/>
    </w:p>
    <w:p w14:paraId="5B37F3F5" w14:textId="7D388874" w:rsidR="00475876" w:rsidRPr="00AC41E0" w:rsidRDefault="00475876" w:rsidP="00475876">
      <w:pPr>
        <w:pStyle w:val="DCSbodytext"/>
        <w:rPr>
          <w:lang w:eastAsia="en-AU"/>
        </w:rPr>
      </w:pPr>
      <w:r w:rsidRPr="00AC41E0">
        <w:t xml:space="preserve">Contracts must ensure that no personal data can be used by service providers </w:t>
      </w:r>
      <w:r w:rsidR="00284BDF" w:rsidRPr="00AC41E0">
        <w:t>for a purpose</w:t>
      </w:r>
      <w:r w:rsidRPr="00AC41E0">
        <w:t xml:space="preserve"> other than what is specified in the contract. Service providers must limit their data collection to only the approved purposes you have specified. </w:t>
      </w:r>
    </w:p>
    <w:p w14:paraId="14E8885B" w14:textId="5BCC6A52" w:rsidR="00475876" w:rsidRPr="00AC41E0" w:rsidRDefault="000E53C6" w:rsidP="00475876">
      <w:pPr>
        <w:pStyle w:val="DCSbodytext"/>
        <w:rPr>
          <w:rFonts w:cs="Arial"/>
        </w:rPr>
      </w:pPr>
      <w:bookmarkStart w:id="1475" w:name="_Toc14701030"/>
      <w:bookmarkStart w:id="1476" w:name="_Toc14703006"/>
      <w:bookmarkStart w:id="1477" w:name="_Toc14709881"/>
      <w:bookmarkStart w:id="1478" w:name="_Toc14768748"/>
      <w:bookmarkStart w:id="1479" w:name="_Toc14771204"/>
      <w:bookmarkStart w:id="1480" w:name="_Toc14771387"/>
      <w:bookmarkStart w:id="1481" w:name="_Toc14771771"/>
      <w:bookmarkStart w:id="1482" w:name="_Toc14771981"/>
      <w:bookmarkStart w:id="1483" w:name="_Toc14774566"/>
      <w:bookmarkStart w:id="1484" w:name="_Toc14775630"/>
      <w:bookmarkStart w:id="1485" w:name="_Toc14775793"/>
      <w:bookmarkStart w:id="1486" w:name="_Toc14776387"/>
      <w:bookmarkStart w:id="1487" w:name="_Toc14777988"/>
      <w:bookmarkStart w:id="1488" w:name="_Toc1477813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r w:rsidRPr="00AC41E0">
        <w:rPr>
          <w:rFonts w:cs="Arial"/>
        </w:rPr>
        <w:t>Depending on the purpose of your IoT</w:t>
      </w:r>
      <w:r w:rsidR="00891FFD" w:rsidRPr="00AC41E0">
        <w:rPr>
          <w:rFonts w:cs="Arial"/>
        </w:rPr>
        <w:t>-enabled project</w:t>
      </w:r>
      <w:r w:rsidRPr="00AC41E0">
        <w:rPr>
          <w:rFonts w:cs="Arial"/>
        </w:rPr>
        <w:t xml:space="preserve"> and the nature of the data you are collecting and using, you may want to a</w:t>
      </w:r>
      <w:r w:rsidR="00475876" w:rsidRPr="00AC41E0">
        <w:rPr>
          <w:rFonts w:cs="Arial"/>
        </w:rPr>
        <w:t xml:space="preserve">ddress monitoring and mitigation responsibilities for software and hardware vulnerabilities in your contract. If these vulnerabilities lead to data insecurity or privacy impacts, you should define liabilities and responsibilities in the contract. </w:t>
      </w:r>
    </w:p>
    <w:p w14:paraId="37C3C20F" w14:textId="5ABFF3AC" w:rsidR="00475876" w:rsidRPr="00AC41E0" w:rsidRDefault="00475876" w:rsidP="00475876">
      <w:pPr>
        <w:pStyle w:val="DCSbodytext"/>
      </w:pPr>
      <w:r w:rsidRPr="00AC41E0">
        <w:t>Be aware of device default settings that may be in place for scenarios like when a device loses connectivity. Default settings may route data back to the device manufacturer if a device loses connectivity. This can be a security and privacy risk and could result in data loss. Require full disclosure of any such default settings in contract and procurement processes and evaluate any reported default arrangements against corporate risk frameworks.</w:t>
      </w:r>
    </w:p>
    <w:p w14:paraId="33F4CF60" w14:textId="6E0FBF95" w:rsidR="007F6894" w:rsidRPr="00AC41E0" w:rsidRDefault="00926F86" w:rsidP="007F6894">
      <w:pPr>
        <w:pStyle w:val="Heading3"/>
        <w:rPr>
          <w:rStyle w:val="Hyperlink"/>
          <w:rFonts w:ascii="Arial" w:hAnsi="Arial"/>
        </w:rPr>
      </w:pPr>
      <w:bookmarkStart w:id="1489" w:name="_Toc65760565"/>
      <w:r w:rsidRPr="00AC41E0">
        <w:rPr>
          <w:rFonts w:ascii="Arial" w:hAnsi="Arial"/>
        </w:rPr>
        <w:t>Application Programming Interfaces</w:t>
      </w:r>
      <w:r w:rsidR="00026134" w:rsidRPr="00AC41E0">
        <w:rPr>
          <w:rFonts w:ascii="Arial" w:hAnsi="Arial"/>
        </w:rPr>
        <w:t xml:space="preserve"> (APIs)</w:t>
      </w:r>
      <w:bookmarkEnd w:id="1489"/>
    </w:p>
    <w:p w14:paraId="7729DAB8" w14:textId="29A65D14" w:rsidR="007F6894" w:rsidRPr="00AC41E0" w:rsidRDefault="00926F86" w:rsidP="00E46838">
      <w:pPr>
        <w:pStyle w:val="DCSbodytext"/>
      </w:pPr>
      <w:r w:rsidRPr="00AC41E0">
        <w:t xml:space="preserve">An Application Programming Interface (API) </w:t>
      </w:r>
      <w:r w:rsidR="007F6894" w:rsidRPr="00AC41E0">
        <w:t xml:space="preserve">developed by </w:t>
      </w:r>
      <w:r w:rsidR="00CF0815" w:rsidRPr="00AC41E0">
        <w:t xml:space="preserve">a </w:t>
      </w:r>
      <w:r w:rsidR="007F6894" w:rsidRPr="00AC41E0">
        <w:t>third part</w:t>
      </w:r>
      <w:r w:rsidR="00C470BE" w:rsidRPr="00AC41E0">
        <w:t>y</w:t>
      </w:r>
      <w:r w:rsidR="007F6894" w:rsidRPr="00AC41E0">
        <w:t xml:space="preserve"> or provided as part of a commercial product should support the release of open data and maintain </w:t>
      </w:r>
      <w:r w:rsidR="00D2609F" w:rsidRPr="00AC41E0">
        <w:t xml:space="preserve">the </w:t>
      </w:r>
      <w:r w:rsidR="007F6894" w:rsidRPr="00AC41E0">
        <w:t xml:space="preserve">safeguards for personal, health or other sensitive information. </w:t>
      </w:r>
      <w:r w:rsidR="00716CBC" w:rsidRPr="00AC41E0">
        <w:t>Take care t</w:t>
      </w:r>
      <w:r w:rsidR="007F6894" w:rsidRPr="00AC41E0">
        <w:t xml:space="preserve">o understand and determine what functionality is available via the API as typically this is controlled by the </w:t>
      </w:r>
      <w:r w:rsidR="0046042B" w:rsidRPr="00AC41E0">
        <w:t>service provider.</w:t>
      </w:r>
      <w:r w:rsidR="007F6894" w:rsidRPr="00AC41E0">
        <w:t xml:space="preserve"> </w:t>
      </w:r>
      <w:r w:rsidR="001E35DC" w:rsidRPr="00AC41E0">
        <w:t xml:space="preserve">More information on APIs and data is available in </w:t>
      </w:r>
      <w:hyperlink w:anchor="_APIs_and_data" w:history="1">
        <w:r w:rsidR="00E467FF" w:rsidRPr="00AC41E0">
          <w:rPr>
            <w:rStyle w:val="Hyperlink"/>
          </w:rPr>
          <w:t>3.8 T</w:t>
        </w:r>
        <w:r w:rsidR="001E35DC" w:rsidRPr="00AC41E0">
          <w:rPr>
            <w:rStyle w:val="Hyperlink"/>
          </w:rPr>
          <w:t>echnology for IoT</w:t>
        </w:r>
      </w:hyperlink>
      <w:r w:rsidR="001E35DC" w:rsidRPr="00E46FB0">
        <w:t>.</w:t>
      </w:r>
    </w:p>
    <w:p w14:paraId="385AD83D" w14:textId="33B9F8F5" w:rsidR="007F6894" w:rsidRPr="00AC41E0" w:rsidRDefault="00032FAC" w:rsidP="00E46838">
      <w:pPr>
        <w:pStyle w:val="DCSbodytext"/>
        <w:rPr>
          <w:b/>
        </w:rPr>
      </w:pPr>
      <w:r w:rsidRPr="00AC41E0">
        <w:t xml:space="preserve">Commercial agreements relating to the development and use of APIs should be open and transparent. </w:t>
      </w:r>
      <w:r w:rsidR="003D3FDC" w:rsidRPr="00AC41E0">
        <w:t xml:space="preserve">The NSW Government API Standard can help agencies to develop, procure and implement API solutions and tools, see </w:t>
      </w:r>
      <w:r w:rsidR="007F6894" w:rsidRPr="00AC41E0">
        <w:t xml:space="preserve">the </w:t>
      </w:r>
      <w:hyperlink r:id="rId252" w:history="1">
        <w:r w:rsidR="00312E30" w:rsidRPr="00AC41E0">
          <w:rPr>
            <w:rStyle w:val="Hyperlink"/>
          </w:rPr>
          <w:t>Digital.NSW</w:t>
        </w:r>
        <w:r w:rsidR="007F6894" w:rsidRPr="00AC41E0">
          <w:rPr>
            <w:rStyle w:val="Hyperlink"/>
          </w:rPr>
          <w:t xml:space="preserve"> website</w:t>
        </w:r>
      </w:hyperlink>
      <w:r w:rsidR="003D3FDC" w:rsidRPr="00E46FB0">
        <w:t xml:space="preserve"> for information. </w:t>
      </w:r>
    </w:p>
    <w:p w14:paraId="0DF385E4" w14:textId="77777777" w:rsidR="00475876" w:rsidRPr="00AC41E0" w:rsidRDefault="00475876" w:rsidP="00475876">
      <w:pPr>
        <w:pStyle w:val="Heading3"/>
        <w:rPr>
          <w:rFonts w:ascii="Arial" w:hAnsi="Arial"/>
        </w:rPr>
      </w:pPr>
      <w:bookmarkStart w:id="1490" w:name="_Toc14446052"/>
      <w:bookmarkStart w:id="1491" w:name="_Toc65760566"/>
      <w:r w:rsidRPr="00AC41E0">
        <w:rPr>
          <w:rFonts w:ascii="Arial" w:hAnsi="Arial"/>
        </w:rPr>
        <w:t>Cloud storage</w:t>
      </w:r>
      <w:bookmarkEnd w:id="1490"/>
      <w:bookmarkEnd w:id="1491"/>
    </w:p>
    <w:p w14:paraId="47A1122A" w14:textId="77777777" w:rsidR="000A17AE" w:rsidRPr="00AC41E0" w:rsidRDefault="0095539C" w:rsidP="0042728A">
      <w:pPr>
        <w:pStyle w:val="DCSbodytext"/>
        <w:spacing w:after="120"/>
        <w:rPr>
          <w:rFonts w:cs="Arial"/>
        </w:rPr>
      </w:pPr>
      <w:r w:rsidRPr="00AC41E0">
        <w:t xml:space="preserve">NSW Government has evaluated and endorsed a panel of cloud service providers that are available to agencies to contract via </w:t>
      </w:r>
      <w:hyperlink r:id="rId253" w:history="1">
        <w:r w:rsidR="00F21042" w:rsidRPr="00AC41E0">
          <w:rPr>
            <w:rStyle w:val="Hyperlink"/>
            <w:rFonts w:cs="Arial"/>
          </w:rPr>
          <w:t>https://suppliers.buy.nsw.gov.au/browse/suppliers</w:t>
        </w:r>
      </w:hyperlink>
      <w:r w:rsidR="00EA44C9" w:rsidRPr="00E46FB0">
        <w:rPr>
          <w:rFonts w:cs="Arial"/>
        </w:rPr>
        <w:t xml:space="preserve">. </w:t>
      </w:r>
    </w:p>
    <w:p w14:paraId="6AC1FA9F" w14:textId="067715F8" w:rsidR="00475876" w:rsidRPr="00AC41E0" w:rsidRDefault="000A17AE" w:rsidP="0042728A">
      <w:pPr>
        <w:pStyle w:val="DCSbodytext"/>
        <w:spacing w:after="120"/>
        <w:rPr>
          <w:rStyle w:val="Hyperlink"/>
          <w:rFonts w:cs="Arial"/>
          <w:color w:val="000000" w:themeColor="text1"/>
          <w:sz w:val="24"/>
          <w:u w:val="none"/>
          <w:lang w:eastAsia="en-AU"/>
        </w:rPr>
      </w:pPr>
      <w:r w:rsidRPr="00AC41E0">
        <w:rPr>
          <w:rFonts w:cs="Arial"/>
        </w:rPr>
        <w:t>For con</w:t>
      </w:r>
      <w:r w:rsidR="00475876" w:rsidRPr="00AC41E0">
        <w:rPr>
          <w:rStyle w:val="Hyperlink"/>
          <w:rFonts w:cs="Arial"/>
          <w:color w:val="000000" w:themeColor="text1"/>
          <w:u w:val="none"/>
        </w:rPr>
        <w:t xml:space="preserve">tract arrangements with cloud providers, </w:t>
      </w:r>
      <w:r w:rsidR="00604E71" w:rsidRPr="00AC41E0">
        <w:rPr>
          <w:rStyle w:val="Hyperlink"/>
          <w:rFonts w:cs="Arial"/>
          <w:color w:val="000000" w:themeColor="text1"/>
          <w:u w:val="none"/>
        </w:rPr>
        <w:t>you need to</w:t>
      </w:r>
      <w:r w:rsidR="00475876" w:rsidRPr="00AC41E0">
        <w:rPr>
          <w:rStyle w:val="Hyperlink"/>
          <w:rFonts w:cs="Arial"/>
          <w:color w:val="000000" w:themeColor="text1"/>
          <w:u w:val="none"/>
        </w:rPr>
        <w:t xml:space="preserve"> ensure that:</w:t>
      </w:r>
    </w:p>
    <w:p w14:paraId="2EB8A8D0" w14:textId="694BD313" w:rsidR="00475876" w:rsidRPr="00AC41E0" w:rsidRDefault="001650C4" w:rsidP="00D978A4">
      <w:pPr>
        <w:pStyle w:val="DCSbodytext"/>
        <w:numPr>
          <w:ilvl w:val="0"/>
          <w:numId w:val="85"/>
        </w:numPr>
        <w:spacing w:after="120"/>
        <w:ind w:left="1228"/>
        <w:rPr>
          <w:rStyle w:val="Hyperlink"/>
          <w:rFonts w:cs="Arial"/>
          <w:color w:val="000000" w:themeColor="text1"/>
          <w:u w:val="none"/>
        </w:rPr>
      </w:pPr>
      <w:r w:rsidRPr="00AC41E0">
        <w:rPr>
          <w:rStyle w:val="Hyperlink"/>
          <w:rFonts w:cs="Arial"/>
          <w:color w:val="000000" w:themeColor="text1"/>
          <w:u w:val="none"/>
        </w:rPr>
        <w:t>t</w:t>
      </w:r>
      <w:r w:rsidR="00475876" w:rsidRPr="00AC41E0">
        <w:rPr>
          <w:rStyle w:val="Hyperlink"/>
          <w:rFonts w:cs="Arial"/>
          <w:color w:val="000000" w:themeColor="text1"/>
          <w:u w:val="none"/>
        </w:rPr>
        <w:t>he data need</w:t>
      </w:r>
      <w:r w:rsidR="007354F1" w:rsidRPr="00AC41E0">
        <w:rPr>
          <w:rStyle w:val="Hyperlink"/>
          <w:rFonts w:cs="Arial"/>
          <w:color w:val="000000" w:themeColor="text1"/>
          <w:u w:val="none"/>
        </w:rPr>
        <w:t>ed</w:t>
      </w:r>
      <w:r w:rsidR="00475876" w:rsidRPr="00AC41E0">
        <w:rPr>
          <w:rStyle w:val="Hyperlink"/>
          <w:rFonts w:cs="Arial"/>
          <w:color w:val="000000" w:themeColor="text1"/>
          <w:u w:val="none"/>
        </w:rPr>
        <w:t xml:space="preserve"> to support business operations is created and kept for as long as they need it</w:t>
      </w:r>
    </w:p>
    <w:p w14:paraId="7D31017C" w14:textId="7F6C8B73" w:rsidR="00475876" w:rsidRPr="00AC41E0" w:rsidRDefault="001650C4" w:rsidP="00D978A4">
      <w:pPr>
        <w:pStyle w:val="DCSbodytext"/>
        <w:numPr>
          <w:ilvl w:val="0"/>
          <w:numId w:val="85"/>
        </w:numPr>
        <w:spacing w:after="120"/>
        <w:ind w:left="1228"/>
        <w:rPr>
          <w:rStyle w:val="Hyperlink"/>
          <w:rFonts w:cs="Arial"/>
          <w:color w:val="000000" w:themeColor="text1"/>
          <w:u w:val="none"/>
        </w:rPr>
      </w:pPr>
      <w:r w:rsidRPr="00AC41E0">
        <w:rPr>
          <w:rStyle w:val="Hyperlink"/>
          <w:rFonts w:cs="Arial"/>
          <w:color w:val="000000" w:themeColor="text1"/>
          <w:u w:val="none"/>
        </w:rPr>
        <w:t>o</w:t>
      </w:r>
      <w:r w:rsidR="00475876" w:rsidRPr="00AC41E0">
        <w:rPr>
          <w:rStyle w:val="Hyperlink"/>
          <w:rFonts w:cs="Arial"/>
          <w:color w:val="000000" w:themeColor="text1"/>
          <w:u w:val="none"/>
        </w:rPr>
        <w:t>wnership of government data remains with the State</w:t>
      </w:r>
    </w:p>
    <w:p w14:paraId="5C12EEA7" w14:textId="0090A4BA" w:rsidR="00475876" w:rsidRPr="00AC41E0" w:rsidRDefault="001650C4" w:rsidP="00D978A4">
      <w:pPr>
        <w:pStyle w:val="DCSbodytext"/>
        <w:numPr>
          <w:ilvl w:val="0"/>
          <w:numId w:val="85"/>
        </w:numPr>
        <w:spacing w:after="120"/>
        <w:ind w:left="1228"/>
        <w:rPr>
          <w:rStyle w:val="Hyperlink"/>
          <w:rFonts w:cs="Arial"/>
          <w:color w:val="000000" w:themeColor="text1"/>
          <w:u w:val="none"/>
        </w:rPr>
      </w:pPr>
      <w:r w:rsidRPr="00AC41E0">
        <w:rPr>
          <w:rStyle w:val="Hyperlink"/>
          <w:rFonts w:cs="Arial"/>
          <w:color w:val="000000" w:themeColor="text1"/>
          <w:u w:val="none"/>
        </w:rPr>
        <w:t>i</w:t>
      </w:r>
      <w:r w:rsidR="00475876" w:rsidRPr="00AC41E0">
        <w:rPr>
          <w:rStyle w:val="Hyperlink"/>
          <w:rFonts w:cs="Arial"/>
          <w:color w:val="000000" w:themeColor="text1"/>
          <w:u w:val="none"/>
        </w:rPr>
        <w:t xml:space="preserve">f IoT data legally needs to be kept for longer </w:t>
      </w:r>
      <w:r w:rsidR="00292E1F" w:rsidRPr="00AC41E0">
        <w:rPr>
          <w:rStyle w:val="Hyperlink"/>
          <w:rFonts w:cs="Arial"/>
          <w:color w:val="000000" w:themeColor="text1"/>
          <w:u w:val="none"/>
        </w:rPr>
        <w:t xml:space="preserve">than </w:t>
      </w:r>
      <w:r w:rsidR="00475876" w:rsidRPr="00AC41E0">
        <w:rPr>
          <w:rStyle w:val="Hyperlink"/>
          <w:rFonts w:cs="Arial"/>
          <w:color w:val="000000" w:themeColor="text1"/>
          <w:u w:val="none"/>
        </w:rPr>
        <w:t xml:space="preserve">the service agreement period with a specific service provider, </w:t>
      </w:r>
      <w:r w:rsidR="00710518" w:rsidRPr="00AC41E0">
        <w:rPr>
          <w:rStyle w:val="Hyperlink"/>
          <w:rFonts w:cs="Arial"/>
          <w:color w:val="000000" w:themeColor="text1"/>
          <w:u w:val="none"/>
        </w:rPr>
        <w:t xml:space="preserve">the </w:t>
      </w:r>
      <w:r w:rsidR="00475876" w:rsidRPr="00AC41E0">
        <w:rPr>
          <w:rStyle w:val="Hyperlink"/>
          <w:rFonts w:cs="Arial"/>
          <w:color w:val="000000" w:themeColor="text1"/>
          <w:u w:val="none"/>
        </w:rPr>
        <w:t xml:space="preserve">contract and operating arrangements </w:t>
      </w:r>
      <w:r w:rsidR="004C6437" w:rsidRPr="00AC41E0">
        <w:rPr>
          <w:rStyle w:val="Hyperlink"/>
          <w:rFonts w:cs="Arial"/>
          <w:color w:val="000000" w:themeColor="text1"/>
          <w:u w:val="none"/>
        </w:rPr>
        <w:t xml:space="preserve">enable </w:t>
      </w:r>
      <w:r w:rsidR="00475876" w:rsidRPr="00AC41E0">
        <w:rPr>
          <w:rStyle w:val="Hyperlink"/>
          <w:rFonts w:cs="Arial"/>
          <w:color w:val="000000" w:themeColor="text1"/>
          <w:u w:val="none"/>
        </w:rPr>
        <w:t xml:space="preserve">this data </w:t>
      </w:r>
      <w:r w:rsidR="00CB7CA0" w:rsidRPr="00AC41E0">
        <w:rPr>
          <w:rStyle w:val="Hyperlink"/>
          <w:rFonts w:cs="Arial"/>
          <w:color w:val="000000" w:themeColor="text1"/>
          <w:u w:val="none"/>
        </w:rPr>
        <w:t xml:space="preserve">to </w:t>
      </w:r>
      <w:r w:rsidR="00475876" w:rsidRPr="00AC41E0">
        <w:rPr>
          <w:rStyle w:val="Hyperlink"/>
          <w:rFonts w:cs="Arial"/>
          <w:color w:val="000000" w:themeColor="text1"/>
          <w:u w:val="none"/>
        </w:rPr>
        <w:t xml:space="preserve">be returned to State ownership in accessible and useable forms </w:t>
      </w:r>
      <w:r w:rsidR="00D24F66" w:rsidRPr="00AC41E0">
        <w:rPr>
          <w:rStyle w:val="Hyperlink"/>
          <w:rFonts w:cs="Arial"/>
          <w:color w:val="000000" w:themeColor="text1"/>
          <w:u w:val="none"/>
        </w:rPr>
        <w:t>once</w:t>
      </w:r>
      <w:r w:rsidR="00475876" w:rsidRPr="00AC41E0">
        <w:rPr>
          <w:rStyle w:val="Hyperlink"/>
          <w:rFonts w:cs="Arial"/>
          <w:color w:val="000000" w:themeColor="text1"/>
          <w:u w:val="none"/>
        </w:rPr>
        <w:t xml:space="preserve"> service arrangements</w:t>
      </w:r>
      <w:r w:rsidR="00D24F66" w:rsidRPr="00AC41E0">
        <w:rPr>
          <w:rStyle w:val="Hyperlink"/>
          <w:rFonts w:cs="Arial"/>
          <w:color w:val="000000" w:themeColor="text1"/>
          <w:u w:val="none"/>
        </w:rPr>
        <w:t xml:space="preserve"> conclude</w:t>
      </w:r>
    </w:p>
    <w:p w14:paraId="5D5A5934" w14:textId="7483EB91" w:rsidR="00475876" w:rsidRPr="00AC41E0" w:rsidRDefault="00BB36B3" w:rsidP="00D978A4">
      <w:pPr>
        <w:pStyle w:val="DCSbodytext"/>
        <w:numPr>
          <w:ilvl w:val="0"/>
          <w:numId w:val="85"/>
        </w:numPr>
        <w:ind w:left="1228"/>
        <w:rPr>
          <w:rStyle w:val="Hyperlink"/>
          <w:rFonts w:cs="Arial"/>
          <w:color w:val="000000" w:themeColor="text1"/>
          <w:u w:val="none"/>
        </w:rPr>
      </w:pPr>
      <w:r w:rsidRPr="00AC41E0">
        <w:rPr>
          <w:rStyle w:val="Hyperlink"/>
          <w:rFonts w:cs="Arial"/>
          <w:color w:val="000000" w:themeColor="text1"/>
          <w:u w:val="none"/>
        </w:rPr>
        <w:t>i</w:t>
      </w:r>
      <w:r w:rsidR="00475876" w:rsidRPr="00AC41E0">
        <w:rPr>
          <w:rStyle w:val="Hyperlink"/>
          <w:rFonts w:cs="Arial"/>
          <w:color w:val="000000" w:themeColor="text1"/>
          <w:u w:val="none"/>
        </w:rPr>
        <w:t xml:space="preserve">f specific IoT data is no longer needed for business operations and can legally be destroyed, this destruction is identified and authorised by the </w:t>
      </w:r>
      <w:r w:rsidRPr="00AC41E0">
        <w:rPr>
          <w:rStyle w:val="Hyperlink"/>
          <w:rFonts w:cs="Arial"/>
          <w:color w:val="000000" w:themeColor="text1"/>
          <w:u w:val="none"/>
        </w:rPr>
        <w:t xml:space="preserve">organisation </w:t>
      </w:r>
      <w:r w:rsidR="00475876" w:rsidRPr="00AC41E0">
        <w:rPr>
          <w:rStyle w:val="Hyperlink"/>
          <w:rFonts w:cs="Arial"/>
          <w:color w:val="000000" w:themeColor="text1"/>
          <w:u w:val="none"/>
        </w:rPr>
        <w:t xml:space="preserve">and is accountably performed by the service provider on the </w:t>
      </w:r>
      <w:r w:rsidR="002F4BE8" w:rsidRPr="00AC41E0">
        <w:rPr>
          <w:rStyle w:val="Hyperlink"/>
          <w:rFonts w:cs="Arial"/>
          <w:color w:val="000000" w:themeColor="text1"/>
          <w:u w:val="none"/>
        </w:rPr>
        <w:t>o</w:t>
      </w:r>
      <w:r w:rsidR="00261890" w:rsidRPr="00AC41E0">
        <w:rPr>
          <w:rStyle w:val="Hyperlink"/>
          <w:rFonts w:cs="Arial"/>
          <w:color w:val="000000" w:themeColor="text1"/>
          <w:u w:val="none"/>
        </w:rPr>
        <w:t>r</w:t>
      </w:r>
      <w:r w:rsidR="002F4BE8" w:rsidRPr="00AC41E0">
        <w:rPr>
          <w:rStyle w:val="Hyperlink"/>
          <w:rFonts w:cs="Arial"/>
          <w:color w:val="000000" w:themeColor="text1"/>
          <w:u w:val="none"/>
        </w:rPr>
        <w:t xml:space="preserve">ganisation’s </w:t>
      </w:r>
      <w:r w:rsidR="00475876" w:rsidRPr="00AC41E0">
        <w:rPr>
          <w:rStyle w:val="Hyperlink"/>
          <w:rFonts w:cs="Arial"/>
          <w:color w:val="000000" w:themeColor="text1"/>
          <w:u w:val="none"/>
        </w:rPr>
        <w:t xml:space="preserve">behalf. </w:t>
      </w:r>
    </w:p>
    <w:p w14:paraId="5A0D98F6" w14:textId="77777777" w:rsidR="009B1690" w:rsidRPr="00AC41E0" w:rsidRDefault="009B1690" w:rsidP="0042728A">
      <w:pPr>
        <w:pStyle w:val="DCSbodytext"/>
        <w:ind w:left="932"/>
        <w:rPr>
          <w:shd w:val="clear" w:color="auto" w:fill="FFFFFF"/>
        </w:rPr>
      </w:pPr>
      <w:r w:rsidRPr="00AC41E0">
        <w:rPr>
          <w:shd w:val="clear" w:color="auto" w:fill="FFFFFF"/>
        </w:rPr>
        <w:lastRenderedPageBreak/>
        <w:t xml:space="preserve">Avoid cloud storage lock-in relationships that can come with specific device-hosted cloud arrangements. You want the ability to store and process data in ways that best work with your technology stack. </w:t>
      </w:r>
    </w:p>
    <w:p w14:paraId="41219858" w14:textId="05D8860E" w:rsidR="00BC7711" w:rsidRPr="00AC41E0" w:rsidRDefault="005219EB" w:rsidP="00D4137E">
      <w:pPr>
        <w:pStyle w:val="Heading3"/>
        <w:ind w:left="868"/>
        <w:rPr>
          <w:rFonts w:ascii="Arial" w:hAnsi="Arial"/>
        </w:rPr>
      </w:pPr>
      <w:bookmarkStart w:id="1492" w:name="_Toc14446054"/>
      <w:bookmarkStart w:id="1493" w:name="_Toc65760567"/>
      <w:r w:rsidRPr="00AC41E0">
        <w:rPr>
          <w:rFonts w:ascii="Arial" w:hAnsi="Arial"/>
        </w:rPr>
        <w:t>Establish</w:t>
      </w:r>
      <w:r w:rsidR="00E47915" w:rsidRPr="00AC41E0">
        <w:rPr>
          <w:rFonts w:ascii="Arial" w:hAnsi="Arial"/>
        </w:rPr>
        <w:t>ing</w:t>
      </w:r>
      <w:r w:rsidR="00A554FD" w:rsidRPr="00AC41E0">
        <w:rPr>
          <w:rFonts w:ascii="Arial" w:hAnsi="Arial"/>
        </w:rPr>
        <w:t xml:space="preserve"> clear</w:t>
      </w:r>
      <w:r w:rsidR="00BC7711" w:rsidRPr="00AC41E0">
        <w:rPr>
          <w:rFonts w:ascii="Arial" w:hAnsi="Arial"/>
        </w:rPr>
        <w:t xml:space="preserve"> responsibilities</w:t>
      </w:r>
      <w:bookmarkEnd w:id="1492"/>
      <w:bookmarkEnd w:id="1493"/>
    </w:p>
    <w:p w14:paraId="40DE31EC" w14:textId="5E9B8114" w:rsidR="00BC7711" w:rsidRPr="00AC41E0" w:rsidRDefault="00D761A1" w:rsidP="00D4137E">
      <w:pPr>
        <w:pStyle w:val="DCSbodytext"/>
        <w:ind w:left="868"/>
        <w:rPr>
          <w:lang w:eastAsia="en-AU"/>
        </w:rPr>
      </w:pPr>
      <w:r w:rsidRPr="00AC41E0">
        <w:rPr>
          <w:lang w:eastAsia="en-AU"/>
        </w:rPr>
        <w:t>Be</w:t>
      </w:r>
      <w:r w:rsidR="00BC7711" w:rsidRPr="00AC41E0">
        <w:rPr>
          <w:lang w:eastAsia="en-AU"/>
        </w:rPr>
        <w:t xml:space="preserve"> aware that the day</w:t>
      </w:r>
      <w:r w:rsidR="00AD295C" w:rsidRPr="00AC41E0">
        <w:rPr>
          <w:lang w:eastAsia="en-AU"/>
        </w:rPr>
        <w:t>-t</w:t>
      </w:r>
      <w:r w:rsidR="00BC7711" w:rsidRPr="00AC41E0">
        <w:rPr>
          <w:lang w:eastAsia="en-AU"/>
        </w:rPr>
        <w:t>o</w:t>
      </w:r>
      <w:r w:rsidR="00AD295C" w:rsidRPr="00AC41E0">
        <w:rPr>
          <w:lang w:eastAsia="en-AU"/>
        </w:rPr>
        <w:t>-</w:t>
      </w:r>
      <w:r w:rsidR="00BC7711" w:rsidRPr="00AC41E0">
        <w:rPr>
          <w:lang w:eastAsia="en-AU"/>
        </w:rPr>
        <w:t xml:space="preserve">day operation of data custodial responsibilities may be delegated or contracted to other parties </w:t>
      </w:r>
      <w:r w:rsidR="001A5D12" w:rsidRPr="00AC41E0">
        <w:rPr>
          <w:lang w:eastAsia="en-AU"/>
        </w:rPr>
        <w:t>under your</w:t>
      </w:r>
      <w:r w:rsidR="00BC7711" w:rsidRPr="00AC41E0">
        <w:rPr>
          <w:lang w:eastAsia="en-AU"/>
        </w:rPr>
        <w:t xml:space="preserve"> IoT service arrangements, but the overall responsibility for data rests with your organisation. </w:t>
      </w:r>
    </w:p>
    <w:p w14:paraId="569DF422" w14:textId="5EA497B9" w:rsidR="00475876" w:rsidRPr="00AC41E0" w:rsidRDefault="00BC7711" w:rsidP="001728D7">
      <w:pPr>
        <w:pStyle w:val="DCSbodytext"/>
        <w:ind w:left="868"/>
        <w:sectPr w:rsidR="00475876" w:rsidRPr="00AC41E0" w:rsidSect="002771AA">
          <w:pgSz w:w="11906" w:h="16838"/>
          <w:pgMar w:top="1418" w:right="1134" w:bottom="1134" w:left="1134" w:header="851" w:footer="425" w:gutter="0"/>
          <w:cols w:space="708"/>
          <w:titlePg/>
          <w:docGrid w:linePitch="360"/>
        </w:sectPr>
      </w:pPr>
      <w:r w:rsidRPr="00AC41E0">
        <w:rPr>
          <w:lang w:eastAsia="en-AU"/>
        </w:rPr>
        <w:t xml:space="preserve">Under the </w:t>
      </w:r>
      <w:hyperlink r:id="rId254" w:anchor="/view/act/1998/17" w:history="1">
        <w:r w:rsidRPr="00AC41E0">
          <w:rPr>
            <w:rStyle w:val="Hyperlink"/>
            <w:i/>
            <w:lang w:eastAsia="en-AU"/>
          </w:rPr>
          <w:t>State Records Act 1998</w:t>
        </w:r>
        <w:r w:rsidR="00D33D68" w:rsidRPr="00AC41E0">
          <w:rPr>
            <w:rStyle w:val="Hyperlink"/>
            <w:i/>
            <w:lang w:eastAsia="en-AU"/>
          </w:rPr>
          <w:t xml:space="preserve"> </w:t>
        </w:r>
        <w:r w:rsidR="00D33D68" w:rsidRPr="00AC41E0">
          <w:rPr>
            <w:rStyle w:val="Hyperlink"/>
            <w:lang w:eastAsia="en-AU"/>
          </w:rPr>
          <w:t>(NSW)</w:t>
        </w:r>
      </w:hyperlink>
      <w:r w:rsidRPr="00E46FB0">
        <w:rPr>
          <w:lang w:eastAsia="en-AU"/>
        </w:rPr>
        <w:t xml:space="preserve"> government organisations are responsible for the creation, management, protection and maintenance of their datasets, even when these management responsibilities have b</w:t>
      </w:r>
      <w:r w:rsidRPr="00AC41E0">
        <w:rPr>
          <w:lang w:eastAsia="en-AU"/>
        </w:rPr>
        <w:t xml:space="preserve">een delegated to another </w:t>
      </w:r>
      <w:r w:rsidR="00F749F8" w:rsidRPr="00AC41E0">
        <w:rPr>
          <w:lang w:eastAsia="en-AU"/>
        </w:rPr>
        <w:t>organisation</w:t>
      </w:r>
      <w:r w:rsidRPr="00AC41E0">
        <w:rPr>
          <w:lang w:eastAsia="en-AU"/>
        </w:rPr>
        <w:t xml:space="preserve">. To mitigate potential breaches of the </w:t>
      </w:r>
      <w:r w:rsidRPr="00AC41E0">
        <w:rPr>
          <w:i/>
          <w:lang w:eastAsia="en-AU"/>
        </w:rPr>
        <w:t>State Records Act</w:t>
      </w:r>
      <w:r w:rsidR="004C0F6C" w:rsidRPr="00AC41E0">
        <w:rPr>
          <w:i/>
          <w:lang w:eastAsia="en-AU"/>
        </w:rPr>
        <w:t xml:space="preserve"> 1998</w:t>
      </w:r>
      <w:r w:rsidRPr="00AC41E0">
        <w:rPr>
          <w:lang w:eastAsia="en-AU"/>
        </w:rPr>
        <w:t>, </w:t>
      </w:r>
      <w:r w:rsidR="006610A0" w:rsidRPr="00AC41E0">
        <w:rPr>
          <w:lang w:eastAsia="en-AU"/>
        </w:rPr>
        <w:t>custodianship agreement</w:t>
      </w:r>
      <w:r w:rsidR="00AD503D" w:rsidRPr="00AC41E0">
        <w:rPr>
          <w:lang w:eastAsia="en-AU"/>
        </w:rPr>
        <w:t>s</w:t>
      </w:r>
      <w:r w:rsidR="006610A0" w:rsidRPr="00AC41E0">
        <w:rPr>
          <w:lang w:eastAsia="en-AU"/>
        </w:rPr>
        <w:t xml:space="preserve"> </w:t>
      </w:r>
      <w:r w:rsidR="00AC6BD8" w:rsidRPr="00AC41E0">
        <w:rPr>
          <w:lang w:eastAsia="en-AU"/>
        </w:rPr>
        <w:t xml:space="preserve">must be in place </w:t>
      </w:r>
      <w:r w:rsidRPr="00AC41E0">
        <w:rPr>
          <w:lang w:eastAsia="en-AU"/>
        </w:rPr>
        <w:t xml:space="preserve">that outline data creation, management, retention and </w:t>
      </w:r>
      <w:r w:rsidR="00AC6BD8" w:rsidRPr="00AC41E0">
        <w:rPr>
          <w:lang w:eastAsia="en-AU"/>
        </w:rPr>
        <w:t>d</w:t>
      </w:r>
      <w:r w:rsidRPr="00AC41E0">
        <w:rPr>
          <w:lang w:eastAsia="en-AU"/>
        </w:rPr>
        <w:t xml:space="preserve">estruction requirements. Responsibilities under the </w:t>
      </w:r>
      <w:hyperlink r:id="rId255" w:anchor="/view/act/2009/52" w:history="1">
        <w:r w:rsidR="00687E53" w:rsidRPr="00AC41E0">
          <w:rPr>
            <w:rStyle w:val="Hyperlink"/>
            <w:i/>
            <w:lang w:eastAsia="en-AU"/>
          </w:rPr>
          <w:t>Government Information (Public Access) Act 2009</w:t>
        </w:r>
        <w:r w:rsidR="00687E53" w:rsidRPr="00AC41E0">
          <w:rPr>
            <w:rStyle w:val="Hyperlink"/>
            <w:lang w:eastAsia="en-AU"/>
          </w:rPr>
          <w:t xml:space="preserve"> (NSW)</w:t>
        </w:r>
      </w:hyperlink>
      <w:r w:rsidR="00687E53" w:rsidRPr="00E46FB0">
        <w:rPr>
          <w:lang w:eastAsia="en-AU"/>
        </w:rPr>
        <w:t xml:space="preserve"> and </w:t>
      </w:r>
      <w:hyperlink r:id="rId256" w:anchor="/view/act/1998/133" w:history="1">
        <w:r w:rsidR="00687E53" w:rsidRPr="00AC41E0">
          <w:rPr>
            <w:rStyle w:val="Hyperlink"/>
            <w:i/>
            <w:lang w:eastAsia="en-AU"/>
          </w:rPr>
          <w:t>Privacy and Personal Information Protection Act 1988</w:t>
        </w:r>
        <w:r w:rsidR="00687E53" w:rsidRPr="00AC41E0">
          <w:rPr>
            <w:rStyle w:val="Hyperlink"/>
            <w:lang w:eastAsia="en-AU"/>
          </w:rPr>
          <w:t xml:space="preserve"> (NSW)</w:t>
        </w:r>
      </w:hyperlink>
      <w:r w:rsidR="00687E53" w:rsidRPr="00E46FB0">
        <w:rPr>
          <w:lang w:eastAsia="en-AU"/>
        </w:rPr>
        <w:t xml:space="preserve"> </w:t>
      </w:r>
      <w:r w:rsidRPr="00AC41E0">
        <w:rPr>
          <w:lang w:eastAsia="en-AU"/>
        </w:rPr>
        <w:t xml:space="preserve">must also be clear. </w:t>
      </w:r>
      <w:bookmarkStart w:id="1494" w:name="_Toc14272430"/>
      <w:bookmarkStart w:id="1495" w:name="_Toc14341868"/>
      <w:bookmarkStart w:id="1496" w:name="_Toc14365894"/>
    </w:p>
    <w:p w14:paraId="3AFC53EE" w14:textId="774614EE" w:rsidR="00475876" w:rsidRPr="00AC41E0" w:rsidRDefault="00475876" w:rsidP="00746291">
      <w:pPr>
        <w:pStyle w:val="Heading2"/>
        <w:tabs>
          <w:tab w:val="clear" w:pos="5188"/>
          <w:tab w:val="num" w:pos="794"/>
        </w:tabs>
        <w:ind w:left="851"/>
        <w:rPr>
          <w:rFonts w:ascii="Arial" w:hAnsi="Arial"/>
        </w:rPr>
      </w:pPr>
      <w:bookmarkStart w:id="1497" w:name="_Toc65760568"/>
      <w:r w:rsidRPr="00E46FB0">
        <w:rPr>
          <w:rFonts w:ascii="Arial" w:hAnsi="Arial"/>
        </w:rPr>
        <w:lastRenderedPageBreak/>
        <w:t>Key contract terms for IoT solutions</w:t>
      </w:r>
      <w:bookmarkEnd w:id="1494"/>
      <w:bookmarkEnd w:id="1495"/>
      <w:bookmarkEnd w:id="1496"/>
      <w:bookmarkEnd w:id="1497"/>
    </w:p>
    <w:p w14:paraId="7D2CB569" w14:textId="4ED4D06F" w:rsidR="00475876" w:rsidRPr="00AC41E0" w:rsidRDefault="00D87448" w:rsidP="0022369F">
      <w:pPr>
        <w:pStyle w:val="DCSbodytext"/>
      </w:pPr>
      <w:r w:rsidRPr="00AC41E0">
        <w:t>This ta</w:t>
      </w:r>
      <w:r w:rsidR="00475876" w:rsidRPr="00AC41E0">
        <w:t xml:space="preserve">ble contains key contract terms you should consider when developing a contract for an IoT solution. It is not an exhaustive list of areas that need to be included in a contract. </w:t>
      </w:r>
    </w:p>
    <w:tbl>
      <w:tblPr>
        <w:tblStyle w:val="GridTable4-Accent1"/>
        <w:tblW w:w="0" w:type="auto"/>
        <w:tblInd w:w="794" w:type="dxa"/>
        <w:tblLook w:val="04A0" w:firstRow="1" w:lastRow="0" w:firstColumn="1" w:lastColumn="0" w:noHBand="0" w:noVBand="1"/>
      </w:tblPr>
      <w:tblGrid>
        <w:gridCol w:w="1895"/>
        <w:gridCol w:w="6895"/>
        <w:gridCol w:w="44"/>
      </w:tblGrid>
      <w:tr w:rsidR="00235AE9" w:rsidRPr="00AC41E0" w14:paraId="7FF02043" w14:textId="77777777" w:rsidTr="00110C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1F497D" w:themeFill="text2"/>
          </w:tcPr>
          <w:p w14:paraId="0EF3BCA6" w14:textId="77777777" w:rsidR="00235AE9" w:rsidRPr="00AC41E0" w:rsidRDefault="00235AE9" w:rsidP="00C346B6">
            <w:pPr>
              <w:pStyle w:val="DCSbodytext"/>
              <w:ind w:left="0"/>
              <w:jc w:val="center"/>
              <w:rPr>
                <w:szCs w:val="22"/>
              </w:rPr>
            </w:pPr>
            <w:r w:rsidRPr="00AC41E0">
              <w:t>Contract term</w:t>
            </w:r>
          </w:p>
        </w:tc>
        <w:tc>
          <w:tcPr>
            <w:tcW w:w="0" w:type="dxa"/>
            <w:gridSpan w:val="2"/>
            <w:tcBorders>
              <w:top w:val="single" w:sz="4" w:space="0" w:color="auto"/>
              <w:left w:val="single" w:sz="4" w:space="0" w:color="auto"/>
              <w:bottom w:val="single" w:sz="4" w:space="0" w:color="auto"/>
            </w:tcBorders>
            <w:shd w:val="clear" w:color="auto" w:fill="1F497D" w:themeFill="text2"/>
          </w:tcPr>
          <w:p w14:paraId="3798E759" w14:textId="77777777" w:rsidR="00235AE9" w:rsidRPr="00AC41E0" w:rsidRDefault="00235AE9" w:rsidP="00C346B6">
            <w:pPr>
              <w:pStyle w:val="DCSbodytext"/>
              <w:ind w:left="0"/>
              <w:jc w:val="center"/>
              <w:cnfStyle w:val="100000000000" w:firstRow="1" w:lastRow="0" w:firstColumn="0" w:lastColumn="0" w:oddVBand="0" w:evenVBand="0" w:oddHBand="0" w:evenHBand="0" w:firstRowFirstColumn="0" w:firstRowLastColumn="0" w:lastRowFirstColumn="0" w:lastRowLastColumn="0"/>
              <w:rPr>
                <w:szCs w:val="22"/>
              </w:rPr>
            </w:pPr>
            <w:r w:rsidRPr="00AC41E0">
              <w:t>What needs to be covered in the contract?</w:t>
            </w:r>
          </w:p>
        </w:tc>
      </w:tr>
      <w:tr w:rsidR="00D87448" w:rsidRPr="00AC41E0" w14:paraId="2E6DCED4" w14:textId="77777777" w:rsidTr="0022369F">
        <w:trPr>
          <w:gridAfter w:val="1"/>
          <w:cnfStyle w:val="000000100000" w:firstRow="0" w:lastRow="0" w:firstColumn="0" w:lastColumn="0" w:oddVBand="0" w:evenVBand="0" w:oddHBand="1" w:evenHBand="0" w:firstRowFirstColumn="0" w:firstRowLastColumn="0" w:lastRowFirstColumn="0" w:lastRowLastColumn="0"/>
          <w:wAfter w:w="44" w:type="dxa"/>
        </w:trPr>
        <w:tc>
          <w:tcPr>
            <w:cnfStyle w:val="001000000000" w:firstRow="0" w:lastRow="0" w:firstColumn="1" w:lastColumn="0" w:oddVBand="0" w:evenVBand="0" w:oddHBand="0" w:evenHBand="0" w:firstRowFirstColumn="0" w:firstRowLastColumn="0" w:lastRowFirstColumn="0" w:lastRowLastColumn="0"/>
            <w:tcW w:w="1895" w:type="dxa"/>
          </w:tcPr>
          <w:p w14:paraId="33D4F533" w14:textId="7E332C4A" w:rsidR="00D87448" w:rsidRPr="00AC41E0" w:rsidRDefault="00D87448" w:rsidP="00C346B6">
            <w:pPr>
              <w:pStyle w:val="DCSbodytext"/>
              <w:spacing w:after="120"/>
              <w:ind w:left="0"/>
            </w:pPr>
            <w:r w:rsidRPr="00AC41E0">
              <w:t xml:space="preserve">Data </w:t>
            </w:r>
          </w:p>
        </w:tc>
        <w:tc>
          <w:tcPr>
            <w:tcW w:w="6895" w:type="dxa"/>
          </w:tcPr>
          <w:p w14:paraId="0BCF654C" w14:textId="1417D67C" w:rsidR="00D87448" w:rsidRPr="00E46FB0" w:rsidRDefault="00D87448" w:rsidP="00D87448">
            <w:pPr>
              <w:pStyle w:val="DCSbodytext"/>
              <w:spacing w:after="120"/>
              <w:ind w:left="0"/>
              <w:cnfStyle w:val="000000100000" w:firstRow="0" w:lastRow="0" w:firstColumn="0" w:lastColumn="0" w:oddVBand="0" w:evenVBand="0" w:oddHBand="1" w:evenHBand="0" w:firstRowFirstColumn="0" w:firstRowLastColumn="0" w:lastRowFirstColumn="0" w:lastRowLastColumn="0"/>
              <w:rPr>
                <w:rFonts w:eastAsia="Calibri"/>
              </w:rPr>
            </w:pPr>
            <w:r w:rsidRPr="00AC41E0">
              <w:rPr>
                <w:rFonts w:eastAsia="Calibri"/>
              </w:rPr>
              <w:t xml:space="preserve">See </w:t>
            </w:r>
            <w:hyperlink w:anchor="_Data_considerations_for_3" w:history="1">
              <w:r w:rsidR="00BF253D" w:rsidRPr="00AC41E0">
                <w:rPr>
                  <w:rStyle w:val="Hyperlink"/>
                  <w:rFonts w:eastAsia="Calibri"/>
                </w:rPr>
                <w:t>Chapter 5.2 D</w:t>
              </w:r>
              <w:r w:rsidR="00095F18" w:rsidRPr="00AC41E0">
                <w:rPr>
                  <w:rStyle w:val="Hyperlink"/>
                  <w:rFonts w:eastAsia="Calibri"/>
                </w:rPr>
                <w:t>ata considerations for contracting</w:t>
              </w:r>
              <w:r w:rsidR="00095F18" w:rsidRPr="00AC41E0">
                <w:rPr>
                  <w:rStyle w:val="Hyperlink"/>
                  <w:rFonts w:eastAsia="Calibri"/>
                  <w:color w:val="000000" w:themeColor="text1"/>
                  <w:u w:val="none"/>
                </w:rPr>
                <w:t>.</w:t>
              </w:r>
            </w:hyperlink>
          </w:p>
        </w:tc>
      </w:tr>
      <w:tr w:rsidR="00475876" w:rsidRPr="00AC41E0" w14:paraId="40A730FD" w14:textId="77777777" w:rsidTr="0022369F">
        <w:trPr>
          <w:gridAfter w:val="1"/>
          <w:wAfter w:w="44" w:type="dxa"/>
        </w:trPr>
        <w:tc>
          <w:tcPr>
            <w:cnfStyle w:val="001000000000" w:firstRow="0" w:lastRow="0" w:firstColumn="1" w:lastColumn="0" w:oddVBand="0" w:evenVBand="0" w:oddHBand="0" w:evenHBand="0" w:firstRowFirstColumn="0" w:firstRowLastColumn="0" w:lastRowFirstColumn="0" w:lastRowLastColumn="0"/>
            <w:tcW w:w="1895" w:type="dxa"/>
          </w:tcPr>
          <w:p w14:paraId="3A12AFDD" w14:textId="77777777" w:rsidR="00475876" w:rsidRPr="00AC41E0" w:rsidRDefault="00475876" w:rsidP="00C346B6">
            <w:pPr>
              <w:pStyle w:val="DCSbodytext"/>
              <w:spacing w:after="120"/>
              <w:ind w:left="0"/>
              <w:rPr>
                <w:szCs w:val="22"/>
              </w:rPr>
            </w:pPr>
            <w:r w:rsidRPr="00AC41E0">
              <w:t>Privacy</w:t>
            </w:r>
          </w:p>
        </w:tc>
        <w:tc>
          <w:tcPr>
            <w:tcW w:w="6895" w:type="dxa"/>
          </w:tcPr>
          <w:p w14:paraId="79F17F22" w14:textId="1E082F09" w:rsidR="00475876" w:rsidRPr="00AC41E0" w:rsidRDefault="00475876">
            <w:pPr>
              <w:pStyle w:val="DCSbodytext"/>
              <w:numPr>
                <w:ilvl w:val="0"/>
                <w:numId w:val="41"/>
              </w:numPr>
              <w:spacing w:after="120"/>
              <w:cnfStyle w:val="000000000000" w:firstRow="0" w:lastRow="0" w:firstColumn="0" w:lastColumn="0" w:oddVBand="0" w:evenVBand="0" w:oddHBand="0" w:evenHBand="0" w:firstRowFirstColumn="0" w:firstRowLastColumn="0" w:lastRowFirstColumn="0" w:lastRowLastColumn="0"/>
              <w:rPr>
                <w:szCs w:val="22"/>
              </w:rPr>
            </w:pPr>
            <w:r w:rsidRPr="00AC41E0">
              <w:rPr>
                <w:rFonts w:eastAsia="Calibri"/>
              </w:rPr>
              <w:t>Any relevant privacy provisions</w:t>
            </w:r>
            <w:r w:rsidR="00CE0C83" w:rsidRPr="00AC41E0">
              <w:rPr>
                <w:rFonts w:eastAsia="Calibri"/>
              </w:rPr>
              <w:t>. F</w:t>
            </w:r>
            <w:r w:rsidRPr="00AC41E0">
              <w:rPr>
                <w:rFonts w:eastAsia="Calibri"/>
              </w:rPr>
              <w:t xml:space="preserve">or example, the </w:t>
            </w:r>
            <w:r w:rsidR="007C1C17" w:rsidRPr="00AC41E0">
              <w:t>IoT service provider</w:t>
            </w:r>
            <w:r w:rsidR="007C1C17" w:rsidRPr="00AC41E0">
              <w:rPr>
                <w:rFonts w:eastAsia="Calibri"/>
              </w:rPr>
              <w:t xml:space="preserve"> </w:t>
            </w:r>
            <w:r w:rsidRPr="00AC41E0">
              <w:rPr>
                <w:rFonts w:eastAsia="Calibri"/>
              </w:rPr>
              <w:t xml:space="preserve">may be required to have and maintain a privacy policy, data security policy and/or audit requirements to ensure </w:t>
            </w:r>
            <w:r w:rsidR="006B2FAF" w:rsidRPr="00AC41E0">
              <w:rPr>
                <w:rFonts w:eastAsia="Calibri"/>
              </w:rPr>
              <w:t xml:space="preserve">the service provider’s </w:t>
            </w:r>
            <w:r w:rsidRPr="00AC41E0">
              <w:rPr>
                <w:rFonts w:eastAsia="Calibri"/>
              </w:rPr>
              <w:t xml:space="preserve">compliance in relation to the principal’s data held by the </w:t>
            </w:r>
            <w:r w:rsidR="007C1C17" w:rsidRPr="00AC41E0">
              <w:t>service provider</w:t>
            </w:r>
            <w:r w:rsidRPr="00AC41E0">
              <w:rPr>
                <w:rFonts w:eastAsia="Calibri"/>
              </w:rPr>
              <w:t xml:space="preserve">. </w:t>
            </w:r>
          </w:p>
        </w:tc>
      </w:tr>
      <w:tr w:rsidR="00475876" w:rsidRPr="00AC41E0" w14:paraId="0986FC92" w14:textId="77777777" w:rsidTr="0022369F">
        <w:trPr>
          <w:gridAfter w:val="1"/>
          <w:cnfStyle w:val="000000100000" w:firstRow="0" w:lastRow="0" w:firstColumn="0" w:lastColumn="0" w:oddVBand="0" w:evenVBand="0" w:oddHBand="1" w:evenHBand="0" w:firstRowFirstColumn="0" w:firstRowLastColumn="0" w:lastRowFirstColumn="0" w:lastRowLastColumn="0"/>
          <w:wAfter w:w="44" w:type="dxa"/>
        </w:trPr>
        <w:tc>
          <w:tcPr>
            <w:cnfStyle w:val="001000000000" w:firstRow="0" w:lastRow="0" w:firstColumn="1" w:lastColumn="0" w:oddVBand="0" w:evenVBand="0" w:oddHBand="0" w:evenHBand="0" w:firstRowFirstColumn="0" w:firstRowLastColumn="0" w:lastRowFirstColumn="0" w:lastRowLastColumn="0"/>
            <w:tcW w:w="1895" w:type="dxa"/>
          </w:tcPr>
          <w:p w14:paraId="690F3AA4" w14:textId="77777777" w:rsidR="00475876" w:rsidRPr="00AC41E0" w:rsidRDefault="00475876" w:rsidP="00C346B6">
            <w:pPr>
              <w:pStyle w:val="DCSbodytext"/>
              <w:spacing w:after="120"/>
              <w:ind w:left="0"/>
              <w:rPr>
                <w:szCs w:val="22"/>
              </w:rPr>
            </w:pPr>
            <w:r w:rsidRPr="00AC41E0">
              <w:rPr>
                <w:rFonts w:eastAsia="Calibri"/>
              </w:rPr>
              <w:t>Intellectual property</w:t>
            </w:r>
          </w:p>
        </w:tc>
        <w:tc>
          <w:tcPr>
            <w:tcW w:w="6895" w:type="dxa"/>
          </w:tcPr>
          <w:p w14:paraId="08499287" w14:textId="718C1821" w:rsidR="00475876" w:rsidRPr="00AC41E0" w:rsidRDefault="00475876" w:rsidP="0003467D">
            <w:pPr>
              <w:pStyle w:val="DCSbodytext"/>
              <w:numPr>
                <w:ilvl w:val="0"/>
                <w:numId w:val="41"/>
              </w:numPr>
              <w:spacing w:after="120"/>
              <w:cnfStyle w:val="000000100000" w:firstRow="0" w:lastRow="0" w:firstColumn="0" w:lastColumn="0" w:oddVBand="0" w:evenVBand="0" w:oddHBand="1" w:evenHBand="0" w:firstRowFirstColumn="0" w:firstRowLastColumn="0" w:lastRowFirstColumn="0" w:lastRowLastColumn="0"/>
              <w:rPr>
                <w:szCs w:val="22"/>
              </w:rPr>
            </w:pPr>
            <w:r w:rsidRPr="00AC41E0">
              <w:rPr>
                <w:rFonts w:eastAsia="Calibri"/>
              </w:rPr>
              <w:t xml:space="preserve">Specify who owns the intellectual property. The NSW Government default position is that the </w:t>
            </w:r>
            <w:r w:rsidR="007C1C17" w:rsidRPr="00AC41E0">
              <w:t>service provider</w:t>
            </w:r>
            <w:r w:rsidR="007C1C17" w:rsidRPr="00AC41E0">
              <w:rPr>
                <w:rFonts w:eastAsia="Calibri"/>
              </w:rPr>
              <w:t xml:space="preserve"> </w:t>
            </w:r>
            <w:r w:rsidRPr="00AC41E0">
              <w:rPr>
                <w:rFonts w:eastAsia="Calibri"/>
              </w:rPr>
              <w:t xml:space="preserve">owns the intellectual property and must grant a perpetual, transferable, </w:t>
            </w:r>
            <w:r w:rsidR="00016C34" w:rsidRPr="00AC41E0">
              <w:rPr>
                <w:rFonts w:eastAsia="Calibri"/>
              </w:rPr>
              <w:t>royalty-</w:t>
            </w:r>
            <w:r w:rsidRPr="00AC41E0">
              <w:rPr>
                <w:rFonts w:eastAsia="Calibri"/>
              </w:rPr>
              <w:t xml:space="preserve">free licence for the </w:t>
            </w:r>
            <w:r w:rsidR="00A12976" w:rsidRPr="00AC41E0">
              <w:rPr>
                <w:rFonts w:eastAsia="Calibri"/>
              </w:rPr>
              <w:t xml:space="preserve">NSW Government agency </w:t>
            </w:r>
            <w:r w:rsidRPr="00AC41E0">
              <w:rPr>
                <w:rFonts w:eastAsia="Calibri"/>
              </w:rPr>
              <w:t xml:space="preserve">to use it. </w:t>
            </w:r>
          </w:p>
        </w:tc>
      </w:tr>
      <w:tr w:rsidR="00475876" w:rsidRPr="00AC41E0" w14:paraId="3BAFE926" w14:textId="77777777" w:rsidTr="0022369F">
        <w:trPr>
          <w:gridAfter w:val="1"/>
          <w:wAfter w:w="44" w:type="dxa"/>
        </w:trPr>
        <w:tc>
          <w:tcPr>
            <w:cnfStyle w:val="001000000000" w:firstRow="0" w:lastRow="0" w:firstColumn="1" w:lastColumn="0" w:oddVBand="0" w:evenVBand="0" w:oddHBand="0" w:evenHBand="0" w:firstRowFirstColumn="0" w:firstRowLastColumn="0" w:lastRowFirstColumn="0" w:lastRowLastColumn="0"/>
            <w:tcW w:w="1895" w:type="dxa"/>
          </w:tcPr>
          <w:p w14:paraId="1A941102" w14:textId="77777777" w:rsidR="00475876" w:rsidRPr="00AC41E0" w:rsidRDefault="00475876" w:rsidP="00C346B6">
            <w:pPr>
              <w:pStyle w:val="DCSbodytext"/>
              <w:spacing w:after="120"/>
              <w:ind w:left="0"/>
              <w:rPr>
                <w:szCs w:val="22"/>
              </w:rPr>
            </w:pPr>
            <w:r w:rsidRPr="00AC41E0">
              <w:rPr>
                <w:rStyle w:val="normaltextrun"/>
                <w:rFonts w:eastAsiaTheme="majorEastAsia"/>
              </w:rPr>
              <w:t>Transfer/right of use by other agencies</w:t>
            </w:r>
            <w:r w:rsidRPr="00AC41E0">
              <w:rPr>
                <w:rStyle w:val="eop"/>
                <w:rFonts w:eastAsiaTheme="majorEastAsia"/>
              </w:rPr>
              <w:t> </w:t>
            </w:r>
          </w:p>
        </w:tc>
        <w:tc>
          <w:tcPr>
            <w:tcW w:w="6895" w:type="dxa"/>
          </w:tcPr>
          <w:p w14:paraId="3D5D3465" w14:textId="6A36B4D3" w:rsidR="00475876" w:rsidRPr="00AC41E0" w:rsidRDefault="00475876" w:rsidP="0003467D">
            <w:pPr>
              <w:pStyle w:val="DCSbodytext"/>
              <w:numPr>
                <w:ilvl w:val="0"/>
                <w:numId w:val="41"/>
              </w:numPr>
              <w:spacing w:after="120"/>
              <w:cnfStyle w:val="000000000000" w:firstRow="0" w:lastRow="0" w:firstColumn="0" w:lastColumn="0" w:oddVBand="0" w:evenVBand="0" w:oddHBand="0" w:evenHBand="0" w:firstRowFirstColumn="0" w:firstRowLastColumn="0" w:lastRowFirstColumn="0" w:lastRowLastColumn="0"/>
              <w:rPr>
                <w:szCs w:val="20"/>
              </w:rPr>
            </w:pPr>
            <w:r w:rsidRPr="00AC41E0">
              <w:rPr>
                <w:rFonts w:eastAsia="Calibri"/>
              </w:rPr>
              <w:t xml:space="preserve">The contract should consider the need to transfer contracts, products or licences to other </w:t>
            </w:r>
            <w:r w:rsidR="00C33880" w:rsidRPr="00AC41E0">
              <w:rPr>
                <w:rFonts w:eastAsia="Calibri"/>
              </w:rPr>
              <w:t>organisations</w:t>
            </w:r>
            <w:r w:rsidRPr="00AC41E0">
              <w:rPr>
                <w:rFonts w:eastAsia="Calibri"/>
              </w:rPr>
              <w:t xml:space="preserve"> in future (for example, due to </w:t>
            </w:r>
            <w:r w:rsidR="0023444D" w:rsidRPr="00AC41E0">
              <w:rPr>
                <w:rFonts w:eastAsia="Calibri"/>
              </w:rPr>
              <w:t>M</w:t>
            </w:r>
            <w:r w:rsidRPr="00AC41E0">
              <w:rPr>
                <w:rFonts w:eastAsia="Calibri"/>
              </w:rPr>
              <w:t xml:space="preserve">achinery of </w:t>
            </w:r>
            <w:r w:rsidR="0023444D" w:rsidRPr="00AC41E0">
              <w:rPr>
                <w:rFonts w:eastAsia="Calibri"/>
              </w:rPr>
              <w:t>G</w:t>
            </w:r>
            <w:r w:rsidRPr="00AC41E0">
              <w:rPr>
                <w:rFonts w:eastAsia="Calibri"/>
              </w:rPr>
              <w:t xml:space="preserve">overnment changes). </w:t>
            </w:r>
          </w:p>
        </w:tc>
      </w:tr>
      <w:tr w:rsidR="00475876" w:rsidRPr="00AC41E0" w14:paraId="7272C126" w14:textId="77777777" w:rsidTr="0022369F">
        <w:trPr>
          <w:gridAfter w:val="1"/>
          <w:cnfStyle w:val="000000100000" w:firstRow="0" w:lastRow="0" w:firstColumn="0" w:lastColumn="0" w:oddVBand="0" w:evenVBand="0" w:oddHBand="1" w:evenHBand="0" w:firstRowFirstColumn="0" w:firstRowLastColumn="0" w:lastRowFirstColumn="0" w:lastRowLastColumn="0"/>
          <w:wAfter w:w="44" w:type="dxa"/>
        </w:trPr>
        <w:tc>
          <w:tcPr>
            <w:cnfStyle w:val="001000000000" w:firstRow="0" w:lastRow="0" w:firstColumn="1" w:lastColumn="0" w:oddVBand="0" w:evenVBand="0" w:oddHBand="0" w:evenHBand="0" w:firstRowFirstColumn="0" w:firstRowLastColumn="0" w:lastRowFirstColumn="0" w:lastRowLastColumn="0"/>
            <w:tcW w:w="1895" w:type="dxa"/>
          </w:tcPr>
          <w:p w14:paraId="66902434" w14:textId="77777777" w:rsidR="00475876" w:rsidRPr="00AC41E0" w:rsidRDefault="00475876" w:rsidP="00C346B6">
            <w:pPr>
              <w:pStyle w:val="DCSbodytext"/>
              <w:spacing w:after="120"/>
              <w:ind w:left="0"/>
            </w:pPr>
            <w:r w:rsidRPr="00AC41E0">
              <w:t xml:space="preserve">Multi-agency access contracts “Piggybacking” clauses </w:t>
            </w:r>
          </w:p>
        </w:tc>
        <w:tc>
          <w:tcPr>
            <w:tcW w:w="6895" w:type="dxa"/>
          </w:tcPr>
          <w:p w14:paraId="42C9D115" w14:textId="01BA1CC3" w:rsidR="00475876" w:rsidRPr="00AC41E0" w:rsidRDefault="00475876" w:rsidP="0003467D">
            <w:pPr>
              <w:pStyle w:val="DCSbodytext"/>
              <w:numPr>
                <w:ilvl w:val="0"/>
                <w:numId w:val="41"/>
              </w:numPr>
              <w:spacing w:after="120"/>
              <w:cnfStyle w:val="000000100000" w:firstRow="0" w:lastRow="0" w:firstColumn="0" w:lastColumn="0" w:oddVBand="0" w:evenVBand="0" w:oddHBand="1" w:evenHBand="0" w:firstRowFirstColumn="0" w:firstRowLastColumn="0" w:lastRowFirstColumn="0" w:lastRowLastColumn="0"/>
            </w:pPr>
            <w:r w:rsidRPr="00AC41E0">
              <w:t xml:space="preserve">Piggybacking is where one </w:t>
            </w:r>
            <w:r w:rsidR="000031C6" w:rsidRPr="00AC41E0">
              <w:t xml:space="preserve">organisation </w:t>
            </w:r>
            <w:r w:rsidRPr="00AC41E0">
              <w:t xml:space="preserve">has established an arrangement and has made the arrangement available to other </w:t>
            </w:r>
            <w:r w:rsidR="000031C6" w:rsidRPr="00AC41E0">
              <w:t>organisations</w:t>
            </w:r>
            <w:r w:rsidRPr="00AC41E0">
              <w:t xml:space="preserve">. Piggybacking requires </w:t>
            </w:r>
            <w:r w:rsidR="000031C6" w:rsidRPr="00AC41E0">
              <w:t xml:space="preserve">organisation </w:t>
            </w:r>
            <w:r w:rsidRPr="00AC41E0">
              <w:t>to accept the terms and conditions of the existing contract.</w:t>
            </w:r>
          </w:p>
          <w:p w14:paraId="5366E593" w14:textId="12CFA4FC" w:rsidR="00475876" w:rsidRPr="00AC41E0" w:rsidRDefault="00475876">
            <w:pPr>
              <w:pStyle w:val="DCSbodytext"/>
              <w:numPr>
                <w:ilvl w:val="0"/>
                <w:numId w:val="41"/>
              </w:numPr>
              <w:spacing w:after="120"/>
              <w:cnfStyle w:val="000000100000" w:firstRow="0" w:lastRow="0" w:firstColumn="0" w:lastColumn="0" w:oddVBand="0" w:evenVBand="0" w:oddHBand="1" w:evenHBand="0" w:firstRowFirstColumn="0" w:firstRowLastColumn="0" w:lastRowFirstColumn="0" w:lastRowLastColumn="0"/>
            </w:pPr>
            <w:r w:rsidRPr="00AC41E0">
              <w:t xml:space="preserve">You need to consider if it is appropriate to permit other </w:t>
            </w:r>
            <w:r w:rsidR="000031C6" w:rsidRPr="00AC41E0">
              <w:t xml:space="preserve">organisations </w:t>
            </w:r>
            <w:r w:rsidRPr="00AC41E0">
              <w:t xml:space="preserve">to use the contract. Guidelines on </w:t>
            </w:r>
            <w:r w:rsidR="00016C34" w:rsidRPr="00AC41E0">
              <w:t xml:space="preserve">the </w:t>
            </w:r>
            <w:r w:rsidRPr="00AC41E0">
              <w:t xml:space="preserve">inclusion of piggyback clauses and sample clauses to be incorporated into market documents can be found at </w:t>
            </w:r>
            <w:hyperlink r:id="rId257" w:history="1">
              <w:r w:rsidR="00DB3136" w:rsidRPr="00AC41E0">
                <w:rPr>
                  <w:rStyle w:val="Hyperlink"/>
                  <w:rFonts w:eastAsia="Times New Roman" w:cs="Times New Roman"/>
                </w:rPr>
                <w:t>h</w:t>
              </w:r>
              <w:r w:rsidR="00DB3136" w:rsidRPr="00AC41E0">
                <w:rPr>
                  <w:rStyle w:val="Hyperlink"/>
                </w:rPr>
                <w:t>ttps://buy.nsw.gov.au</w:t>
              </w:r>
            </w:hyperlink>
            <w:r w:rsidRPr="00E46FB0">
              <w:rPr>
                <w:rFonts w:eastAsia="Times New Roman" w:cs="Times New Roman"/>
              </w:rPr>
              <w:t>.</w:t>
            </w:r>
          </w:p>
          <w:p w14:paraId="2D82152A" w14:textId="3779725B" w:rsidR="00475876" w:rsidRPr="00AC41E0" w:rsidRDefault="00475876" w:rsidP="0003467D">
            <w:pPr>
              <w:pStyle w:val="DCSbodytext"/>
              <w:numPr>
                <w:ilvl w:val="0"/>
                <w:numId w:val="41"/>
              </w:numPr>
              <w:spacing w:after="120"/>
              <w:cnfStyle w:val="000000100000" w:firstRow="0" w:lastRow="0" w:firstColumn="0" w:lastColumn="0" w:oddVBand="0" w:evenVBand="0" w:oddHBand="1" w:evenHBand="0" w:firstRowFirstColumn="0" w:firstRowLastColumn="0" w:lastRowFirstColumn="0" w:lastRowLastColumn="0"/>
            </w:pPr>
            <w:r w:rsidRPr="00AC41E0">
              <w:t xml:space="preserve">At a minimum ensure the contract does not include a confidentiality requirement that prevents the contract being provided to other </w:t>
            </w:r>
            <w:r w:rsidR="000031C6" w:rsidRPr="00AC41E0">
              <w:t>organisation</w:t>
            </w:r>
            <w:r w:rsidR="002971B0" w:rsidRPr="00AC41E0">
              <w:t>s</w:t>
            </w:r>
            <w:r w:rsidRPr="00AC41E0">
              <w:t xml:space="preserve">. </w:t>
            </w:r>
          </w:p>
        </w:tc>
      </w:tr>
      <w:tr w:rsidR="00475876" w:rsidRPr="00AC41E0" w14:paraId="35A0267E" w14:textId="77777777" w:rsidTr="0022369F">
        <w:trPr>
          <w:gridAfter w:val="1"/>
          <w:wAfter w:w="44" w:type="dxa"/>
        </w:trPr>
        <w:tc>
          <w:tcPr>
            <w:cnfStyle w:val="001000000000" w:firstRow="0" w:lastRow="0" w:firstColumn="1" w:lastColumn="0" w:oddVBand="0" w:evenVBand="0" w:oddHBand="0" w:evenHBand="0" w:firstRowFirstColumn="0" w:firstRowLastColumn="0" w:lastRowFirstColumn="0" w:lastRowLastColumn="0"/>
            <w:tcW w:w="1895" w:type="dxa"/>
          </w:tcPr>
          <w:p w14:paraId="2FE491C1" w14:textId="77777777" w:rsidR="00475876" w:rsidRPr="00AC41E0" w:rsidRDefault="00475876" w:rsidP="00C346B6">
            <w:pPr>
              <w:pStyle w:val="DCSbodytext"/>
              <w:spacing w:after="120"/>
              <w:ind w:left="0"/>
            </w:pPr>
            <w:r w:rsidRPr="00AC41E0">
              <w:t>Supply chain integrity</w:t>
            </w:r>
          </w:p>
        </w:tc>
        <w:tc>
          <w:tcPr>
            <w:tcW w:w="6895" w:type="dxa"/>
          </w:tcPr>
          <w:p w14:paraId="6EB87652" w14:textId="3B013361" w:rsidR="00475876" w:rsidRPr="00AC41E0" w:rsidRDefault="00475876" w:rsidP="00D978A4">
            <w:pPr>
              <w:pStyle w:val="DCSbodytext"/>
              <w:numPr>
                <w:ilvl w:val="0"/>
                <w:numId w:val="61"/>
              </w:numPr>
              <w:spacing w:after="120"/>
              <w:cnfStyle w:val="000000000000" w:firstRow="0" w:lastRow="0" w:firstColumn="0" w:lastColumn="0" w:oddVBand="0" w:evenVBand="0" w:oddHBand="0" w:evenHBand="0" w:firstRowFirstColumn="0" w:firstRowLastColumn="0" w:lastRowFirstColumn="0" w:lastRowLastColumn="0"/>
            </w:pPr>
            <w:r w:rsidRPr="00AC41E0">
              <w:t>A</w:t>
            </w:r>
            <w:r w:rsidR="00403654" w:rsidRPr="00AC41E0">
              <w:t>n</w:t>
            </w:r>
            <w:r w:rsidRPr="00AC41E0">
              <w:t xml:space="preserve"> </w:t>
            </w:r>
            <w:r w:rsidR="00403654" w:rsidRPr="00AC41E0">
              <w:t xml:space="preserve">IoT service provider </w:t>
            </w:r>
            <w:r w:rsidRPr="00AC41E0">
              <w:t xml:space="preserve">must maintain the integrity and security of its supply chain. This includes contractual undertakings for the </w:t>
            </w:r>
            <w:r w:rsidR="00403654" w:rsidRPr="00AC41E0">
              <w:t xml:space="preserve">IoT service provider </w:t>
            </w:r>
            <w:r w:rsidRPr="00AC41E0">
              <w:t>to provide the client with information about its local and global supply chain as it relates to, or impacts on</w:t>
            </w:r>
            <w:r w:rsidR="004E3521" w:rsidRPr="00AC41E0">
              <w:t>,</w:t>
            </w:r>
            <w:r w:rsidRPr="00AC41E0">
              <w:t xml:space="preserve"> the hardware and software provided as part of an IoT network. For more information on supply chain risk, see the </w:t>
            </w:r>
            <w:hyperlink w:anchor="_Addressing_Supply_Chain" w:history="1">
              <w:r w:rsidRPr="00AC41E0">
                <w:rPr>
                  <w:rStyle w:val="Hyperlink"/>
                </w:rPr>
                <w:t xml:space="preserve">Cyber </w:t>
              </w:r>
              <w:r w:rsidR="00DB5728" w:rsidRPr="00AC41E0">
                <w:rPr>
                  <w:rStyle w:val="Hyperlink"/>
                </w:rPr>
                <w:t>s</w:t>
              </w:r>
              <w:r w:rsidRPr="00AC41E0">
                <w:rPr>
                  <w:rStyle w:val="Hyperlink"/>
                </w:rPr>
                <w:t>ecurity chapter</w:t>
              </w:r>
            </w:hyperlink>
            <w:r w:rsidRPr="00E46FB0">
              <w:rPr>
                <w:rFonts w:eastAsia="Times New Roman" w:cs="Times New Roman"/>
              </w:rPr>
              <w:t>.</w:t>
            </w:r>
          </w:p>
        </w:tc>
      </w:tr>
      <w:tr w:rsidR="00475876" w:rsidRPr="00AC41E0" w14:paraId="0C369966" w14:textId="77777777" w:rsidTr="0022369F">
        <w:trPr>
          <w:gridAfter w:val="1"/>
          <w:cnfStyle w:val="000000100000" w:firstRow="0" w:lastRow="0" w:firstColumn="0" w:lastColumn="0" w:oddVBand="0" w:evenVBand="0" w:oddHBand="1" w:evenHBand="0" w:firstRowFirstColumn="0" w:firstRowLastColumn="0" w:lastRowFirstColumn="0" w:lastRowLastColumn="0"/>
          <w:wAfter w:w="44" w:type="dxa"/>
        </w:trPr>
        <w:tc>
          <w:tcPr>
            <w:cnfStyle w:val="001000000000" w:firstRow="0" w:lastRow="0" w:firstColumn="1" w:lastColumn="0" w:oddVBand="0" w:evenVBand="0" w:oddHBand="0" w:evenHBand="0" w:firstRowFirstColumn="0" w:firstRowLastColumn="0" w:lastRowFirstColumn="0" w:lastRowLastColumn="0"/>
            <w:tcW w:w="1895" w:type="dxa"/>
          </w:tcPr>
          <w:p w14:paraId="5BF18F9B" w14:textId="38DD16FC" w:rsidR="00475876" w:rsidRPr="00AC41E0" w:rsidRDefault="00403654" w:rsidP="00C346B6">
            <w:pPr>
              <w:pStyle w:val="DCSbodytext"/>
              <w:spacing w:after="120"/>
              <w:ind w:left="0"/>
            </w:pPr>
            <w:r w:rsidRPr="00AC41E0">
              <w:t xml:space="preserve">IoT service provider </w:t>
            </w:r>
            <w:r w:rsidR="00475876" w:rsidRPr="00AC41E0">
              <w:t>conduct</w:t>
            </w:r>
          </w:p>
        </w:tc>
        <w:tc>
          <w:tcPr>
            <w:tcW w:w="6895" w:type="dxa"/>
          </w:tcPr>
          <w:p w14:paraId="5D1F135C" w14:textId="7BE62548" w:rsidR="00475876" w:rsidRPr="00AC41E0" w:rsidRDefault="00403654" w:rsidP="00D978A4">
            <w:pPr>
              <w:pStyle w:val="DCSbodytext"/>
              <w:numPr>
                <w:ilvl w:val="0"/>
                <w:numId w:val="61"/>
              </w:numPr>
              <w:spacing w:after="120"/>
              <w:cnfStyle w:val="000000100000" w:firstRow="0" w:lastRow="0" w:firstColumn="0" w:lastColumn="0" w:oddVBand="0" w:evenVBand="0" w:oddHBand="1" w:evenHBand="0" w:firstRowFirstColumn="0" w:firstRowLastColumn="0" w:lastRowFirstColumn="0" w:lastRowLastColumn="0"/>
            </w:pPr>
            <w:r w:rsidRPr="00AC41E0">
              <w:t>IoT service providers</w:t>
            </w:r>
            <w:r w:rsidRPr="00AC41E0">
              <w:rPr>
                <w:rStyle w:val="DCSbodytextChar"/>
                <w:rFonts w:eastAsia="Calibri"/>
              </w:rPr>
              <w:t xml:space="preserve"> </w:t>
            </w:r>
            <w:r w:rsidR="00475876" w:rsidRPr="00AC41E0">
              <w:rPr>
                <w:rStyle w:val="DCSbodytextChar"/>
                <w:rFonts w:eastAsia="Calibri"/>
              </w:rPr>
              <w:t xml:space="preserve">must meet minimum standards of conduct in ethical behaviour. If </w:t>
            </w:r>
            <w:r w:rsidRPr="00AC41E0">
              <w:rPr>
                <w:rStyle w:val="DCSbodytextChar"/>
                <w:rFonts w:eastAsia="Calibri"/>
              </w:rPr>
              <w:t>they</w:t>
            </w:r>
            <w:r w:rsidR="00475876" w:rsidRPr="00AC41E0">
              <w:rPr>
                <w:rStyle w:val="DCSbodytextChar"/>
                <w:rFonts w:eastAsia="Calibri"/>
              </w:rPr>
              <w:t xml:space="preserve"> breach the expected level of behaviour (corruption, fraud, breach of govt policy, etc</w:t>
            </w:r>
            <w:r w:rsidR="00472C8F" w:rsidRPr="00AC41E0">
              <w:rPr>
                <w:rStyle w:val="DCSbodytextChar"/>
                <w:rFonts w:eastAsia="Calibri"/>
              </w:rPr>
              <w:t>.</w:t>
            </w:r>
            <w:r w:rsidR="00475876" w:rsidRPr="00AC41E0">
              <w:rPr>
                <w:rStyle w:val="DCSbodytextChar"/>
                <w:rFonts w:eastAsia="Calibri"/>
              </w:rPr>
              <w:t>)</w:t>
            </w:r>
            <w:r w:rsidRPr="00AC41E0">
              <w:rPr>
                <w:rStyle w:val="DCSbodytextChar"/>
                <w:rFonts w:eastAsia="Calibri"/>
              </w:rPr>
              <w:t>,</w:t>
            </w:r>
            <w:r w:rsidR="00475876" w:rsidRPr="00AC41E0">
              <w:rPr>
                <w:rStyle w:val="DCSbodytextChar"/>
                <w:rFonts w:eastAsia="Calibri"/>
              </w:rPr>
              <w:t xml:space="preserve"> you need to reserve </w:t>
            </w:r>
            <w:r w:rsidR="006C2A16" w:rsidRPr="00AC41E0">
              <w:rPr>
                <w:rStyle w:val="DCSbodytextChar"/>
                <w:rFonts w:eastAsia="Calibri"/>
              </w:rPr>
              <w:t xml:space="preserve">the </w:t>
            </w:r>
            <w:r w:rsidR="00475876" w:rsidRPr="00AC41E0">
              <w:rPr>
                <w:rStyle w:val="DCSbodytextChar"/>
                <w:rFonts w:eastAsia="Calibri"/>
              </w:rPr>
              <w:t>right to take action, up to and including termination of the contract</w:t>
            </w:r>
            <w:r w:rsidR="00475876" w:rsidRPr="00AC41E0">
              <w:rPr>
                <w:rFonts w:eastAsia="Calibri"/>
              </w:rPr>
              <w:t>.</w:t>
            </w:r>
          </w:p>
        </w:tc>
      </w:tr>
    </w:tbl>
    <w:p w14:paraId="269C5CEF" w14:textId="541E9E15" w:rsidR="000E686A" w:rsidRPr="00E46FB0" w:rsidRDefault="00D12715" w:rsidP="00D4137E">
      <w:pPr>
        <w:pStyle w:val="Heading1"/>
        <w:tabs>
          <w:tab w:val="clear" w:pos="794"/>
          <w:tab w:val="num" w:pos="868"/>
        </w:tabs>
        <w:ind w:left="868"/>
        <w:rPr>
          <w:rFonts w:ascii="Arial" w:hAnsi="Arial"/>
        </w:rPr>
      </w:pPr>
      <w:bookmarkStart w:id="1498" w:name="_Spatial_Services_requirements"/>
      <w:bookmarkStart w:id="1499" w:name="_Toc65760569"/>
      <w:bookmarkEnd w:id="1498"/>
      <w:r w:rsidRPr="00AC41E0">
        <w:rPr>
          <w:rFonts w:ascii="Arial" w:hAnsi="Arial"/>
        </w:rPr>
        <w:lastRenderedPageBreak/>
        <w:t>Set</w:t>
      </w:r>
      <w:r w:rsidR="0009729E" w:rsidRPr="00AC41E0">
        <w:rPr>
          <w:rFonts w:ascii="Arial" w:hAnsi="Arial"/>
        </w:rPr>
        <w:t xml:space="preserve"> </w:t>
      </w:r>
      <w:r w:rsidRPr="00AC41E0">
        <w:rPr>
          <w:rFonts w:ascii="Arial" w:hAnsi="Arial"/>
        </w:rPr>
        <w:t>up</w:t>
      </w:r>
      <w:r w:rsidR="00961456" w:rsidRPr="00E46FB0">
        <w:rPr>
          <w:rStyle w:val="FootnoteReference"/>
          <w:rFonts w:ascii="Arial" w:hAnsi="Arial"/>
          <w:noProof/>
        </w:rPr>
        <mc:AlternateContent>
          <mc:Choice Requires="wps">
            <w:drawing>
              <wp:inline distT="0" distB="0" distL="0" distR="0" wp14:anchorId="7A2A460A" wp14:editId="42CDE166">
                <wp:extent cx="5489575" cy="4789805"/>
                <wp:effectExtent l="0" t="0" r="0" b="0"/>
                <wp:docPr id="531754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4789805"/>
                        </a:xfrm>
                        <a:prstGeom prst="rect">
                          <a:avLst/>
                        </a:prstGeom>
                        <a:solidFill>
                          <a:schemeClr val="accent5">
                            <a:lumMod val="40000"/>
                            <a:lumOff val="60000"/>
                          </a:schemeClr>
                        </a:solidFill>
                        <a:ln w="9525">
                          <a:noFill/>
                          <a:miter lim="800000"/>
                          <a:headEnd/>
                          <a:tailEnd/>
                        </a:ln>
                      </wps:spPr>
                      <wps:txbx>
                        <w:txbxContent>
                          <w:p w14:paraId="2751CAC5" w14:textId="77777777" w:rsidR="004A5EF4" w:rsidRPr="00A57E29" w:rsidRDefault="004A5EF4" w:rsidP="00961456">
                            <w:pPr>
                              <w:pStyle w:val="DCSbodytext"/>
                              <w:ind w:left="0"/>
                              <w:jc w:val="center"/>
                              <w:rPr>
                                <w:rStyle w:val="Hyperlink"/>
                                <w:rFonts w:ascii="Times New Roman" w:hAnsi="Times New Roman"/>
                                <w:b/>
                                <w:color w:val="auto"/>
                                <w:sz w:val="24"/>
                                <w:u w:val="none"/>
                                <w:lang w:eastAsia="en-AU"/>
                              </w:rPr>
                            </w:pPr>
                            <w:r>
                              <w:rPr>
                                <w:b/>
                              </w:rPr>
                              <w:t>Best practice considerations at this stage in a project</w:t>
                            </w:r>
                          </w:p>
                          <w:p w14:paraId="07DCBE56" w14:textId="77777777" w:rsidR="004A5EF4" w:rsidRDefault="004A5EF4" w:rsidP="00961456">
                            <w:pPr>
                              <w:pStyle w:val="DCSbodytext"/>
                              <w:numPr>
                                <w:ilvl w:val="0"/>
                                <w:numId w:val="166"/>
                              </w:numPr>
                            </w:pPr>
                            <w:r>
                              <w:t>Is a comprehensive change management plan in place for pre-and post-go live periods, and have the affected business unit(s) been involved in this plan?</w:t>
                            </w:r>
                          </w:p>
                          <w:p w14:paraId="3A7EA9C2" w14:textId="77777777" w:rsidR="004A5EF4" w:rsidRDefault="004A5EF4" w:rsidP="00961456">
                            <w:pPr>
                              <w:pStyle w:val="DCSbodytext"/>
                              <w:numPr>
                                <w:ilvl w:val="0"/>
                                <w:numId w:val="166"/>
                              </w:numPr>
                            </w:pPr>
                            <w:r>
                              <w:t>What communications are planned for release or for live transition?</w:t>
                            </w:r>
                          </w:p>
                          <w:p w14:paraId="28433A04" w14:textId="77777777" w:rsidR="004A5EF4" w:rsidRDefault="004A5EF4" w:rsidP="00961456">
                            <w:pPr>
                              <w:pStyle w:val="DCSbodytext"/>
                              <w:numPr>
                                <w:ilvl w:val="0"/>
                                <w:numId w:val="166"/>
                              </w:numPr>
                            </w:pPr>
                            <w:r>
                              <w:t>Is training and support adequate? Is ongoing support provided to those affected by the change?</w:t>
                            </w:r>
                          </w:p>
                          <w:p w14:paraId="36156A52" w14:textId="77777777" w:rsidR="004A5EF4" w:rsidRDefault="004A5EF4" w:rsidP="00961456">
                            <w:pPr>
                              <w:pStyle w:val="DCSbodytext"/>
                              <w:numPr>
                                <w:ilvl w:val="0"/>
                                <w:numId w:val="166"/>
                              </w:numPr>
                            </w:pPr>
                            <w:r>
                              <w:t xml:space="preserve">Are there any legacy systems, and are the plans to transfer data, integrate with them and exit them adequate?  </w:t>
                            </w:r>
                          </w:p>
                          <w:p w14:paraId="6E9C8E79" w14:textId="77777777" w:rsidR="004A5EF4" w:rsidRDefault="004A5EF4" w:rsidP="00961456">
                            <w:pPr>
                              <w:pStyle w:val="DCSbodytext"/>
                              <w:numPr>
                                <w:ilvl w:val="0"/>
                                <w:numId w:val="166"/>
                              </w:numPr>
                            </w:pPr>
                            <w:r>
                              <w:t xml:space="preserve">Have you documented the key decision points and information needed for the ongoing operation of the solution?  </w:t>
                            </w:r>
                          </w:p>
                          <w:p w14:paraId="0712AB20" w14:textId="77777777" w:rsidR="004A5EF4" w:rsidRDefault="004A5EF4" w:rsidP="00961456">
                            <w:pPr>
                              <w:pStyle w:val="DCSbodytext"/>
                              <w:numPr>
                                <w:ilvl w:val="0"/>
                                <w:numId w:val="166"/>
                              </w:numPr>
                            </w:pPr>
                            <w:r>
                              <w:t xml:space="preserve">If applicable, is the operations or delivery team ready to take over and manage the operations and have you transferred asset information to them?  </w:t>
                            </w:r>
                          </w:p>
                          <w:p w14:paraId="723BA524" w14:textId="77777777" w:rsidR="004A5EF4" w:rsidRPr="006C7C3F" w:rsidRDefault="004A5EF4" w:rsidP="00961456">
                            <w:pPr>
                              <w:pStyle w:val="DCSbodytext"/>
                              <w:numPr>
                                <w:ilvl w:val="0"/>
                                <w:numId w:val="166"/>
                              </w:numPr>
                            </w:pPr>
                            <w:r>
                              <w:t>Has adequate time been allowed in schedules to fix faults and are there arrangements for proactive monitoring and management of any slippage?</w:t>
                            </w:r>
                          </w:p>
                          <w:p w14:paraId="753B50F5" w14:textId="77777777" w:rsidR="004A5EF4" w:rsidRPr="006C7C3F" w:rsidRDefault="004A5EF4" w:rsidP="00961456">
                            <w:pPr>
                              <w:pStyle w:val="DCSbodytext"/>
                              <w:numPr>
                                <w:ilvl w:val="0"/>
                                <w:numId w:val="166"/>
                              </w:numPr>
                            </w:pPr>
                            <w:r>
                              <w:t xml:space="preserve">Are there business contingency and continuity arrangements and plans that aim to minimise the impact on the business in the event of major problems during implementation and rollout?  </w:t>
                            </w:r>
                          </w:p>
                          <w:p w14:paraId="7F9DC302" w14:textId="77777777" w:rsidR="004A5EF4" w:rsidRPr="006C7C3F" w:rsidRDefault="004A5EF4" w:rsidP="00961456">
                            <w:pPr>
                              <w:pStyle w:val="DCSbodytext"/>
                              <w:ind w:left="0"/>
                            </w:pPr>
                          </w:p>
                        </w:txbxContent>
                      </wps:txbx>
                      <wps:bodyPr rot="0" vert="horz" wrap="square" lIns="91440" tIns="45720" rIns="91440" bIns="45720" anchor="t" anchorCtr="0">
                        <a:noAutofit/>
                      </wps:bodyPr>
                    </wps:wsp>
                  </a:graphicData>
                </a:graphic>
              </wp:inline>
            </w:drawing>
          </mc:Choice>
          <mc:Fallback>
            <w:pict>
              <v:shape w14:anchorId="7A2A460A" id="_x0000_s1040" type="#_x0000_t202" style="width:432.25pt;height:37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" fillcolor="#b6dde8 [1304]" stroked="f">
                <v:textbox>
                  <w:txbxContent>
                    <w:p w14:paraId="2751CAC5" w14:textId="77777777" w:rsidR="004A5EF4" w:rsidRPr="00A57E29" w:rsidRDefault="004A5EF4" w:rsidP="00961456">
                      <w:pPr>
                        <w:pStyle w:val="DCSbodytext"/>
                        <w:ind w:left="0"/>
                        <w:jc w:val="center"/>
                        <w:rPr>
                          <w:rStyle w:val="Hyperlink"/>
                          <w:rFonts w:ascii="Times New Roman" w:hAnsi="Times New Roman"/>
                          <w:b/>
                          <w:color w:val="auto"/>
                          <w:sz w:val="24"/>
                          <w:u w:val="none"/>
                          <w:lang w:eastAsia="en-AU"/>
                        </w:rPr>
                      </w:pPr>
                      <w:r>
                        <w:rPr>
                          <w:b/>
                        </w:rPr>
                        <w:t>Best practice considerations at this stage in a project</w:t>
                      </w:r>
                    </w:p>
                    <w:p w14:paraId="07DCBE56" w14:textId="77777777" w:rsidR="004A5EF4" w:rsidRDefault="004A5EF4" w:rsidP="00961456">
                      <w:pPr>
                        <w:pStyle w:val="DCSbodytext"/>
                        <w:numPr>
                          <w:ilvl w:val="0"/>
                          <w:numId w:val="166"/>
                        </w:numPr>
                      </w:pPr>
                      <w:r>
                        <w:t>Is a comprehensive change management plan in place for pre-and post-go live periods, and have the affected business unit(s) been involved in this plan?</w:t>
                      </w:r>
                    </w:p>
                    <w:p w14:paraId="3A7EA9C2" w14:textId="77777777" w:rsidR="004A5EF4" w:rsidRDefault="004A5EF4" w:rsidP="00961456">
                      <w:pPr>
                        <w:pStyle w:val="DCSbodytext"/>
                        <w:numPr>
                          <w:ilvl w:val="0"/>
                          <w:numId w:val="166"/>
                        </w:numPr>
                      </w:pPr>
                      <w:r>
                        <w:t>What communications are planned for release or for live transition?</w:t>
                      </w:r>
                    </w:p>
                    <w:p w14:paraId="28433A04" w14:textId="77777777" w:rsidR="004A5EF4" w:rsidRDefault="004A5EF4" w:rsidP="00961456">
                      <w:pPr>
                        <w:pStyle w:val="DCSbodytext"/>
                        <w:numPr>
                          <w:ilvl w:val="0"/>
                          <w:numId w:val="166"/>
                        </w:numPr>
                      </w:pPr>
                      <w:r>
                        <w:t>Is training and support adequate? Is ongoing support provided to those affected by the change?</w:t>
                      </w:r>
                    </w:p>
                    <w:p w14:paraId="36156A52" w14:textId="77777777" w:rsidR="004A5EF4" w:rsidRDefault="004A5EF4" w:rsidP="00961456">
                      <w:pPr>
                        <w:pStyle w:val="DCSbodytext"/>
                        <w:numPr>
                          <w:ilvl w:val="0"/>
                          <w:numId w:val="166"/>
                        </w:numPr>
                      </w:pPr>
                      <w:r>
                        <w:t xml:space="preserve">Are there any legacy systems, and are the plans to transfer data, integrate with them and exit them adequate?  </w:t>
                      </w:r>
                    </w:p>
                    <w:p w14:paraId="6E9C8E79" w14:textId="77777777" w:rsidR="004A5EF4" w:rsidRDefault="004A5EF4" w:rsidP="00961456">
                      <w:pPr>
                        <w:pStyle w:val="DCSbodytext"/>
                        <w:numPr>
                          <w:ilvl w:val="0"/>
                          <w:numId w:val="166"/>
                        </w:numPr>
                      </w:pPr>
                      <w:r>
                        <w:t xml:space="preserve">Have you documented the key decision points and information needed for the ongoing operation of the solution?  </w:t>
                      </w:r>
                    </w:p>
                    <w:p w14:paraId="0712AB20" w14:textId="77777777" w:rsidR="004A5EF4" w:rsidRDefault="004A5EF4" w:rsidP="00961456">
                      <w:pPr>
                        <w:pStyle w:val="DCSbodytext"/>
                        <w:numPr>
                          <w:ilvl w:val="0"/>
                          <w:numId w:val="166"/>
                        </w:numPr>
                      </w:pPr>
                      <w:r>
                        <w:t xml:space="preserve">If applicable, is the operations or delivery team ready to take over and manage the operations and have you transferred asset information to them?  </w:t>
                      </w:r>
                    </w:p>
                    <w:p w14:paraId="723BA524" w14:textId="77777777" w:rsidR="004A5EF4" w:rsidRPr="006C7C3F" w:rsidRDefault="004A5EF4" w:rsidP="00961456">
                      <w:pPr>
                        <w:pStyle w:val="DCSbodytext"/>
                        <w:numPr>
                          <w:ilvl w:val="0"/>
                          <w:numId w:val="166"/>
                        </w:numPr>
                      </w:pPr>
                      <w:r>
                        <w:t>Has adequate time been allowed in schedules to fix faults and are there arrangements for proactive monitoring and management of any slippage?</w:t>
                      </w:r>
                    </w:p>
                    <w:p w14:paraId="753B50F5" w14:textId="77777777" w:rsidR="004A5EF4" w:rsidRPr="006C7C3F" w:rsidRDefault="004A5EF4" w:rsidP="00961456">
                      <w:pPr>
                        <w:pStyle w:val="DCSbodytext"/>
                        <w:numPr>
                          <w:ilvl w:val="0"/>
                          <w:numId w:val="166"/>
                        </w:numPr>
                      </w:pPr>
                      <w:r>
                        <w:t xml:space="preserve">Are there business contingency and continuity arrangements and plans that aim to minimise the impact on the business in the event of major problems during implementation and rollout?  </w:t>
                      </w:r>
                    </w:p>
                    <w:p w14:paraId="7F9DC302" w14:textId="77777777" w:rsidR="004A5EF4" w:rsidRPr="006C7C3F" w:rsidRDefault="004A5EF4" w:rsidP="00961456">
                      <w:pPr>
                        <w:pStyle w:val="DCSbodytext"/>
                        <w:ind w:left="0"/>
                      </w:pPr>
                    </w:p>
                  </w:txbxContent>
                </v:textbox>
                <w10:anchorlock/>
              </v:shape>
            </w:pict>
          </mc:Fallback>
        </mc:AlternateContent>
      </w:r>
      <w:bookmarkEnd w:id="1499"/>
    </w:p>
    <w:p w14:paraId="423FA03C" w14:textId="58EE1064" w:rsidR="008C08C8" w:rsidRPr="00AC41E0" w:rsidRDefault="008C08C8" w:rsidP="0022369F">
      <w:pPr>
        <w:pStyle w:val="DCSbodytext"/>
        <w:rPr>
          <w:b/>
          <w:lang w:eastAsia="en-AU"/>
        </w:rPr>
      </w:pPr>
    </w:p>
    <w:p w14:paraId="04633B02" w14:textId="77777777" w:rsidR="001D3817" w:rsidRPr="00AC41E0" w:rsidRDefault="001D3817" w:rsidP="002F6D4E">
      <w:pPr>
        <w:pStyle w:val="Heading2"/>
        <w:tabs>
          <w:tab w:val="num" w:pos="868"/>
        </w:tabs>
        <w:ind w:left="868"/>
        <w:rPr>
          <w:rFonts w:ascii="Arial" w:hAnsi="Arial"/>
        </w:rPr>
        <w:sectPr w:rsidR="001D3817" w:rsidRPr="00AC41E0" w:rsidSect="002771AA">
          <w:pgSz w:w="11906" w:h="16838"/>
          <w:pgMar w:top="1418" w:right="1134" w:bottom="1134" w:left="1134" w:header="851" w:footer="425" w:gutter="0"/>
          <w:cols w:space="708"/>
          <w:titlePg/>
          <w:docGrid w:linePitch="360"/>
        </w:sectPr>
      </w:pPr>
      <w:bookmarkStart w:id="1500" w:name="_Toc14686337"/>
      <w:bookmarkStart w:id="1501" w:name="_Toc14690076"/>
      <w:bookmarkStart w:id="1502" w:name="_Toc14692041"/>
      <w:bookmarkStart w:id="1503" w:name="_Toc14694114"/>
      <w:bookmarkStart w:id="1504" w:name="_Toc14694261"/>
      <w:bookmarkStart w:id="1505" w:name="_Toc14695833"/>
      <w:bookmarkStart w:id="1506" w:name="_Toc14701050"/>
      <w:bookmarkStart w:id="1507" w:name="_Toc14703026"/>
      <w:bookmarkStart w:id="1508" w:name="_Toc14709901"/>
      <w:bookmarkStart w:id="1509" w:name="_Toc14768768"/>
      <w:bookmarkStart w:id="1510" w:name="_Toc14771224"/>
      <w:bookmarkStart w:id="1511" w:name="_Toc14771407"/>
      <w:bookmarkStart w:id="1512" w:name="_Toc14771791"/>
      <w:bookmarkStart w:id="1513" w:name="_Toc14772001"/>
      <w:bookmarkStart w:id="1514" w:name="_Toc14774586"/>
      <w:bookmarkStart w:id="1515" w:name="_Toc14775650"/>
      <w:bookmarkStart w:id="1516" w:name="_Toc14775813"/>
      <w:bookmarkStart w:id="1517" w:name="_Toc14776407"/>
      <w:bookmarkStart w:id="1518" w:name="_Toc14778008"/>
      <w:bookmarkStart w:id="1519" w:name="_Toc14778154"/>
      <w:bookmarkStart w:id="1520" w:name="_Toc15313213"/>
      <w:bookmarkStart w:id="1521" w:name="_Toc15313351"/>
      <w:bookmarkStart w:id="1522" w:name="_Toc15313816"/>
      <w:bookmarkStart w:id="1523" w:name="_Toc15313972"/>
      <w:bookmarkStart w:id="1524" w:name="_Toc15314128"/>
      <w:bookmarkStart w:id="1525" w:name="_Toc15314282"/>
      <w:bookmarkStart w:id="1526" w:name="_Toc15314911"/>
      <w:bookmarkStart w:id="1527" w:name="_Toc14797742"/>
      <w:bookmarkStart w:id="1528" w:name="_Toc14799280"/>
      <w:bookmarkStart w:id="1529" w:name="_Toc14799398"/>
      <w:bookmarkStart w:id="1530" w:name="_Toc14799542"/>
      <w:bookmarkStart w:id="1531" w:name="_Toc14799660"/>
      <w:bookmarkStart w:id="1532" w:name="_Toc14799776"/>
      <w:bookmarkStart w:id="1533" w:name="_Toc14797743"/>
      <w:bookmarkStart w:id="1534" w:name="_Toc14799281"/>
      <w:bookmarkStart w:id="1535" w:name="_Toc14799399"/>
      <w:bookmarkStart w:id="1536" w:name="_Toc14799543"/>
      <w:bookmarkStart w:id="1537" w:name="_Toc14799661"/>
      <w:bookmarkStart w:id="1538" w:name="_Toc14799777"/>
      <w:bookmarkStart w:id="1539" w:name="_Toc15313214"/>
      <w:bookmarkStart w:id="1540" w:name="_Toc15313352"/>
      <w:bookmarkStart w:id="1541" w:name="_Toc15313817"/>
      <w:bookmarkStart w:id="1542" w:name="_Toc15313973"/>
      <w:bookmarkStart w:id="1543" w:name="_Toc15314129"/>
      <w:bookmarkStart w:id="1544" w:name="_Toc15314283"/>
      <w:bookmarkStart w:id="1545" w:name="_Toc15314912"/>
      <w:bookmarkStart w:id="1546" w:name="_Toc15313215"/>
      <w:bookmarkStart w:id="1547" w:name="_Toc15313353"/>
      <w:bookmarkStart w:id="1548" w:name="_Toc15313818"/>
      <w:bookmarkStart w:id="1549" w:name="_Toc15313974"/>
      <w:bookmarkStart w:id="1550" w:name="_Toc15314130"/>
      <w:bookmarkStart w:id="1551" w:name="_Toc15314284"/>
      <w:bookmarkStart w:id="1552" w:name="_Toc15314913"/>
      <w:bookmarkStart w:id="1553" w:name="_Toc15313216"/>
      <w:bookmarkStart w:id="1554" w:name="_Toc15313354"/>
      <w:bookmarkStart w:id="1555" w:name="_Toc15313819"/>
      <w:bookmarkStart w:id="1556" w:name="_Toc15313975"/>
      <w:bookmarkStart w:id="1557" w:name="_Toc15314131"/>
      <w:bookmarkStart w:id="1558" w:name="_Toc15314285"/>
      <w:bookmarkStart w:id="1559" w:name="_Toc15314914"/>
      <w:bookmarkStart w:id="1560" w:name="_Toc15313217"/>
      <w:bookmarkStart w:id="1561" w:name="_Toc15313355"/>
      <w:bookmarkStart w:id="1562" w:name="_Toc15313820"/>
      <w:bookmarkStart w:id="1563" w:name="_Toc15313976"/>
      <w:bookmarkStart w:id="1564" w:name="_Toc15314132"/>
      <w:bookmarkStart w:id="1565" w:name="_Toc15314286"/>
      <w:bookmarkStart w:id="1566" w:name="_Toc15314915"/>
      <w:bookmarkStart w:id="1567" w:name="_Spatial_data_requirements"/>
      <w:bookmarkStart w:id="1568" w:name="_Spatial_data_requirements_1"/>
      <w:bookmarkStart w:id="1569" w:name="_Change_management"/>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3F661C42" w14:textId="23335C28" w:rsidR="002F6D4E" w:rsidRPr="00AC41E0" w:rsidRDefault="002F6D4E" w:rsidP="002F6D4E">
      <w:pPr>
        <w:pStyle w:val="Heading2"/>
        <w:tabs>
          <w:tab w:val="num" w:pos="868"/>
        </w:tabs>
        <w:ind w:left="868"/>
        <w:rPr>
          <w:rFonts w:ascii="Arial" w:hAnsi="Arial"/>
        </w:rPr>
      </w:pPr>
      <w:bookmarkStart w:id="1570" w:name="_Toc65760570"/>
      <w:r w:rsidRPr="00E46FB0">
        <w:rPr>
          <w:rFonts w:ascii="Arial" w:hAnsi="Arial"/>
        </w:rPr>
        <w:lastRenderedPageBreak/>
        <w:t>Change management</w:t>
      </w:r>
      <w:bookmarkEnd w:id="1570"/>
    </w:p>
    <w:p w14:paraId="0BAE8390" w14:textId="6CC3E12D" w:rsidR="00D45F88" w:rsidRPr="00AC41E0" w:rsidRDefault="00D45F88" w:rsidP="00D45F88">
      <w:pPr>
        <w:pStyle w:val="DCSbodytext"/>
      </w:pPr>
      <w:r w:rsidRPr="00AC41E0">
        <w:t xml:space="preserve">This </w:t>
      </w:r>
      <w:r w:rsidR="00AE7FA3" w:rsidRPr="00AC41E0">
        <w:t xml:space="preserve">chapter </w:t>
      </w:r>
      <w:r w:rsidRPr="00AC41E0">
        <w:t xml:space="preserve">provides guidance on internal change management, to assist with managing change brought about by new IoT solutions </w:t>
      </w:r>
      <w:r w:rsidR="003F3CD4" w:rsidRPr="00AC41E0">
        <w:t xml:space="preserve">in </w:t>
      </w:r>
      <w:r w:rsidRPr="00AC41E0">
        <w:t>an organisation.</w:t>
      </w:r>
    </w:p>
    <w:p w14:paraId="29F6BF47" w14:textId="3567596C" w:rsidR="00E714F1" w:rsidRPr="00AC41E0" w:rsidRDefault="00E714F1" w:rsidP="00E714F1">
      <w:pPr>
        <w:pStyle w:val="Heading3"/>
        <w:rPr>
          <w:rFonts w:ascii="Arial" w:hAnsi="Arial"/>
        </w:rPr>
      </w:pPr>
      <w:bookmarkStart w:id="1571" w:name="_Toc65760571"/>
      <w:r w:rsidRPr="00AC41E0">
        <w:rPr>
          <w:rFonts w:ascii="Arial" w:hAnsi="Arial"/>
        </w:rPr>
        <w:t>What is change management?</w:t>
      </w:r>
      <w:bookmarkEnd w:id="1571"/>
    </w:p>
    <w:p w14:paraId="38985ACF" w14:textId="3BFFFA78" w:rsidR="003A33FB" w:rsidRPr="00AC41E0" w:rsidRDefault="003A33FB" w:rsidP="003A33FB">
      <w:pPr>
        <w:pStyle w:val="DCSbodytext"/>
      </w:pPr>
      <w:r w:rsidRPr="00AC41E0">
        <w:t>Introducing new and innovative tools and practices such as IoT can result in periods of unrest for affected people</w:t>
      </w:r>
      <w:r w:rsidR="00AE57F2" w:rsidRPr="00AC41E0">
        <w:t xml:space="preserve"> including staff, customers and other stakeholders</w:t>
      </w:r>
      <w:r w:rsidRPr="00AC41E0">
        <w:t>. While change can be exciting</w:t>
      </w:r>
      <w:r w:rsidR="00351521" w:rsidRPr="00AC41E0">
        <w:t xml:space="preserve"> for some, for others </w:t>
      </w:r>
      <w:r w:rsidRPr="00AC41E0">
        <w:t xml:space="preserve">change </w:t>
      </w:r>
      <w:r w:rsidR="004A0B78" w:rsidRPr="00AC41E0">
        <w:t xml:space="preserve">means </w:t>
      </w:r>
      <w:r w:rsidRPr="00AC41E0">
        <w:t xml:space="preserve">loss, disruption or threat. </w:t>
      </w:r>
      <w:r w:rsidR="00A978C6" w:rsidRPr="00AC41E0">
        <w:t>Effectively m</w:t>
      </w:r>
      <w:r w:rsidRPr="00AC41E0">
        <w:t xml:space="preserve">anaging the people </w:t>
      </w:r>
      <w:r w:rsidR="00FA716A" w:rsidRPr="00AC41E0">
        <w:t>and process</w:t>
      </w:r>
      <w:r w:rsidRPr="00AC41E0">
        <w:t xml:space="preserve"> side of an </w:t>
      </w:r>
      <w:r w:rsidR="003D5E9D" w:rsidRPr="00AC41E0">
        <w:t>IoT-enabled project</w:t>
      </w:r>
      <w:r w:rsidRPr="00AC41E0">
        <w:t xml:space="preserve"> is </w:t>
      </w:r>
      <w:r w:rsidR="0061322B" w:rsidRPr="00AC41E0">
        <w:t xml:space="preserve">essential </w:t>
      </w:r>
      <w:r w:rsidRPr="00AC41E0">
        <w:t xml:space="preserve">for a successful implementation. </w:t>
      </w:r>
    </w:p>
    <w:p w14:paraId="47E090BD" w14:textId="3028A85B" w:rsidR="003A33FB" w:rsidRPr="00AC41E0" w:rsidRDefault="003A33FB" w:rsidP="003A33FB">
      <w:pPr>
        <w:pStyle w:val="DCSbodytext"/>
      </w:pPr>
      <w:r w:rsidRPr="00AC41E0">
        <w:t xml:space="preserve">Change management is the process of taking a planned and structured approach to help align an organisation with change. It is about supporting and understanding people who are undergoing change and handling that change with minimal disruption.  </w:t>
      </w:r>
    </w:p>
    <w:p w14:paraId="5FEADDE2" w14:textId="24A88976" w:rsidR="00640E19" w:rsidRPr="00AC41E0" w:rsidRDefault="003A33FB" w:rsidP="00F33137">
      <w:pPr>
        <w:pStyle w:val="DCSbodytext"/>
        <w:spacing w:after="120"/>
      </w:pPr>
      <w:r w:rsidRPr="00AC41E0">
        <w:t xml:space="preserve">In an IoT context, </w:t>
      </w:r>
      <w:r w:rsidR="00A978C6" w:rsidRPr="00AC41E0">
        <w:t>change management</w:t>
      </w:r>
      <w:r w:rsidRPr="00AC41E0">
        <w:t xml:space="preserve"> means working with the stakeholders affected by the </w:t>
      </w:r>
      <w:r w:rsidR="003D5E9D" w:rsidRPr="00AC41E0">
        <w:t>IoT-enabled project</w:t>
      </w:r>
      <w:r w:rsidRPr="00AC41E0">
        <w:t xml:space="preserve"> and </w:t>
      </w:r>
      <w:r w:rsidR="00F12DFF" w:rsidRPr="00AC41E0">
        <w:t xml:space="preserve">the accompanying </w:t>
      </w:r>
      <w:r w:rsidRPr="00AC41E0">
        <w:t>new processes, to</w:t>
      </w:r>
      <w:r w:rsidR="00640E19" w:rsidRPr="00AC41E0">
        <w:t xml:space="preserve"> help them:</w:t>
      </w:r>
    </w:p>
    <w:p w14:paraId="74ED4185" w14:textId="0B501E14" w:rsidR="00640E19" w:rsidRPr="00AC41E0" w:rsidRDefault="003A33FB" w:rsidP="00F33137">
      <w:pPr>
        <w:pStyle w:val="DCSbodytext"/>
        <w:numPr>
          <w:ilvl w:val="1"/>
          <w:numId w:val="61"/>
        </w:numPr>
        <w:spacing w:after="120"/>
        <w:ind w:left="1134" w:hanging="283"/>
      </w:pPr>
      <w:r w:rsidRPr="00AC41E0">
        <w:t>understand what the change means for them</w:t>
      </w:r>
    </w:p>
    <w:p w14:paraId="3F051F01" w14:textId="1B9EA33C" w:rsidR="00640E19" w:rsidRPr="00AC41E0" w:rsidRDefault="003A33FB" w:rsidP="00F33137">
      <w:pPr>
        <w:pStyle w:val="DCSbodytext"/>
        <w:numPr>
          <w:ilvl w:val="1"/>
          <w:numId w:val="61"/>
        </w:numPr>
        <w:spacing w:after="120"/>
        <w:ind w:left="1134" w:hanging="283"/>
      </w:pPr>
      <w:r w:rsidRPr="00AC41E0">
        <w:t>navigate the transition</w:t>
      </w:r>
    </w:p>
    <w:p w14:paraId="5F72F14B" w14:textId="2FE8F097" w:rsidR="00640E19" w:rsidRPr="00AC41E0" w:rsidRDefault="003A33FB" w:rsidP="00F33137">
      <w:pPr>
        <w:pStyle w:val="DCSbodytext"/>
        <w:numPr>
          <w:ilvl w:val="1"/>
          <w:numId w:val="61"/>
        </w:numPr>
        <w:spacing w:after="120"/>
        <w:ind w:left="1134" w:hanging="283"/>
      </w:pPr>
      <w:r w:rsidRPr="00AC41E0">
        <w:t xml:space="preserve">understand the value of the </w:t>
      </w:r>
      <w:r w:rsidR="003D5E9D" w:rsidRPr="00AC41E0">
        <w:t>IoT-enabled project</w:t>
      </w:r>
      <w:r w:rsidRPr="00AC41E0">
        <w:t xml:space="preserve"> </w:t>
      </w:r>
    </w:p>
    <w:p w14:paraId="0D1D7ED3" w14:textId="1662A8C0" w:rsidR="003A33FB" w:rsidRPr="00AC41E0" w:rsidRDefault="003A33FB" w:rsidP="00F33137">
      <w:pPr>
        <w:pStyle w:val="DCSbodytext"/>
        <w:numPr>
          <w:ilvl w:val="1"/>
          <w:numId w:val="61"/>
        </w:numPr>
        <w:ind w:left="1134" w:hanging="283"/>
      </w:pPr>
      <w:r w:rsidRPr="00AC41E0">
        <w:t xml:space="preserve">to overcome challenges together. </w:t>
      </w:r>
    </w:p>
    <w:p w14:paraId="7A14C20F" w14:textId="19FEA11A" w:rsidR="00E714F1" w:rsidRPr="00AC41E0" w:rsidRDefault="00E714F1" w:rsidP="00E714F1">
      <w:pPr>
        <w:pStyle w:val="Heading3"/>
        <w:rPr>
          <w:rFonts w:ascii="Arial" w:hAnsi="Arial"/>
        </w:rPr>
      </w:pPr>
      <w:bookmarkStart w:id="1572" w:name="_Toc65760572"/>
      <w:r w:rsidRPr="00AC41E0">
        <w:rPr>
          <w:rFonts w:ascii="Arial" w:hAnsi="Arial"/>
        </w:rPr>
        <w:t xml:space="preserve">Why is </w:t>
      </w:r>
      <w:r w:rsidR="005B5D4B" w:rsidRPr="00AC41E0">
        <w:rPr>
          <w:rFonts w:ascii="Arial" w:hAnsi="Arial"/>
        </w:rPr>
        <w:t>change management</w:t>
      </w:r>
      <w:r w:rsidRPr="00AC41E0">
        <w:rPr>
          <w:rFonts w:ascii="Arial" w:hAnsi="Arial"/>
        </w:rPr>
        <w:t xml:space="preserve"> necessary?</w:t>
      </w:r>
      <w:bookmarkEnd w:id="1572"/>
    </w:p>
    <w:p w14:paraId="39646FAB" w14:textId="2E2EBB55" w:rsidR="005D0220" w:rsidRPr="00AC41E0" w:rsidRDefault="005D0220" w:rsidP="005D0220">
      <w:pPr>
        <w:pStyle w:val="DCSbodytext"/>
      </w:pPr>
      <w:r w:rsidRPr="00AC41E0">
        <w:t xml:space="preserve">Effective change management allows organisations to </w:t>
      </w:r>
      <w:r w:rsidR="00D632A2" w:rsidRPr="00AC41E0">
        <w:t>deliver new initiatives, embrace evolving technology and adapt to new environments more easily</w:t>
      </w:r>
      <w:r w:rsidRPr="00AC41E0">
        <w:t>.</w:t>
      </w:r>
      <w:r w:rsidRPr="00E46FB0">
        <w:t xml:space="preserve"> </w:t>
      </w:r>
    </w:p>
    <w:p w14:paraId="5D1CBCDA" w14:textId="72AE90DD" w:rsidR="005D0220" w:rsidRPr="00AC41E0" w:rsidRDefault="005D0220" w:rsidP="005D0220">
      <w:pPr>
        <w:pStyle w:val="DCSbodytext"/>
      </w:pPr>
      <w:r w:rsidRPr="00AC41E0">
        <w:t xml:space="preserve">Change management is necessary for </w:t>
      </w:r>
      <w:r w:rsidR="003D5E9D" w:rsidRPr="00AC41E0">
        <w:t>IoT-enabled project</w:t>
      </w:r>
      <w:r w:rsidRPr="00AC41E0">
        <w:t xml:space="preserve">s because people are integral to the successful adoption and integration of IoT. You </w:t>
      </w:r>
      <w:r w:rsidR="00517E42" w:rsidRPr="00AC41E0">
        <w:t>may</w:t>
      </w:r>
      <w:r w:rsidRPr="00AC41E0">
        <w:t xml:space="preserve"> have all the right processes in place but if the people involved in the </w:t>
      </w:r>
      <w:r w:rsidR="00741F1E" w:rsidRPr="00AC41E0">
        <w:t xml:space="preserve">IoT-enabled </w:t>
      </w:r>
      <w:r w:rsidRPr="00AC41E0">
        <w:t>project do</w:t>
      </w:r>
      <w:r w:rsidR="00ED748E" w:rsidRPr="00AC41E0">
        <w:t xml:space="preserve"> </w:t>
      </w:r>
      <w:r w:rsidRPr="00AC41E0">
        <w:t>n</w:t>
      </w:r>
      <w:r w:rsidR="00ED748E" w:rsidRPr="00AC41E0">
        <w:t>o</w:t>
      </w:r>
      <w:r w:rsidRPr="00AC41E0">
        <w:t xml:space="preserve">t understand the change and why it is happening, your </w:t>
      </w:r>
      <w:r w:rsidR="003D5E9D" w:rsidRPr="00AC41E0">
        <w:t>project</w:t>
      </w:r>
      <w:r w:rsidRPr="00AC41E0">
        <w:t xml:space="preserve"> may be at risk. </w:t>
      </w:r>
    </w:p>
    <w:p w14:paraId="6B5CF781" w14:textId="77777777" w:rsidR="00206C4F" w:rsidRPr="00AC41E0" w:rsidRDefault="00A443B8" w:rsidP="00206C4F">
      <w:pPr>
        <w:pStyle w:val="DCSbodytext"/>
        <w:spacing w:after="120"/>
      </w:pPr>
      <w:bookmarkStart w:id="1573" w:name="_Toc65571474"/>
      <w:r w:rsidRPr="00AC41E0">
        <w:t>I</w:t>
      </w:r>
      <w:r w:rsidR="005D0220" w:rsidRPr="00AC41E0">
        <w:t>t</w:t>
      </w:r>
      <w:r w:rsidRPr="00AC41E0">
        <w:t xml:space="preserve"> i</w:t>
      </w:r>
      <w:r w:rsidR="005D0220" w:rsidRPr="00AC41E0">
        <w:t xml:space="preserve">s important to </w:t>
      </w:r>
      <w:r w:rsidRPr="00AC41E0">
        <w:t xml:space="preserve">remember </w:t>
      </w:r>
      <w:r w:rsidR="005D0220" w:rsidRPr="00AC41E0">
        <w:t>that systems and processes impacted by IoT have a human element, and the people impacted will have different levels of technology awareness and enthusiasm for change.</w:t>
      </w:r>
      <w:bookmarkStart w:id="1574" w:name="_Toc65571478"/>
      <w:bookmarkEnd w:id="1573"/>
      <w:bookmarkEnd w:id="1574"/>
    </w:p>
    <w:p w14:paraId="0965AD4B" w14:textId="74293180" w:rsidR="00E714F1" w:rsidRPr="00AC41E0" w:rsidRDefault="00F76425" w:rsidP="00206C4F">
      <w:pPr>
        <w:pStyle w:val="Heading3"/>
      </w:pPr>
      <w:bookmarkStart w:id="1575" w:name="_Toc65760573"/>
      <w:r w:rsidRPr="00AC41E0">
        <w:t>M</w:t>
      </w:r>
      <w:r w:rsidR="00E714F1" w:rsidRPr="00AC41E0">
        <w:t>anag</w:t>
      </w:r>
      <w:r w:rsidRPr="00AC41E0">
        <w:t>ing</w:t>
      </w:r>
      <w:r w:rsidR="00E714F1" w:rsidRPr="00AC41E0">
        <w:t xml:space="preserve"> change </w:t>
      </w:r>
      <w:r w:rsidR="0082365B" w:rsidRPr="00AC41E0">
        <w:t xml:space="preserve">resulting from </w:t>
      </w:r>
      <w:r w:rsidR="00E714F1" w:rsidRPr="00AC41E0">
        <w:t>IoT</w:t>
      </w:r>
      <w:r w:rsidR="00561DA8" w:rsidRPr="00AC41E0">
        <w:t>-enabled</w:t>
      </w:r>
      <w:r w:rsidR="00E714F1" w:rsidRPr="00AC41E0">
        <w:t xml:space="preserve"> projects</w:t>
      </w:r>
      <w:bookmarkEnd w:id="1575"/>
    </w:p>
    <w:p w14:paraId="42A88E4F" w14:textId="7B2F633B" w:rsidR="00E83BE5" w:rsidRPr="00AC41E0" w:rsidRDefault="00E83BE5" w:rsidP="00E83BE5">
      <w:pPr>
        <w:pStyle w:val="DCSbodytext"/>
      </w:pPr>
      <w:r w:rsidRPr="00AC41E0">
        <w:t>There is no one</w:t>
      </w:r>
      <w:r w:rsidR="006E4CBB" w:rsidRPr="00AC41E0">
        <w:t xml:space="preserve"> </w:t>
      </w:r>
      <w:r w:rsidRPr="00AC41E0">
        <w:t>size fits all approach to change management. Change management requirements and best practice</w:t>
      </w:r>
      <w:r w:rsidR="00016C34" w:rsidRPr="00AC41E0">
        <w:t>s</w:t>
      </w:r>
      <w:r w:rsidRPr="00AC41E0">
        <w:t xml:space="preserve"> differ</w:t>
      </w:r>
      <w:r w:rsidR="00DE52BD" w:rsidRPr="00AC41E0">
        <w:t xml:space="preserve"> by organisation</w:t>
      </w:r>
      <w:r w:rsidRPr="00AC41E0">
        <w:t xml:space="preserve"> and subject area</w:t>
      </w:r>
      <w:r w:rsidR="00DE52BD" w:rsidRPr="00AC41E0">
        <w:t>. There is</w:t>
      </w:r>
      <w:r w:rsidRPr="00AC41E0">
        <w:t xml:space="preserve"> currently no whole of NSW Government change management policy or guidance. </w:t>
      </w:r>
    </w:p>
    <w:p w14:paraId="57684BDB" w14:textId="27687C0A" w:rsidR="00E83BE5" w:rsidRPr="00AC41E0" w:rsidRDefault="00FA6C89" w:rsidP="00E83BE5">
      <w:pPr>
        <w:pStyle w:val="DCSbodytext"/>
        <w:spacing w:after="120"/>
      </w:pPr>
      <w:r w:rsidRPr="00AC41E0">
        <w:t>W</w:t>
      </w:r>
      <w:r w:rsidR="00E83BE5" w:rsidRPr="00AC41E0">
        <w:t xml:space="preserve">hen managing change for your </w:t>
      </w:r>
      <w:r w:rsidR="003D5E9D" w:rsidRPr="00AC41E0">
        <w:t>IoT-enabled project</w:t>
      </w:r>
      <w:r w:rsidR="00E83BE5" w:rsidRPr="00AC41E0">
        <w:t xml:space="preserve"> you may consider:</w:t>
      </w:r>
    </w:p>
    <w:p w14:paraId="5733049F" w14:textId="7CC22ECF" w:rsidR="00E83BE5" w:rsidRPr="00AC41E0" w:rsidRDefault="00E83BE5" w:rsidP="00003096">
      <w:pPr>
        <w:pStyle w:val="DCSbodytext"/>
        <w:numPr>
          <w:ilvl w:val="0"/>
          <w:numId w:val="156"/>
        </w:numPr>
        <w:spacing w:after="120"/>
      </w:pPr>
      <w:r w:rsidRPr="00AC41E0">
        <w:rPr>
          <w:i/>
        </w:rPr>
        <w:t>Vision and objective</w:t>
      </w:r>
      <w:r w:rsidR="008E05D2" w:rsidRPr="00AC41E0">
        <w:t>: D</w:t>
      </w:r>
      <w:r w:rsidRPr="00AC41E0">
        <w:t>o you have clear definitions of your goal and why the change is happening? Are the people affected aware of these and do they understand them?</w:t>
      </w:r>
    </w:p>
    <w:p w14:paraId="5B452F76" w14:textId="408AAC6B" w:rsidR="00E83BE5" w:rsidRPr="00AC41E0" w:rsidRDefault="00E83BE5" w:rsidP="00003096">
      <w:pPr>
        <w:pStyle w:val="DCSbodytext"/>
        <w:numPr>
          <w:ilvl w:val="0"/>
          <w:numId w:val="156"/>
        </w:numPr>
        <w:spacing w:after="120"/>
      </w:pPr>
      <w:r w:rsidRPr="00AC41E0">
        <w:rPr>
          <w:i/>
        </w:rPr>
        <w:lastRenderedPageBreak/>
        <w:t>Trust</w:t>
      </w:r>
      <w:r w:rsidR="008E05D2" w:rsidRPr="00AC41E0">
        <w:t>: D</w:t>
      </w:r>
      <w:r w:rsidRPr="00AC41E0">
        <w:t>o the people affected know they can trust you to do this respectfully and with minimal disruption?</w:t>
      </w:r>
    </w:p>
    <w:p w14:paraId="083AAAB2" w14:textId="23054A08" w:rsidR="00E83BE5" w:rsidRPr="00AC41E0" w:rsidRDefault="00E83BE5" w:rsidP="00003096">
      <w:pPr>
        <w:pStyle w:val="DCSbodytext"/>
        <w:numPr>
          <w:ilvl w:val="0"/>
          <w:numId w:val="156"/>
        </w:numPr>
        <w:spacing w:after="120"/>
      </w:pPr>
      <w:r w:rsidRPr="00AC41E0">
        <w:rPr>
          <w:i/>
        </w:rPr>
        <w:t>Consultation</w:t>
      </w:r>
      <w:r w:rsidR="008E05D2" w:rsidRPr="00AC41E0">
        <w:t>: W</w:t>
      </w:r>
      <w:r w:rsidRPr="00AC41E0">
        <w:t>ill people be consulted about the changes? How much influence will they have?</w:t>
      </w:r>
    </w:p>
    <w:p w14:paraId="4DB3268F" w14:textId="4101CD31" w:rsidR="00E83BE5" w:rsidRPr="00AC41E0" w:rsidRDefault="00E83BE5" w:rsidP="00003096">
      <w:pPr>
        <w:pStyle w:val="DCSbodytext"/>
        <w:numPr>
          <w:ilvl w:val="0"/>
          <w:numId w:val="156"/>
        </w:numPr>
        <w:spacing w:after="120"/>
      </w:pPr>
      <w:r w:rsidRPr="00AC41E0">
        <w:rPr>
          <w:i/>
        </w:rPr>
        <w:t>Journey</w:t>
      </w:r>
      <w:r w:rsidR="008E05D2" w:rsidRPr="00AC41E0">
        <w:t>: I</w:t>
      </w:r>
      <w:r w:rsidRPr="00AC41E0">
        <w:t>s every stakeholder on the change journey with you? Do they know what you</w:t>
      </w:r>
      <w:r w:rsidR="005C3F97" w:rsidRPr="00AC41E0">
        <w:t xml:space="preserve"> a</w:t>
      </w:r>
      <w:r w:rsidRPr="00AC41E0">
        <w:t>re trying to achieve and why? Do they understand it?</w:t>
      </w:r>
    </w:p>
    <w:p w14:paraId="6CDB291E" w14:textId="7D29A970" w:rsidR="00E83BE5" w:rsidRPr="00AC41E0" w:rsidRDefault="00E83BE5" w:rsidP="00003096">
      <w:pPr>
        <w:pStyle w:val="DCSbodytext"/>
        <w:numPr>
          <w:ilvl w:val="0"/>
          <w:numId w:val="156"/>
        </w:numPr>
        <w:spacing w:after="120"/>
      </w:pPr>
      <w:r w:rsidRPr="00AC41E0">
        <w:rPr>
          <w:i/>
        </w:rPr>
        <w:t>Communications</w:t>
      </w:r>
      <w:r w:rsidR="008E05D2" w:rsidRPr="00AC41E0">
        <w:t>: A</w:t>
      </w:r>
      <w:r w:rsidRPr="00AC41E0">
        <w:t>re all stakeholders aware of the important pieces of information? Is there a way you can be more open and transparent?</w:t>
      </w:r>
    </w:p>
    <w:p w14:paraId="2EC556B1" w14:textId="75BA6D4C" w:rsidR="00E83BE5" w:rsidRPr="00AC41E0" w:rsidRDefault="00E83BE5" w:rsidP="00003096">
      <w:pPr>
        <w:pStyle w:val="DCSbodytext"/>
        <w:numPr>
          <w:ilvl w:val="0"/>
          <w:numId w:val="156"/>
        </w:numPr>
        <w:spacing w:after="120"/>
      </w:pPr>
      <w:r w:rsidRPr="00AC41E0">
        <w:rPr>
          <w:i/>
        </w:rPr>
        <w:t>Executive support</w:t>
      </w:r>
      <w:r w:rsidR="008E05D2" w:rsidRPr="00AC41E0">
        <w:t>: D</w:t>
      </w:r>
      <w:r w:rsidRPr="00AC41E0">
        <w:t xml:space="preserve">oes the change and change management plan have the support </w:t>
      </w:r>
      <w:r w:rsidR="00E43344" w:rsidRPr="00AC41E0">
        <w:t xml:space="preserve">of </w:t>
      </w:r>
      <w:r w:rsidRPr="00AC41E0">
        <w:t xml:space="preserve">senior managers and executives in your team? </w:t>
      </w:r>
    </w:p>
    <w:p w14:paraId="639B8244" w14:textId="64B48A59" w:rsidR="00E83BE5" w:rsidRPr="00AC41E0" w:rsidRDefault="00E83BE5" w:rsidP="00003096">
      <w:pPr>
        <w:pStyle w:val="DCSbodytext"/>
        <w:numPr>
          <w:ilvl w:val="0"/>
          <w:numId w:val="156"/>
        </w:numPr>
        <w:ind w:left="1151" w:hanging="357"/>
      </w:pPr>
      <w:r w:rsidRPr="00AC41E0">
        <w:rPr>
          <w:i/>
        </w:rPr>
        <w:t>Training</w:t>
      </w:r>
      <w:r w:rsidR="008E05D2" w:rsidRPr="00AC41E0">
        <w:t xml:space="preserve">: </w:t>
      </w:r>
      <w:r w:rsidR="00F2265C" w:rsidRPr="00AC41E0">
        <w:t>H</w:t>
      </w:r>
      <w:r w:rsidRPr="00AC41E0">
        <w:t xml:space="preserve">as there been enough training provided? If not, how can </w:t>
      </w:r>
      <w:r w:rsidR="00E43344" w:rsidRPr="00AC41E0">
        <w:t xml:space="preserve">you </w:t>
      </w:r>
      <w:r w:rsidRPr="00AC41E0">
        <w:t>get everyone on the same page?</w:t>
      </w:r>
    </w:p>
    <w:p w14:paraId="1CB5C2D5" w14:textId="22E40EF5" w:rsidR="00E714F1" w:rsidRPr="00AC41E0" w:rsidRDefault="00E714F1" w:rsidP="00E714F1">
      <w:pPr>
        <w:pStyle w:val="Heading3"/>
        <w:rPr>
          <w:rFonts w:ascii="Arial" w:hAnsi="Arial"/>
        </w:rPr>
      </w:pPr>
      <w:bookmarkStart w:id="1576" w:name="_Toc18083008"/>
      <w:bookmarkStart w:id="1577" w:name="_Toc18083180"/>
      <w:bookmarkStart w:id="1578" w:name="_Toc18083353"/>
      <w:bookmarkStart w:id="1579" w:name="_Toc18311299"/>
      <w:bookmarkStart w:id="1580" w:name="_Toc18312855"/>
      <w:bookmarkStart w:id="1581" w:name="_Toc18322147"/>
      <w:bookmarkStart w:id="1582" w:name="_Toc18322326"/>
      <w:bookmarkStart w:id="1583" w:name="_Toc18336909"/>
      <w:bookmarkStart w:id="1584" w:name="_Toc18338190"/>
      <w:bookmarkStart w:id="1585" w:name="_Toc18083009"/>
      <w:bookmarkStart w:id="1586" w:name="_Toc18083181"/>
      <w:bookmarkStart w:id="1587" w:name="_Toc18083354"/>
      <w:bookmarkStart w:id="1588" w:name="_Toc18311300"/>
      <w:bookmarkStart w:id="1589" w:name="_Toc18312856"/>
      <w:bookmarkStart w:id="1590" w:name="_Toc18322148"/>
      <w:bookmarkStart w:id="1591" w:name="_Toc18322327"/>
      <w:bookmarkStart w:id="1592" w:name="_Toc18336910"/>
      <w:bookmarkStart w:id="1593" w:name="_Toc18338191"/>
      <w:bookmarkStart w:id="1594" w:name="_Toc65760574"/>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r w:rsidRPr="00AC41E0">
        <w:rPr>
          <w:rFonts w:ascii="Arial" w:hAnsi="Arial"/>
        </w:rPr>
        <w:t>Managing ICT infrastructure change</w:t>
      </w:r>
      <w:bookmarkEnd w:id="1594"/>
    </w:p>
    <w:p w14:paraId="6434BDA0" w14:textId="77777777" w:rsidR="00E448BE" w:rsidRPr="00AC41E0" w:rsidRDefault="00E448BE" w:rsidP="00E448BE">
      <w:pPr>
        <w:pStyle w:val="Heading4"/>
        <w:rPr>
          <w:rFonts w:ascii="Arial" w:hAnsi="Arial"/>
        </w:rPr>
      </w:pPr>
      <w:r w:rsidRPr="00AC41E0">
        <w:rPr>
          <w:rFonts w:ascii="Arial" w:hAnsi="Arial"/>
        </w:rPr>
        <w:t>ICT infrastructure change management</w:t>
      </w:r>
    </w:p>
    <w:p w14:paraId="46396669" w14:textId="5632EBCF" w:rsidR="00E448BE" w:rsidRPr="00AC41E0" w:rsidRDefault="00E448BE" w:rsidP="00E448BE">
      <w:pPr>
        <w:pStyle w:val="DCSbodytext"/>
      </w:pPr>
      <w:r w:rsidRPr="00AC41E0">
        <w:t>For the purpose of this policy, managing infrastructure change refers to changing ICT infrastructure systems (not managing the impact of change on people). An example is replacing legacy systems so that IoT solutions can integrate with your organisation’s ICT systems.</w:t>
      </w:r>
      <w:r w:rsidR="00C420F2" w:rsidRPr="00AC41E0">
        <w:t xml:space="preserve"> </w:t>
      </w:r>
    </w:p>
    <w:p w14:paraId="2BBF07C0" w14:textId="3B5308E5" w:rsidR="00E448BE" w:rsidRPr="00AC41E0" w:rsidRDefault="00E448BE">
      <w:pPr>
        <w:pStyle w:val="DCSbodytext"/>
      </w:pPr>
      <w:r w:rsidRPr="00AC41E0">
        <w:t>There is no one</w:t>
      </w:r>
      <w:r w:rsidR="006E4CBB" w:rsidRPr="00AC41E0">
        <w:t xml:space="preserve"> </w:t>
      </w:r>
      <w:r w:rsidRPr="00AC41E0">
        <w:t xml:space="preserve">size fits all approach to managing </w:t>
      </w:r>
      <w:r w:rsidR="00703703" w:rsidRPr="00AC41E0">
        <w:t xml:space="preserve">ICT </w:t>
      </w:r>
      <w:r w:rsidRPr="00AC41E0">
        <w:t>infrastructure change. Speak to your agency’s IT</w:t>
      </w:r>
      <w:r w:rsidR="000D669A" w:rsidRPr="00AC41E0">
        <w:t xml:space="preserve">/Operational </w:t>
      </w:r>
      <w:r w:rsidR="00A4764D" w:rsidRPr="00AC41E0">
        <w:t>Technology</w:t>
      </w:r>
      <w:r w:rsidRPr="00AC41E0">
        <w:t xml:space="preserve"> team for further information and assistance</w:t>
      </w:r>
      <w:r w:rsidR="003A38F5" w:rsidRPr="00AC41E0">
        <w:t xml:space="preserve"> about the matters in this section</w:t>
      </w:r>
      <w:r w:rsidR="00334E20" w:rsidRPr="00AC41E0">
        <w:t>.</w:t>
      </w:r>
      <w:r w:rsidRPr="00AC41E0">
        <w:t xml:space="preserve"> </w:t>
      </w:r>
    </w:p>
    <w:p w14:paraId="04001BC8" w14:textId="08FCCBCC" w:rsidR="00E714F1" w:rsidRPr="00AC41E0" w:rsidRDefault="00E714F1" w:rsidP="00BF6E01">
      <w:pPr>
        <w:pStyle w:val="Heading4"/>
        <w:rPr>
          <w:rFonts w:ascii="Arial" w:hAnsi="Arial"/>
        </w:rPr>
      </w:pPr>
      <w:r w:rsidRPr="00AC41E0">
        <w:rPr>
          <w:rFonts w:ascii="Arial" w:hAnsi="Arial"/>
        </w:rPr>
        <w:t>What are legacy systems?</w:t>
      </w:r>
    </w:p>
    <w:p w14:paraId="00E9812A" w14:textId="63FED155" w:rsidR="009A6792" w:rsidRPr="00AC41E0" w:rsidRDefault="00947CBB" w:rsidP="00947CBB">
      <w:pPr>
        <w:pStyle w:val="DCSbodytext"/>
      </w:pPr>
      <w:r w:rsidRPr="00AC41E0">
        <w:t xml:space="preserve">Legacy systems refer to ICT infrastructure systems that are outdated but continue to be used over updated versions of the system (or a new system altogether). Legacy systems continue to be used for </w:t>
      </w:r>
      <w:r w:rsidR="00C3761C" w:rsidRPr="00AC41E0">
        <w:t>various</w:t>
      </w:r>
      <w:r w:rsidRPr="00AC41E0">
        <w:t xml:space="preserve"> reason</w:t>
      </w:r>
      <w:r w:rsidR="00016C34" w:rsidRPr="00AC41E0">
        <w:t>s</w:t>
      </w:r>
      <w:r w:rsidR="00223C03" w:rsidRPr="00AC41E0">
        <w:t xml:space="preserve"> (e.g. </w:t>
      </w:r>
      <w:r w:rsidR="00C3761C" w:rsidRPr="00AC41E0">
        <w:t xml:space="preserve">they may have been </w:t>
      </w:r>
      <w:r w:rsidRPr="00AC41E0">
        <w:t>custom-built or the cost of changing and re-training staff is too high</w:t>
      </w:r>
      <w:r w:rsidR="00223C03" w:rsidRPr="00AC41E0">
        <w:t>)</w:t>
      </w:r>
      <w:r w:rsidRPr="00AC41E0">
        <w:t xml:space="preserve">. </w:t>
      </w:r>
    </w:p>
    <w:p w14:paraId="76912A1B" w14:textId="690238AF" w:rsidR="00947CBB" w:rsidRPr="00AC41E0" w:rsidRDefault="00947CBB" w:rsidP="00947CBB">
      <w:pPr>
        <w:pStyle w:val="DCSbodytext"/>
      </w:pPr>
      <w:r w:rsidRPr="00AC41E0">
        <w:t xml:space="preserve">Some legacy systems may not be capable of integrating with </w:t>
      </w:r>
      <w:r w:rsidR="00E53783" w:rsidRPr="00AC41E0">
        <w:t xml:space="preserve">new </w:t>
      </w:r>
      <w:r w:rsidRPr="00AC41E0">
        <w:t xml:space="preserve">IoT systems and </w:t>
      </w:r>
      <w:r w:rsidR="00FD5639" w:rsidRPr="00AC41E0">
        <w:t xml:space="preserve">will </w:t>
      </w:r>
      <w:r w:rsidRPr="00AC41E0">
        <w:t>need to be replaced for an IoT solution to be adopted.</w:t>
      </w:r>
    </w:p>
    <w:p w14:paraId="13367631" w14:textId="76C80D20" w:rsidR="00E714F1" w:rsidRPr="00AC41E0" w:rsidRDefault="00E714F1" w:rsidP="00BF6E01">
      <w:pPr>
        <w:pStyle w:val="Heading4"/>
        <w:rPr>
          <w:rFonts w:ascii="Arial" w:hAnsi="Arial"/>
        </w:rPr>
      </w:pPr>
      <w:r w:rsidRPr="00AC41E0">
        <w:rPr>
          <w:rFonts w:ascii="Arial" w:hAnsi="Arial"/>
        </w:rPr>
        <w:t>How to integrate new technology with old</w:t>
      </w:r>
      <w:r w:rsidR="007543DC" w:rsidRPr="00AC41E0">
        <w:rPr>
          <w:rFonts w:ascii="Arial" w:hAnsi="Arial"/>
        </w:rPr>
        <w:t xml:space="preserve"> technology</w:t>
      </w:r>
    </w:p>
    <w:p w14:paraId="55997D56" w14:textId="2E768C99" w:rsidR="00C13F92" w:rsidRPr="00AC41E0" w:rsidRDefault="005C55E8" w:rsidP="00F33137">
      <w:pPr>
        <w:pStyle w:val="DCSbodytext"/>
      </w:pPr>
      <w:r w:rsidRPr="00AC41E0">
        <w:t xml:space="preserve">There is no one size fits all method of </w:t>
      </w:r>
      <w:r w:rsidR="00AB31EA" w:rsidRPr="00AC41E0">
        <w:t xml:space="preserve">integration/migration of systems or data to work with your IoT solution. As each organisation’s ICT infrastructure is different, it is important to assess your infrastructure to determine the best solution for your scenario.  </w:t>
      </w:r>
    </w:p>
    <w:p w14:paraId="0C6D3B49" w14:textId="14FC8D3F" w:rsidR="00AB31EA" w:rsidRPr="00AC41E0" w:rsidRDefault="00AB31EA" w:rsidP="00AB31EA">
      <w:pPr>
        <w:pStyle w:val="DCSbodytext"/>
        <w:spacing w:after="120"/>
      </w:pPr>
      <w:r w:rsidRPr="00AC41E0">
        <w:t xml:space="preserve">When assessing your current infrastructure, </w:t>
      </w:r>
      <w:r w:rsidR="005B3875" w:rsidRPr="00AC41E0">
        <w:t>consider</w:t>
      </w:r>
      <w:r w:rsidRPr="00AC41E0">
        <w:t>:</w:t>
      </w:r>
    </w:p>
    <w:p w14:paraId="55881A7D" w14:textId="5D012908" w:rsidR="00AB31EA" w:rsidRPr="00AC41E0" w:rsidRDefault="005B3875" w:rsidP="00003096">
      <w:pPr>
        <w:pStyle w:val="DCSbodytext"/>
        <w:numPr>
          <w:ilvl w:val="0"/>
          <w:numId w:val="157"/>
        </w:numPr>
        <w:spacing w:after="120"/>
      </w:pPr>
      <w:r w:rsidRPr="00AC41E0">
        <w:t>W</w:t>
      </w:r>
      <w:r w:rsidR="00AB31EA" w:rsidRPr="00AC41E0">
        <w:t xml:space="preserve">hat is the current state of </w:t>
      </w:r>
      <w:r w:rsidRPr="00AC41E0">
        <w:t xml:space="preserve">your </w:t>
      </w:r>
      <w:r w:rsidR="00AB31EA" w:rsidRPr="00AC41E0">
        <w:t xml:space="preserve">ICT? </w:t>
      </w:r>
    </w:p>
    <w:p w14:paraId="616D0560" w14:textId="77777777" w:rsidR="00AB31EA" w:rsidRPr="00AC41E0" w:rsidRDefault="00AB31EA" w:rsidP="00003096">
      <w:pPr>
        <w:pStyle w:val="DCSbodytext"/>
        <w:numPr>
          <w:ilvl w:val="0"/>
          <w:numId w:val="157"/>
        </w:numPr>
        <w:spacing w:after="120"/>
      </w:pPr>
      <w:r w:rsidRPr="00AC41E0">
        <w:t xml:space="preserve">How old is the technology? </w:t>
      </w:r>
    </w:p>
    <w:p w14:paraId="2E741728" w14:textId="109010B2" w:rsidR="00AB31EA" w:rsidRPr="00AC41E0" w:rsidRDefault="00AB31EA" w:rsidP="00003096">
      <w:pPr>
        <w:pStyle w:val="DCSbodytext"/>
        <w:numPr>
          <w:ilvl w:val="0"/>
          <w:numId w:val="157"/>
        </w:numPr>
        <w:spacing w:after="120"/>
      </w:pPr>
      <w:r w:rsidRPr="00AC41E0">
        <w:t xml:space="preserve">Is the technology still compatible with </w:t>
      </w:r>
      <w:r w:rsidR="005B3875" w:rsidRPr="00AC41E0">
        <w:t xml:space="preserve">your </w:t>
      </w:r>
      <w:r w:rsidRPr="00AC41E0">
        <w:t>current business needs?</w:t>
      </w:r>
    </w:p>
    <w:p w14:paraId="36A926DC" w14:textId="40F80F08" w:rsidR="00AB31EA" w:rsidRPr="00AC41E0" w:rsidRDefault="00AB31EA" w:rsidP="00003096">
      <w:pPr>
        <w:pStyle w:val="DCSbodytext"/>
        <w:numPr>
          <w:ilvl w:val="0"/>
          <w:numId w:val="157"/>
        </w:numPr>
        <w:spacing w:after="120"/>
      </w:pPr>
      <w:r w:rsidRPr="00AC41E0">
        <w:lastRenderedPageBreak/>
        <w:t xml:space="preserve">If </w:t>
      </w:r>
      <w:r w:rsidR="005B3875" w:rsidRPr="00AC41E0">
        <w:t>your</w:t>
      </w:r>
      <w:r w:rsidR="007D080D" w:rsidRPr="00AC41E0">
        <w:t xml:space="preserve"> </w:t>
      </w:r>
      <w:r w:rsidRPr="00AC41E0">
        <w:t>current ICT system is one that is working and meeting business needs</w:t>
      </w:r>
      <w:r w:rsidR="007D080D" w:rsidRPr="00AC41E0">
        <w:t>,</w:t>
      </w:r>
      <w:r w:rsidRPr="00AC41E0">
        <w:t xml:space="preserve"> where are the connections between </w:t>
      </w:r>
      <w:r w:rsidR="005B3875" w:rsidRPr="00AC41E0">
        <w:t xml:space="preserve">the </w:t>
      </w:r>
      <w:r w:rsidRPr="00AC41E0">
        <w:t xml:space="preserve">current infrastructure and the IoT </w:t>
      </w:r>
      <w:r w:rsidR="00E53783" w:rsidRPr="00AC41E0">
        <w:t>solution</w:t>
      </w:r>
      <w:r w:rsidRPr="00AC41E0">
        <w:t xml:space="preserve"> </w:t>
      </w:r>
      <w:r w:rsidR="005B3875" w:rsidRPr="00AC41E0">
        <w:t>you</w:t>
      </w:r>
      <w:r w:rsidRPr="00AC41E0">
        <w:t xml:space="preserve"> want to introduce? </w:t>
      </w:r>
    </w:p>
    <w:p w14:paraId="12448AC9" w14:textId="41B1904E" w:rsidR="00AB31EA" w:rsidRPr="00AC41E0" w:rsidRDefault="00AB31EA" w:rsidP="00003096">
      <w:pPr>
        <w:pStyle w:val="DCSbodytext"/>
        <w:numPr>
          <w:ilvl w:val="0"/>
          <w:numId w:val="157"/>
        </w:numPr>
      </w:pPr>
      <w:r w:rsidRPr="00AC41E0">
        <w:t>If you decide to replace your current ICT system</w:t>
      </w:r>
      <w:r w:rsidR="005B3875" w:rsidRPr="00AC41E0">
        <w:t xml:space="preserve">, </w:t>
      </w:r>
      <w:r w:rsidRPr="00AC41E0">
        <w:t xml:space="preserve">what kind of solution meets </w:t>
      </w:r>
      <w:r w:rsidR="00415971" w:rsidRPr="00AC41E0">
        <w:t xml:space="preserve">your </w:t>
      </w:r>
      <w:r w:rsidRPr="00AC41E0">
        <w:t>business need</w:t>
      </w:r>
      <w:r w:rsidR="00016C34" w:rsidRPr="00AC41E0">
        <w:t>s</w:t>
      </w:r>
      <w:r w:rsidRPr="00AC41E0">
        <w:t xml:space="preserve">, including the needs of the IoT solution </w:t>
      </w:r>
      <w:r w:rsidR="00415971" w:rsidRPr="00AC41E0">
        <w:t>you</w:t>
      </w:r>
      <w:r w:rsidRPr="00AC41E0">
        <w:t xml:space="preserve"> want to introduce? </w:t>
      </w:r>
    </w:p>
    <w:p w14:paraId="6A8CF1B8" w14:textId="292F5F0F" w:rsidR="00AB31EA" w:rsidRPr="00AC41E0" w:rsidRDefault="00AB31EA" w:rsidP="00AB31EA">
      <w:pPr>
        <w:pStyle w:val="DCSbodytext"/>
      </w:pPr>
      <w:r w:rsidRPr="00AC41E0">
        <w:t>Depending on your ICT infrastructure</w:t>
      </w:r>
      <w:r w:rsidR="00E250D5" w:rsidRPr="00AC41E0">
        <w:t xml:space="preserve"> and the responses to the questions above</w:t>
      </w:r>
      <w:r w:rsidRPr="00AC41E0">
        <w:t xml:space="preserve">, </w:t>
      </w:r>
      <w:r w:rsidR="00E250D5" w:rsidRPr="00AC41E0">
        <w:t>you</w:t>
      </w:r>
      <w:r w:rsidRPr="00AC41E0">
        <w:t xml:space="preserve"> may require expertise in migration to new systems and integration of IoT systems with legacy systems. It is important to undertake this transition properly as rushing can result in a loss of data and/or lead to larger costs down the track.</w:t>
      </w:r>
    </w:p>
    <w:p w14:paraId="3C222298" w14:textId="39B2F655" w:rsidR="00AB31EA" w:rsidRPr="00AC41E0" w:rsidRDefault="00AB31EA" w:rsidP="00AB31EA">
      <w:pPr>
        <w:pStyle w:val="DCSbodytext"/>
        <w:spacing w:after="120"/>
      </w:pPr>
      <w:r w:rsidRPr="00AC41E0">
        <w:t>There are many approaches to introducing IoT systems</w:t>
      </w:r>
      <w:r w:rsidR="00C65CFF" w:rsidRPr="00AC41E0">
        <w:t>. Three</w:t>
      </w:r>
      <w:r w:rsidRPr="00AC41E0">
        <w:t xml:space="preserve"> options are:</w:t>
      </w:r>
    </w:p>
    <w:p w14:paraId="0495F9A3" w14:textId="3446C622" w:rsidR="00AB31EA" w:rsidRPr="00AC41E0" w:rsidRDefault="00822447" w:rsidP="00003096">
      <w:pPr>
        <w:pStyle w:val="DCSbodytext"/>
        <w:numPr>
          <w:ilvl w:val="0"/>
          <w:numId w:val="158"/>
        </w:numPr>
        <w:spacing w:after="120"/>
      </w:pPr>
      <w:r w:rsidRPr="00AC41E0">
        <w:t>r</w:t>
      </w:r>
      <w:r w:rsidR="00AB31EA" w:rsidRPr="00AC41E0">
        <w:t>emove and replace the legacy system with an IoT-enabled system</w:t>
      </w:r>
    </w:p>
    <w:p w14:paraId="0896A295" w14:textId="1DE604C3" w:rsidR="00AB31EA" w:rsidRPr="00AC41E0" w:rsidRDefault="00822447" w:rsidP="00003096">
      <w:pPr>
        <w:pStyle w:val="DCSbodytext"/>
        <w:numPr>
          <w:ilvl w:val="0"/>
          <w:numId w:val="158"/>
        </w:numPr>
        <w:spacing w:after="120"/>
      </w:pPr>
      <w:r w:rsidRPr="00AC41E0">
        <w:t>i</w:t>
      </w:r>
      <w:r w:rsidR="00C84C7A" w:rsidRPr="00AC41E0">
        <w:t xml:space="preserve">ntegrate </w:t>
      </w:r>
      <w:r w:rsidR="006B5A15" w:rsidRPr="00AC41E0">
        <w:t xml:space="preserve">the </w:t>
      </w:r>
      <w:r w:rsidR="00C84C7A" w:rsidRPr="00AC41E0">
        <w:t xml:space="preserve">legacy system with </w:t>
      </w:r>
      <w:r w:rsidR="006B5A15" w:rsidRPr="00AC41E0">
        <w:t xml:space="preserve">a </w:t>
      </w:r>
      <w:r w:rsidR="00C84C7A" w:rsidRPr="00AC41E0">
        <w:t>new IoT</w:t>
      </w:r>
      <w:r w:rsidR="006B5A15" w:rsidRPr="00AC41E0">
        <w:t>-enabled</w:t>
      </w:r>
      <w:r w:rsidR="00C84C7A" w:rsidRPr="00AC41E0">
        <w:t xml:space="preserve"> system</w:t>
      </w:r>
    </w:p>
    <w:p w14:paraId="15E7E2BB" w14:textId="7CABC9C5" w:rsidR="00AB31EA" w:rsidRPr="00AC41E0" w:rsidRDefault="00822447" w:rsidP="00003096">
      <w:pPr>
        <w:pStyle w:val="DCSbodytext"/>
        <w:numPr>
          <w:ilvl w:val="0"/>
          <w:numId w:val="158"/>
        </w:numPr>
      </w:pPr>
      <w:r w:rsidRPr="00AC41E0">
        <w:t>d</w:t>
      </w:r>
      <w:r w:rsidR="00AB31EA" w:rsidRPr="00AC41E0">
        <w:t xml:space="preserve">evelop </w:t>
      </w:r>
      <w:r w:rsidR="00C65CFF" w:rsidRPr="00AC41E0">
        <w:t xml:space="preserve">a </w:t>
      </w:r>
      <w:r w:rsidR="00AB31EA" w:rsidRPr="00AC41E0">
        <w:t>custom solution that mix</w:t>
      </w:r>
      <w:r w:rsidR="006B5A15" w:rsidRPr="00AC41E0">
        <w:t>es</w:t>
      </w:r>
      <w:r w:rsidR="00AB31EA" w:rsidRPr="00AC41E0">
        <w:t xml:space="preserve"> both.</w:t>
      </w:r>
    </w:p>
    <w:p w14:paraId="7BF1E70A" w14:textId="226E837E" w:rsidR="00AB31EA" w:rsidRPr="00AC41E0" w:rsidRDefault="00E250D5" w:rsidP="00AB31EA">
      <w:pPr>
        <w:pStyle w:val="DCSbodytext"/>
      </w:pPr>
      <w:r w:rsidRPr="00AC41E0">
        <w:t>Speak to your organisation’s ICT team f</w:t>
      </w:r>
      <w:r w:rsidR="00AB31EA" w:rsidRPr="00AC41E0">
        <w:t xml:space="preserve">or further information on legacy systems. </w:t>
      </w:r>
    </w:p>
    <w:p w14:paraId="75241404" w14:textId="76A3591B" w:rsidR="00FD4AC6" w:rsidRPr="00AC41E0" w:rsidRDefault="005059C3">
      <w:pPr>
        <w:pStyle w:val="Heading3"/>
        <w:rPr>
          <w:rFonts w:ascii="Arial" w:hAnsi="Arial"/>
        </w:rPr>
      </w:pPr>
      <w:bookmarkStart w:id="1595" w:name="_Toc65760575"/>
      <w:r w:rsidRPr="00AC41E0">
        <w:rPr>
          <w:rFonts w:ascii="Arial" w:hAnsi="Arial"/>
        </w:rPr>
        <w:t>Additional r</w:t>
      </w:r>
      <w:r w:rsidR="00E714F1" w:rsidRPr="00AC41E0">
        <w:rPr>
          <w:rFonts w:ascii="Arial" w:hAnsi="Arial"/>
        </w:rPr>
        <w:t>esources</w:t>
      </w:r>
      <w:bookmarkEnd w:id="1595"/>
    </w:p>
    <w:p w14:paraId="65CEA524" w14:textId="7A9DE016" w:rsidR="008F5388" w:rsidRPr="00AC41E0" w:rsidRDefault="00E250D5" w:rsidP="008F5388">
      <w:pPr>
        <w:pStyle w:val="DCSbodytext"/>
      </w:pPr>
      <w:r w:rsidRPr="00AC41E0">
        <w:t>S</w:t>
      </w:r>
      <w:r w:rsidR="008F5388" w:rsidRPr="00AC41E0">
        <w:t xml:space="preserve">ee the </w:t>
      </w:r>
      <w:hyperlink r:id="rId258" w:history="1">
        <w:r w:rsidR="008F5388" w:rsidRPr="00AC41E0">
          <w:rPr>
            <w:rStyle w:val="Hyperlink"/>
          </w:rPr>
          <w:t>Queensland Government’s Change Management Best Practices Guide (2014)</w:t>
        </w:r>
      </w:hyperlink>
      <w:r w:rsidRPr="00E46FB0">
        <w:t xml:space="preserve"> for further information on what change management is.</w:t>
      </w:r>
    </w:p>
    <w:p w14:paraId="7BE1C764" w14:textId="53F9E5CA" w:rsidR="007E066E" w:rsidRPr="00AC41E0" w:rsidRDefault="007E066E" w:rsidP="007E066E">
      <w:pPr>
        <w:pStyle w:val="DCSbodytext"/>
      </w:pPr>
      <w:r w:rsidRPr="00AC41E0">
        <w:t xml:space="preserve">The Government of South Australia has developed a </w:t>
      </w:r>
      <w:hyperlink r:id="rId259" w:history="1">
        <w:r w:rsidRPr="00AC41E0">
          <w:rPr>
            <w:rStyle w:val="Hyperlink"/>
          </w:rPr>
          <w:t>Change Management Toolkit</w:t>
        </w:r>
      </w:hyperlink>
      <w:r w:rsidRPr="00E46FB0">
        <w:t xml:space="preserve"> that provides guidance and resources to assist organisations </w:t>
      </w:r>
      <w:r w:rsidR="00016C34" w:rsidRPr="00AC41E0">
        <w:t xml:space="preserve">to </w:t>
      </w:r>
      <w:r w:rsidRPr="00AC41E0">
        <w:t xml:space="preserve">manage people through a process of change. </w:t>
      </w:r>
    </w:p>
    <w:p w14:paraId="2314AACF" w14:textId="34F14DFA" w:rsidR="007E066E" w:rsidRPr="00AC41E0" w:rsidRDefault="007E066E" w:rsidP="007E066E">
      <w:pPr>
        <w:pStyle w:val="DCSbodytext"/>
      </w:pPr>
      <w:r w:rsidRPr="00AC41E0">
        <w:t>Also</w:t>
      </w:r>
      <w:r w:rsidR="00016C34" w:rsidRPr="00AC41E0">
        <w:t>,</w:t>
      </w:r>
      <w:r w:rsidRPr="00AC41E0">
        <w:t xml:space="preserve"> speak with your organisation’s change management team and check your intranet/website for organisation-specific resources. </w:t>
      </w:r>
    </w:p>
    <w:p w14:paraId="10CBFB1E" w14:textId="06AABDE4" w:rsidR="001757D6" w:rsidRPr="00AC41E0" w:rsidRDefault="001757D6" w:rsidP="00D4137E">
      <w:pPr>
        <w:pStyle w:val="Heading2"/>
        <w:tabs>
          <w:tab w:val="num" w:pos="868"/>
        </w:tabs>
        <w:ind w:left="868"/>
        <w:rPr>
          <w:rFonts w:ascii="Arial" w:hAnsi="Arial"/>
        </w:rPr>
      </w:pPr>
      <w:bookmarkStart w:id="1596" w:name="_Spatial_data_requirements_2"/>
      <w:bookmarkStart w:id="1597" w:name="_Toc65760576"/>
      <w:bookmarkEnd w:id="1596"/>
      <w:r w:rsidRPr="00AC41E0">
        <w:rPr>
          <w:rFonts w:ascii="Arial" w:hAnsi="Arial"/>
        </w:rPr>
        <w:t>Spatial data requirements</w:t>
      </w:r>
      <w:bookmarkEnd w:id="1597"/>
    </w:p>
    <w:p w14:paraId="7C6D572E" w14:textId="6F5D1DF1" w:rsidR="001757D6" w:rsidRPr="00AC41E0" w:rsidRDefault="001757D6" w:rsidP="00D4137E">
      <w:pPr>
        <w:pStyle w:val="Heading3"/>
        <w:ind w:left="868"/>
        <w:rPr>
          <w:rFonts w:ascii="Arial" w:hAnsi="Arial"/>
        </w:rPr>
      </w:pPr>
      <w:bookmarkStart w:id="1598" w:name="_Toc65760577"/>
      <w:r w:rsidRPr="00AC41E0">
        <w:rPr>
          <w:rFonts w:ascii="Arial" w:hAnsi="Arial"/>
        </w:rPr>
        <w:t>What is spatial data</w:t>
      </w:r>
      <w:r w:rsidR="000D6948" w:rsidRPr="00AC41E0">
        <w:rPr>
          <w:rFonts w:ascii="Arial" w:hAnsi="Arial"/>
        </w:rPr>
        <w:t>?</w:t>
      </w:r>
      <w:bookmarkEnd w:id="1598"/>
    </w:p>
    <w:p w14:paraId="09B68324" w14:textId="28493043" w:rsidR="001757D6" w:rsidRPr="00AC41E0" w:rsidRDefault="001757D6" w:rsidP="00D4137E">
      <w:pPr>
        <w:pStyle w:val="DCSbodytext"/>
        <w:ind w:left="868"/>
      </w:pPr>
      <w:r w:rsidRPr="00AC41E0">
        <w:t>Spatial data refers to the location, shape</w:t>
      </w:r>
      <w:r w:rsidR="00016C34" w:rsidRPr="00AC41E0">
        <w:t>,</w:t>
      </w:r>
      <w:r w:rsidRPr="00AC41E0">
        <w:t xml:space="preserve"> and size of an object tied to the Earth’s surface. Datums</w:t>
      </w:r>
      <w:r w:rsidR="001D08D3" w:rsidRPr="00AC41E0">
        <w:t xml:space="preserve"> provide the conventions by which coordinates in latitude and longitude (or other coordinate types) and height describe the real-world location of features on the Earth.</w:t>
      </w:r>
    </w:p>
    <w:p w14:paraId="39D1A045" w14:textId="25647F2A" w:rsidR="001757D6" w:rsidRPr="00AC41E0" w:rsidRDefault="001757D6" w:rsidP="00D4137E">
      <w:pPr>
        <w:pStyle w:val="DCSbodytext"/>
        <w:ind w:left="868"/>
      </w:pPr>
      <w:r w:rsidRPr="00AC41E0">
        <w:t>A road map is a common example of spatial data. The location of cities, roads</w:t>
      </w:r>
      <w:r w:rsidR="00016C34" w:rsidRPr="00AC41E0">
        <w:t>,</w:t>
      </w:r>
      <w:r w:rsidRPr="00AC41E0">
        <w:t xml:space="preserve"> and boundaries that exist on the surface of the Earth are projected onto the map, preserving the relative positions and distances. The data that indicates the Earth</w:t>
      </w:r>
      <w:r w:rsidR="00016C34" w:rsidRPr="00AC41E0">
        <w:t>'s</w:t>
      </w:r>
      <w:r w:rsidRPr="00AC41E0">
        <w:t xml:space="preserve"> location of these cities, roads</w:t>
      </w:r>
      <w:r w:rsidR="00016C34" w:rsidRPr="00AC41E0">
        <w:t>,</w:t>
      </w:r>
      <w:r w:rsidRPr="00AC41E0">
        <w:t xml:space="preserve"> and boundaries (i.e. longitude and latitude) is the spatial data.</w:t>
      </w:r>
    </w:p>
    <w:p w14:paraId="39FE46A4" w14:textId="5048C771" w:rsidR="001757D6" w:rsidRPr="00AC41E0" w:rsidRDefault="001757D6" w:rsidP="00D4137E">
      <w:pPr>
        <w:pStyle w:val="Heading3"/>
        <w:ind w:left="868"/>
        <w:rPr>
          <w:rFonts w:ascii="Arial" w:hAnsi="Arial"/>
        </w:rPr>
      </w:pPr>
      <w:bookmarkStart w:id="1599" w:name="_Toc65760578"/>
      <w:r w:rsidRPr="00AC41E0">
        <w:rPr>
          <w:rFonts w:ascii="Arial" w:hAnsi="Arial"/>
        </w:rPr>
        <w:t>Introduction to the NSW Digital Twin</w:t>
      </w:r>
      <w:bookmarkEnd w:id="1599"/>
    </w:p>
    <w:p w14:paraId="048A405E" w14:textId="77777777" w:rsidR="002F2211" w:rsidRPr="00AC41E0" w:rsidRDefault="002F2211" w:rsidP="002F2211">
      <w:pPr>
        <w:pStyle w:val="DCSbodytext"/>
        <w:ind w:left="868"/>
        <w:rPr>
          <w:rFonts w:eastAsiaTheme="minorHAnsi"/>
          <w:sz w:val="20"/>
          <w:szCs w:val="20"/>
        </w:rPr>
      </w:pPr>
      <w:r w:rsidRPr="00E46FB0">
        <w:t>The NSW Government is developing a Spatial Digital Twin, or digital model, of NSW that is supported by an ecosystem of data, platforms, infrastructure and gov</w:t>
      </w:r>
      <w:r w:rsidRPr="00AC41E0">
        <w:t xml:space="preserve">ernance arrangements. It will be relevant for urban and regional planning and development, </w:t>
      </w:r>
      <w:r w:rsidRPr="00AC41E0">
        <w:lastRenderedPageBreak/>
        <w:t>emergency management, natural resource management and environmental management. The NSW Spatial Digital Twin will provide the platform upon which government, developers and residents are able to visualise, plan, develop and assess infrastructure (such as transport links), new community facilities, public spaces, and homes.</w:t>
      </w:r>
    </w:p>
    <w:p w14:paraId="46D40A86" w14:textId="77777777" w:rsidR="002F2211" w:rsidRPr="00AC41E0" w:rsidRDefault="002F2211" w:rsidP="002F2211">
      <w:pPr>
        <w:pStyle w:val="DCSbodytext"/>
        <w:ind w:left="868"/>
      </w:pPr>
      <w:r w:rsidRPr="00AC41E0">
        <w:t xml:space="preserve">Currently in NSW authoritative 2D foundation spatial data – that is, a map of the State – is used across government, industry and the community to inform decision making and planning. However, 2D foundation spatial data does not leverage the full capabilities of emerging systems, platforms, digital modelling, and monitoring of our natural and built environments. Increasingly infrastructure will be planned, delivered and operated using digital models. </w:t>
      </w:r>
    </w:p>
    <w:p w14:paraId="4FA48F3F" w14:textId="77777777" w:rsidR="002F2211" w:rsidRPr="00AC41E0" w:rsidRDefault="002F2211" w:rsidP="002F2211">
      <w:pPr>
        <w:pStyle w:val="DCSbodytext"/>
        <w:ind w:left="868"/>
      </w:pPr>
      <w:r w:rsidRPr="00AC41E0">
        <w:t xml:space="preserve">The development of an effective digital model that contains four-dimensional (4D) data sources must include a foundational layer of authoritative 4D spatial data (4D means 3D visualisation with the ability to move forwards and backwards in time). Once a foundation layer is available, specific information can then be overlaid to inform planning for future infrastructure and maintenance of current infrastructure, creating a digital twin that mimics real-world behaviour. </w:t>
      </w:r>
    </w:p>
    <w:p w14:paraId="7718322F" w14:textId="77777777" w:rsidR="002F2211" w:rsidRPr="00AC41E0" w:rsidRDefault="002F2211" w:rsidP="002F2211">
      <w:pPr>
        <w:pStyle w:val="DCSbodytext"/>
        <w:spacing w:after="120"/>
        <w:ind w:left="868"/>
      </w:pPr>
      <w:r w:rsidRPr="00AC41E0">
        <w:t>The benefits derived from a digital twin include:</w:t>
      </w:r>
    </w:p>
    <w:p w14:paraId="764A2E28" w14:textId="77777777" w:rsidR="002F2211" w:rsidRPr="00AC41E0" w:rsidRDefault="002F2211" w:rsidP="00024B99">
      <w:pPr>
        <w:pStyle w:val="DCSbodytext"/>
        <w:numPr>
          <w:ilvl w:val="0"/>
          <w:numId w:val="157"/>
        </w:numPr>
        <w:spacing w:after="120"/>
      </w:pPr>
      <w:r w:rsidRPr="00AC41E0">
        <w:t xml:space="preserve">reducing the cost of capital projects and operating costs of infrastructure </w:t>
      </w:r>
    </w:p>
    <w:p w14:paraId="16D9A2C1" w14:textId="77777777" w:rsidR="002F2211" w:rsidRPr="00AC41E0" w:rsidRDefault="002F2211" w:rsidP="00024B99">
      <w:pPr>
        <w:pStyle w:val="DCSbodytext"/>
        <w:numPr>
          <w:ilvl w:val="0"/>
          <w:numId w:val="157"/>
        </w:numPr>
        <w:spacing w:after="120"/>
      </w:pPr>
      <w:r w:rsidRPr="00AC41E0">
        <w:t>supporting the construction sector to adopt digital technology</w:t>
      </w:r>
    </w:p>
    <w:p w14:paraId="36458115" w14:textId="77777777" w:rsidR="002F2211" w:rsidRPr="00AC41E0" w:rsidRDefault="002F2211" w:rsidP="00024B99">
      <w:pPr>
        <w:pStyle w:val="DCSbodytext"/>
        <w:numPr>
          <w:ilvl w:val="0"/>
          <w:numId w:val="157"/>
        </w:numPr>
        <w:spacing w:after="120"/>
      </w:pPr>
      <w:r w:rsidRPr="00AC41E0">
        <w:t xml:space="preserve">exploring skills and services in digital technology </w:t>
      </w:r>
    </w:p>
    <w:p w14:paraId="472A5773" w14:textId="426C5233" w:rsidR="002F2211" w:rsidRPr="00AC41E0" w:rsidRDefault="002F2211" w:rsidP="00024B99">
      <w:pPr>
        <w:pStyle w:val="DCSbodytext"/>
        <w:numPr>
          <w:ilvl w:val="0"/>
          <w:numId w:val="157"/>
        </w:numPr>
        <w:spacing w:after="120"/>
      </w:pPr>
      <w:r w:rsidRPr="00AC41E0">
        <w:t>creating real-time learning opportunities by providing access to digital models and improving whole of life integration of infrastructure and place.</w:t>
      </w:r>
    </w:p>
    <w:p w14:paraId="77FB8B6E" w14:textId="77777777" w:rsidR="001757D6" w:rsidRPr="00AC41E0" w:rsidRDefault="001757D6" w:rsidP="00D4137E">
      <w:pPr>
        <w:pStyle w:val="Heading3"/>
        <w:ind w:left="868"/>
        <w:rPr>
          <w:rFonts w:ascii="Arial" w:hAnsi="Arial"/>
        </w:rPr>
      </w:pPr>
      <w:bookmarkStart w:id="1600" w:name="_Toc65760579"/>
      <w:r w:rsidRPr="00AC41E0">
        <w:rPr>
          <w:rFonts w:ascii="Arial" w:hAnsi="Arial"/>
        </w:rPr>
        <w:t>Recording IoT device position to meet spatial data requirements</w:t>
      </w:r>
      <w:bookmarkEnd w:id="1600"/>
    </w:p>
    <w:p w14:paraId="0820F027" w14:textId="77777777" w:rsidR="001757D6" w:rsidRPr="00AC41E0" w:rsidRDefault="001757D6" w:rsidP="00D4137E">
      <w:pPr>
        <w:pStyle w:val="Heading4"/>
        <w:tabs>
          <w:tab w:val="clear" w:pos="1588"/>
          <w:tab w:val="num" w:pos="1662"/>
        </w:tabs>
        <w:ind w:left="1662"/>
        <w:rPr>
          <w:rFonts w:ascii="Arial" w:hAnsi="Arial"/>
        </w:rPr>
      </w:pPr>
      <w:r w:rsidRPr="00AC41E0">
        <w:rPr>
          <w:rFonts w:ascii="Arial" w:hAnsi="Arial"/>
        </w:rPr>
        <w:t>Importance of recording IoT device position correctly</w:t>
      </w:r>
    </w:p>
    <w:p w14:paraId="72A9BEF0" w14:textId="57212168" w:rsidR="001757D6" w:rsidRPr="00AC41E0" w:rsidRDefault="001757D6" w:rsidP="00D4137E">
      <w:pPr>
        <w:pStyle w:val="DCSbodytext"/>
        <w:ind w:left="868"/>
        <w:rPr>
          <w:rFonts w:eastAsia="Calibri"/>
        </w:rPr>
      </w:pPr>
      <w:r w:rsidRPr="00AC41E0">
        <w:rPr>
          <w:rFonts w:eastAsia="Calibri"/>
        </w:rPr>
        <w:t xml:space="preserve">Mobile and stationary IoT devices </w:t>
      </w:r>
      <w:r w:rsidRPr="00AC41E0">
        <w:t xml:space="preserve">frequently </w:t>
      </w:r>
      <w:r w:rsidR="000263E4" w:rsidRPr="00AC41E0">
        <w:t xml:space="preserve">communicate </w:t>
      </w:r>
      <w:r w:rsidRPr="00AC41E0">
        <w:t>their position, time and status, and</w:t>
      </w:r>
      <w:r w:rsidR="000263E4" w:rsidRPr="00AC41E0">
        <w:t xml:space="preserve"> may</w:t>
      </w:r>
      <w:r w:rsidRPr="00AC41E0">
        <w:t xml:space="preserve"> pass this </w:t>
      </w:r>
      <w:r w:rsidRPr="00AC41E0">
        <w:rPr>
          <w:rFonts w:eastAsia="Calibri"/>
        </w:rPr>
        <w:t>information onto third part</w:t>
      </w:r>
      <w:r w:rsidR="000263E4" w:rsidRPr="00AC41E0">
        <w:rPr>
          <w:rFonts w:eastAsia="Calibri"/>
        </w:rPr>
        <w:t>y systems</w:t>
      </w:r>
      <w:r w:rsidRPr="00AC41E0">
        <w:rPr>
          <w:rFonts w:eastAsia="Calibri"/>
        </w:rPr>
        <w:t>. An example of this is Cooperative Intelligent Transport Systems (connected vehicles) which uses IoT to enable real-time wireless communication between vehicles, roadside infrastructure, mobile devices</w:t>
      </w:r>
      <w:r w:rsidR="00016C34" w:rsidRPr="00AC41E0">
        <w:rPr>
          <w:rFonts w:eastAsia="Calibri"/>
        </w:rPr>
        <w:t>,</w:t>
      </w:r>
      <w:r w:rsidRPr="00AC41E0">
        <w:rPr>
          <w:rFonts w:eastAsia="Calibri"/>
        </w:rPr>
        <w:t xml:space="preserve"> and back-office systems to improve the transport network. </w:t>
      </w:r>
    </w:p>
    <w:p w14:paraId="750EF4EC" w14:textId="3E4E8FB6" w:rsidR="001757D6" w:rsidRPr="00AC41E0" w:rsidRDefault="001757D6" w:rsidP="00D4137E">
      <w:pPr>
        <w:pStyle w:val="DCSbodytext"/>
        <w:spacing w:after="120"/>
        <w:ind w:left="868"/>
        <w:rPr>
          <w:rFonts w:eastAsia="Calibri"/>
        </w:rPr>
      </w:pPr>
      <w:r w:rsidRPr="00AC41E0">
        <w:rPr>
          <w:rFonts w:eastAsia="Calibri"/>
        </w:rPr>
        <w:t>To communicate effectively, IoT devices must be clear on</w:t>
      </w:r>
      <w:r w:rsidR="003D50EB" w:rsidRPr="00AC41E0">
        <w:rPr>
          <w:rFonts w:eastAsia="Calibri"/>
        </w:rPr>
        <w:t xml:space="preserve"> the</w:t>
      </w:r>
      <w:r w:rsidRPr="00AC41E0">
        <w:rPr>
          <w:rFonts w:eastAsia="Calibri"/>
        </w:rPr>
        <w:t>:</w:t>
      </w:r>
    </w:p>
    <w:p w14:paraId="59D6E5C3" w14:textId="66EC0205" w:rsidR="001757D6" w:rsidRPr="00AC41E0" w:rsidRDefault="001757D6" w:rsidP="00D4137E">
      <w:pPr>
        <w:pStyle w:val="DCSbodytext"/>
        <w:numPr>
          <w:ilvl w:val="0"/>
          <w:numId w:val="18"/>
        </w:numPr>
        <w:spacing w:after="120"/>
        <w:ind w:left="1228"/>
      </w:pPr>
      <w:r w:rsidRPr="00AC41E0">
        <w:rPr>
          <w:rFonts w:eastAsia="Calibri"/>
        </w:rPr>
        <w:t xml:space="preserve">datum in which they express their position </w:t>
      </w:r>
    </w:p>
    <w:p w14:paraId="24395690" w14:textId="07166FE8" w:rsidR="001757D6" w:rsidRPr="00AC41E0" w:rsidRDefault="001757D6" w:rsidP="00D4137E">
      <w:pPr>
        <w:pStyle w:val="DCSbodytext"/>
        <w:numPr>
          <w:ilvl w:val="0"/>
          <w:numId w:val="18"/>
        </w:numPr>
        <w:spacing w:after="120"/>
        <w:ind w:left="1228"/>
      </w:pPr>
      <w:r w:rsidRPr="00AC41E0">
        <w:rPr>
          <w:rFonts w:eastAsia="Calibri"/>
        </w:rPr>
        <w:t>date and time that the dataset measured</w:t>
      </w:r>
    </w:p>
    <w:p w14:paraId="46BA9B4B" w14:textId="02CFD4F4" w:rsidR="001757D6" w:rsidRPr="00AC41E0" w:rsidRDefault="001757D6" w:rsidP="00D4137E">
      <w:pPr>
        <w:pStyle w:val="DCSbodytext"/>
        <w:numPr>
          <w:ilvl w:val="0"/>
          <w:numId w:val="18"/>
        </w:numPr>
        <w:ind w:left="1228"/>
      </w:pPr>
      <w:r w:rsidRPr="00AC41E0">
        <w:rPr>
          <w:rFonts w:eastAsia="Calibri"/>
        </w:rPr>
        <w:t>quality of the data measured.</w:t>
      </w:r>
    </w:p>
    <w:p w14:paraId="7FE462EF" w14:textId="623F0A84" w:rsidR="001757D6" w:rsidRPr="00AC41E0" w:rsidRDefault="001757D6" w:rsidP="00D4137E">
      <w:pPr>
        <w:pStyle w:val="DCSbodytext"/>
        <w:ind w:left="868"/>
      </w:pPr>
      <w:r w:rsidRPr="00AC41E0">
        <w:t xml:space="preserve">An </w:t>
      </w:r>
      <w:r w:rsidR="00AA02EC" w:rsidRPr="00AC41E0">
        <w:t>i</w:t>
      </w:r>
      <w:r w:rsidRPr="00AC41E0">
        <w:t>ntelligent Geographic Information System (GIS) should consume data in any nominated datum and translate between datums using established standards.</w:t>
      </w:r>
    </w:p>
    <w:p w14:paraId="77B47118" w14:textId="77777777" w:rsidR="001757D6" w:rsidRPr="00AC41E0" w:rsidRDefault="001757D6" w:rsidP="00D4137E">
      <w:pPr>
        <w:pStyle w:val="Heading4"/>
        <w:tabs>
          <w:tab w:val="clear" w:pos="1588"/>
          <w:tab w:val="num" w:pos="1662"/>
        </w:tabs>
        <w:ind w:left="1662"/>
        <w:rPr>
          <w:rFonts w:ascii="Arial" w:hAnsi="Arial"/>
        </w:rPr>
      </w:pPr>
      <w:r w:rsidRPr="00AC41E0">
        <w:rPr>
          <w:rFonts w:ascii="Arial" w:hAnsi="Arial"/>
        </w:rPr>
        <w:lastRenderedPageBreak/>
        <w:t>Requirements for IoT device spatial data</w:t>
      </w:r>
    </w:p>
    <w:p w14:paraId="606392BD" w14:textId="43F0BB91" w:rsidR="001757D6" w:rsidRPr="00AC41E0" w:rsidRDefault="001757D6" w:rsidP="00D4137E">
      <w:pPr>
        <w:pStyle w:val="DCSbodytext"/>
        <w:ind w:left="868"/>
      </w:pPr>
      <w:r w:rsidRPr="00AC41E0">
        <w:t xml:space="preserve">Data collected by IoT devices can be absorbed into the NSW Digital Twin. To enable this, IoT devices </w:t>
      </w:r>
      <w:r w:rsidRPr="00AC41E0">
        <w:rPr>
          <w:b/>
        </w:rPr>
        <w:t>must</w:t>
      </w:r>
      <w:r w:rsidRPr="00AC41E0">
        <w:t>:</w:t>
      </w:r>
    </w:p>
    <w:p w14:paraId="67014196" w14:textId="65F7D009" w:rsidR="001757D6" w:rsidRPr="00AC41E0" w:rsidRDefault="002A3847" w:rsidP="00D4137E">
      <w:pPr>
        <w:pStyle w:val="DCSbodytext"/>
        <w:numPr>
          <w:ilvl w:val="0"/>
          <w:numId w:val="19"/>
        </w:numPr>
        <w:spacing w:after="120"/>
        <w:ind w:left="1225" w:hanging="357"/>
      </w:pPr>
      <w:r w:rsidRPr="00AC41E0">
        <w:rPr>
          <w:rFonts w:eastAsia="Calibri"/>
        </w:rPr>
        <w:t>Record d</w:t>
      </w:r>
      <w:r w:rsidR="001757D6" w:rsidRPr="00AC41E0">
        <w:rPr>
          <w:rFonts w:eastAsia="Calibri"/>
        </w:rPr>
        <w:t>evice location, including datum</w:t>
      </w:r>
      <w:r w:rsidR="00F00A09" w:rsidRPr="00AC41E0">
        <w:rPr>
          <w:rFonts w:eastAsia="Calibri"/>
        </w:rPr>
        <w:t>:</w:t>
      </w:r>
    </w:p>
    <w:p w14:paraId="363E0B08" w14:textId="00099F2D" w:rsidR="001757D6" w:rsidRPr="00AC41E0" w:rsidRDefault="00F00A09" w:rsidP="00D4137E">
      <w:pPr>
        <w:pStyle w:val="DCSbodytext"/>
        <w:numPr>
          <w:ilvl w:val="1"/>
          <w:numId w:val="19"/>
        </w:numPr>
        <w:ind w:left="1948"/>
      </w:pPr>
      <w:r w:rsidRPr="00AC41E0">
        <w:rPr>
          <w:rFonts w:eastAsia="Calibri"/>
        </w:rPr>
        <w:t>R</w:t>
      </w:r>
      <w:r w:rsidR="001757D6" w:rsidRPr="00AC41E0">
        <w:rPr>
          <w:rFonts w:eastAsia="Calibri"/>
        </w:rPr>
        <w:t xml:space="preserve">estricted to datums (or Coordinate Reference Systems (CRSs)) defined by existing European Petroleum Survey Group (EPSG) codes, which includes all internationally known and accepted datums/projections (as well as the official transformations between them). GDA 2020 is recommended. </w:t>
      </w:r>
    </w:p>
    <w:p w14:paraId="053A0F32" w14:textId="3B6FF7C9" w:rsidR="001757D6" w:rsidRPr="00AC41E0" w:rsidRDefault="00F00A09" w:rsidP="00D4137E">
      <w:pPr>
        <w:pStyle w:val="DCSbodytext"/>
        <w:numPr>
          <w:ilvl w:val="1"/>
          <w:numId w:val="19"/>
        </w:numPr>
        <w:spacing w:after="120"/>
        <w:ind w:left="1945" w:hanging="357"/>
      </w:pPr>
      <w:r w:rsidRPr="00AC41E0">
        <w:t>R</w:t>
      </w:r>
      <w:r w:rsidR="001757D6" w:rsidRPr="00AC41E0">
        <w:t>efer to Standard Data Format Standard</w:t>
      </w:r>
      <w:r w:rsidRPr="00AC41E0">
        <w:t>:</w:t>
      </w:r>
    </w:p>
    <w:p w14:paraId="1F65AA1D" w14:textId="54D8C96B" w:rsidR="001757D6" w:rsidRPr="00AC41E0" w:rsidRDefault="001757D6" w:rsidP="00D4137E">
      <w:pPr>
        <w:pStyle w:val="DCSbodytext"/>
        <w:numPr>
          <w:ilvl w:val="2"/>
          <w:numId w:val="19"/>
        </w:numPr>
        <w:spacing w:after="120"/>
        <w:ind w:left="2668" w:hanging="357"/>
      </w:pPr>
      <w:r w:rsidRPr="00AC41E0">
        <w:rPr>
          <w:rFonts w:eastAsia="Calibri"/>
        </w:rPr>
        <w:t xml:space="preserve">Refer to ISO19111:2019 Geographic information - Spatial </w:t>
      </w:r>
      <w:r w:rsidR="00A7475C" w:rsidRPr="00AC41E0">
        <w:rPr>
          <w:rFonts w:eastAsia="Calibri"/>
        </w:rPr>
        <w:t>R</w:t>
      </w:r>
      <w:r w:rsidRPr="00AC41E0">
        <w:rPr>
          <w:rFonts w:eastAsia="Calibri"/>
        </w:rPr>
        <w:t xml:space="preserve">eferencing </w:t>
      </w:r>
      <w:r w:rsidR="00A7475C" w:rsidRPr="00AC41E0">
        <w:rPr>
          <w:rFonts w:eastAsia="Calibri"/>
        </w:rPr>
        <w:t>B</w:t>
      </w:r>
      <w:r w:rsidRPr="00AC41E0">
        <w:rPr>
          <w:rFonts w:eastAsia="Calibri"/>
        </w:rPr>
        <w:t xml:space="preserve">y </w:t>
      </w:r>
      <w:r w:rsidR="00A7475C" w:rsidRPr="00AC41E0">
        <w:rPr>
          <w:rFonts w:eastAsia="Calibri"/>
        </w:rPr>
        <w:t>C</w:t>
      </w:r>
      <w:r w:rsidRPr="00AC41E0">
        <w:rPr>
          <w:rFonts w:eastAsia="Calibri"/>
        </w:rPr>
        <w:t>oordinates</w:t>
      </w:r>
    </w:p>
    <w:p w14:paraId="1A3BCFD0" w14:textId="77777777" w:rsidR="001757D6" w:rsidRPr="00AC41E0" w:rsidRDefault="001757D6" w:rsidP="00D4137E">
      <w:pPr>
        <w:pStyle w:val="DCSbodytext"/>
        <w:numPr>
          <w:ilvl w:val="2"/>
          <w:numId w:val="19"/>
        </w:numPr>
        <w:spacing w:after="120"/>
        <w:ind w:left="2668" w:hanging="357"/>
      </w:pPr>
      <w:r w:rsidRPr="00AC41E0">
        <w:rPr>
          <w:rFonts w:eastAsia="Calibri"/>
        </w:rPr>
        <w:t>E.g. XML and JSON formats:</w:t>
      </w:r>
    </w:p>
    <w:p w14:paraId="03A017A9" w14:textId="77777777" w:rsidR="001757D6" w:rsidRPr="00AC41E0" w:rsidRDefault="001757D6" w:rsidP="00D4137E">
      <w:pPr>
        <w:pStyle w:val="DCSbodytext"/>
        <w:numPr>
          <w:ilvl w:val="3"/>
          <w:numId w:val="19"/>
        </w:numPr>
        <w:spacing w:after="0"/>
        <w:ind w:left="3391" w:hanging="357"/>
      </w:pPr>
      <w:r w:rsidRPr="00AC41E0">
        <w:rPr>
          <w:rFonts w:eastAsia="Calibri"/>
        </w:rPr>
        <w:t>Geojson, with inclusion of a defined CRS</w:t>
      </w:r>
    </w:p>
    <w:p w14:paraId="2FB8719B" w14:textId="5BC7176F" w:rsidR="001757D6" w:rsidRPr="00AC41E0" w:rsidRDefault="001757D6" w:rsidP="00D4137E">
      <w:pPr>
        <w:pStyle w:val="DCSbodytext"/>
        <w:numPr>
          <w:ilvl w:val="3"/>
          <w:numId w:val="19"/>
        </w:numPr>
        <w:ind w:left="3388"/>
      </w:pPr>
      <w:r w:rsidRPr="00AC41E0">
        <w:rPr>
          <w:rFonts w:eastAsia="Calibri"/>
        </w:rPr>
        <w:t>Geography Markup Language (GML), see ISO</w:t>
      </w:r>
      <w:r w:rsidR="00F139F6" w:rsidRPr="00AC41E0">
        <w:rPr>
          <w:rFonts w:eastAsia="Calibri"/>
        </w:rPr>
        <w:t xml:space="preserve"> </w:t>
      </w:r>
      <w:r w:rsidRPr="00AC41E0">
        <w:rPr>
          <w:rFonts w:eastAsia="Calibri"/>
        </w:rPr>
        <w:t>19136:2007</w:t>
      </w:r>
    </w:p>
    <w:p w14:paraId="51EB1E86" w14:textId="77777777" w:rsidR="001757D6" w:rsidRPr="00AC41E0" w:rsidRDefault="001757D6" w:rsidP="00D4137E">
      <w:pPr>
        <w:pStyle w:val="DCSbodytext"/>
        <w:numPr>
          <w:ilvl w:val="0"/>
          <w:numId w:val="19"/>
        </w:numPr>
        <w:ind w:left="1228"/>
      </w:pPr>
      <w:r w:rsidRPr="00AC41E0">
        <w:rPr>
          <w:rFonts w:eastAsia="Calibri"/>
        </w:rPr>
        <w:t>Include a time/date stamp for all observations recorded at the device (time zone to be included e.g. AEST, UTC etc.)</w:t>
      </w:r>
    </w:p>
    <w:p w14:paraId="43FEE501" w14:textId="46F69FFB" w:rsidR="001757D6" w:rsidRPr="00AC41E0" w:rsidRDefault="001757D6" w:rsidP="00D4137E">
      <w:pPr>
        <w:pStyle w:val="DCSbodytext"/>
        <w:ind w:left="868"/>
        <w:rPr>
          <w:rFonts w:eastAsia="Calibri"/>
        </w:rPr>
      </w:pPr>
      <w:r w:rsidRPr="00AC41E0">
        <w:rPr>
          <w:rFonts w:eastAsia="Calibri"/>
        </w:rPr>
        <w:t xml:space="preserve">IoT devices </w:t>
      </w:r>
      <w:r w:rsidRPr="00AC41E0">
        <w:rPr>
          <w:rFonts w:eastAsia="Calibri"/>
          <w:b/>
        </w:rPr>
        <w:t>should</w:t>
      </w:r>
      <w:r w:rsidRPr="00AC41E0">
        <w:rPr>
          <w:rFonts w:eastAsia="Calibri"/>
        </w:rPr>
        <w:t xml:space="preserve"> </w:t>
      </w:r>
      <w:r w:rsidR="00BC6473" w:rsidRPr="00AC41E0">
        <w:rPr>
          <w:rFonts w:eastAsia="Calibri"/>
        </w:rPr>
        <w:t xml:space="preserve">also </w:t>
      </w:r>
      <w:r w:rsidRPr="00AC41E0">
        <w:rPr>
          <w:rFonts w:eastAsia="Calibri"/>
        </w:rPr>
        <w:t>record:</w:t>
      </w:r>
    </w:p>
    <w:p w14:paraId="24A4278A" w14:textId="647659A3" w:rsidR="001757D6" w:rsidRPr="00AC41E0" w:rsidRDefault="001757D6" w:rsidP="00D4137E">
      <w:pPr>
        <w:pStyle w:val="DCSbodytext"/>
        <w:numPr>
          <w:ilvl w:val="0"/>
          <w:numId w:val="20"/>
        </w:numPr>
        <w:ind w:left="1228"/>
        <w:rPr>
          <w:rFonts w:eastAsia="Calibri"/>
        </w:rPr>
      </w:pPr>
      <w:r w:rsidRPr="00AC41E0">
        <w:rPr>
          <w:rFonts w:eastAsia="Calibri"/>
        </w:rPr>
        <w:t xml:space="preserve">The time-stamp of the coordinates in the given datum or CRS. Please note </w:t>
      </w:r>
      <w:r w:rsidR="003249BE" w:rsidRPr="00AC41E0">
        <w:rPr>
          <w:rFonts w:eastAsia="Calibri"/>
        </w:rPr>
        <w:t xml:space="preserve">             </w:t>
      </w:r>
      <w:r w:rsidR="00783F47" w:rsidRPr="00AC41E0">
        <w:rPr>
          <w:rFonts w:eastAsia="Calibri"/>
        </w:rPr>
        <w:t>IS</w:t>
      </w:r>
      <w:r w:rsidR="00284F3F" w:rsidRPr="00AC41E0">
        <w:rPr>
          <w:rFonts w:eastAsia="Calibri"/>
        </w:rPr>
        <w:t xml:space="preserve">O </w:t>
      </w:r>
      <w:r w:rsidR="00783F47" w:rsidRPr="00AC41E0">
        <w:rPr>
          <w:rFonts w:eastAsia="Calibri"/>
        </w:rPr>
        <w:t xml:space="preserve">19111:2019 </w:t>
      </w:r>
      <w:r w:rsidRPr="00AC41E0">
        <w:rPr>
          <w:rFonts w:eastAsia="Calibri"/>
        </w:rPr>
        <w:t xml:space="preserve">now supports spatial coordinate reference systems in which coordinate values of points on or near the surface of the </w:t>
      </w:r>
      <w:r w:rsidR="00EA6A5D" w:rsidRPr="00AC41E0">
        <w:rPr>
          <w:rFonts w:eastAsia="Calibri"/>
        </w:rPr>
        <w:t>E</w:t>
      </w:r>
      <w:r w:rsidRPr="00AC41E0">
        <w:rPr>
          <w:rFonts w:eastAsia="Calibri"/>
        </w:rPr>
        <w:t>arth change with time due to tectonic plate motion or other crustal deformation</w:t>
      </w:r>
      <w:r w:rsidR="003D50EB" w:rsidRPr="00AC41E0">
        <w:rPr>
          <w:rFonts w:eastAsia="Calibri"/>
        </w:rPr>
        <w:t>, and</w:t>
      </w:r>
    </w:p>
    <w:p w14:paraId="488D9A3F" w14:textId="33B9F44D" w:rsidR="001757D6" w:rsidRPr="00AC41E0" w:rsidRDefault="001757D6" w:rsidP="00D4137E">
      <w:pPr>
        <w:pStyle w:val="DCSbodytext"/>
        <w:numPr>
          <w:ilvl w:val="0"/>
          <w:numId w:val="20"/>
        </w:numPr>
        <w:ind w:left="1228"/>
      </w:pPr>
      <w:r w:rsidRPr="00AC41E0">
        <w:rPr>
          <w:rFonts w:eastAsia="Calibri"/>
        </w:rPr>
        <w:t>Uncertainty value (expression of how well coordinates are known) for each dataset if possible. While this feature-level metadata is desirable</w:t>
      </w:r>
      <w:r w:rsidRPr="00AC41E0">
        <w:t>, it may not be well catered for by existing standards. At a minimum, location accuracy (known or estimated) should be included in the metadata for the dataset or device.</w:t>
      </w:r>
      <w:r w:rsidR="00961456" w:rsidRPr="00AC41E0">
        <w:rPr>
          <w:noProof/>
        </w:rPr>
        <w:t xml:space="preserve"> </w:t>
      </w:r>
    </w:p>
    <w:bookmarkStart w:id="1601" w:name="_Toc65571493"/>
    <w:bookmarkStart w:id="1602" w:name="_Toc65760580"/>
    <w:p w14:paraId="628BEA9C" w14:textId="02C0668C" w:rsidR="00A57FEC" w:rsidRPr="00E46FB0" w:rsidRDefault="00961456" w:rsidP="0022369F">
      <w:pPr>
        <w:pStyle w:val="Heading3"/>
        <w:numPr>
          <w:ilvl w:val="0"/>
          <w:numId w:val="0"/>
        </w:numPr>
        <w:spacing w:line="600" w:lineRule="auto"/>
        <w:ind w:left="868"/>
        <w:rPr>
          <w:rFonts w:ascii="Arial" w:hAnsi="Arial"/>
        </w:rPr>
      </w:pPr>
      <w:r w:rsidRPr="00E46FB0">
        <w:rPr>
          <w:noProof/>
        </w:rPr>
        <mc:AlternateContent>
          <mc:Choice Requires="wps">
            <w:drawing>
              <wp:inline distT="0" distB="0" distL="0" distR="0" wp14:anchorId="2A2ABC09" wp14:editId="447C816F">
                <wp:extent cx="5305425" cy="922020"/>
                <wp:effectExtent l="0" t="0" r="28575" b="11430"/>
                <wp:docPr id="531754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922020"/>
                        </a:xfrm>
                        <a:prstGeom prst="rect">
                          <a:avLst/>
                        </a:prstGeom>
                        <a:solidFill>
                          <a:schemeClr val="accent1">
                            <a:lumMod val="20000"/>
                            <a:lumOff val="80000"/>
                          </a:schemeClr>
                        </a:solidFill>
                        <a:ln w="9525">
                          <a:solidFill>
                            <a:srgbClr val="000000"/>
                          </a:solidFill>
                          <a:miter lim="800000"/>
                          <a:headEnd/>
                          <a:tailEnd/>
                        </a:ln>
                      </wps:spPr>
                      <wps:txbx>
                        <w:txbxContent>
                          <w:p w14:paraId="57B2F645" w14:textId="77777777" w:rsidR="004A5EF4" w:rsidRDefault="004A5EF4" w:rsidP="00961456">
                            <w:pPr>
                              <w:shd w:val="clear" w:color="auto" w:fill="DBE5F1" w:themeFill="accent1" w:themeFillTint="33"/>
                              <w:rPr>
                                <w:rFonts w:ascii="Arial" w:eastAsia="Calibri" w:hAnsi="Arial" w:cs="Arial"/>
                                <w:sz w:val="22"/>
                                <w:szCs w:val="22"/>
                              </w:rPr>
                            </w:pPr>
                            <w:r w:rsidRPr="0031659F">
                              <w:rPr>
                                <w:rFonts w:ascii="Arial" w:eastAsia="Calibri" w:hAnsi="Arial" w:cs="Arial"/>
                                <w:sz w:val="22"/>
                                <w:szCs w:val="22"/>
                              </w:rPr>
                              <w:t xml:space="preserve">For </w:t>
                            </w:r>
                            <w:r w:rsidRPr="0031659F">
                              <w:rPr>
                                <w:rFonts w:ascii="Arial" w:eastAsia="Calibri" w:hAnsi="Arial" w:cs="Arial"/>
                                <w:b/>
                                <w:bCs/>
                                <w:sz w:val="22"/>
                                <w:szCs w:val="22"/>
                              </w:rPr>
                              <w:t>automation</w:t>
                            </w:r>
                            <w:r w:rsidRPr="0031659F">
                              <w:rPr>
                                <w:rFonts w:ascii="Arial" w:eastAsia="Calibri" w:hAnsi="Arial" w:cs="Arial"/>
                                <w:sz w:val="22"/>
                                <w:szCs w:val="22"/>
                              </w:rPr>
                              <w:t xml:space="preserve"> of sensor to Digital Twin data exchange, a standard data format for communicating location is required: </w:t>
                            </w:r>
                          </w:p>
                          <w:p w14:paraId="079E913B" w14:textId="77777777" w:rsidR="004A5EF4" w:rsidRPr="0031659F" w:rsidRDefault="004A5EF4" w:rsidP="00961456">
                            <w:pPr>
                              <w:shd w:val="clear" w:color="auto" w:fill="DBE5F1" w:themeFill="accent1" w:themeFillTint="33"/>
                              <w:rPr>
                                <w:rFonts w:ascii="Arial" w:eastAsia="Calibri" w:hAnsi="Arial" w:cs="Arial"/>
                                <w:sz w:val="22"/>
                                <w:szCs w:val="22"/>
                              </w:rPr>
                            </w:pPr>
                          </w:p>
                          <w:p w14:paraId="693647F1" w14:textId="77777777" w:rsidR="004A5EF4" w:rsidRPr="0031659F" w:rsidRDefault="004A5EF4" w:rsidP="00961456">
                            <w:pPr>
                              <w:shd w:val="clear" w:color="auto" w:fill="DBE5F1" w:themeFill="accent1" w:themeFillTint="33"/>
                              <w:rPr>
                                <w:rFonts w:ascii="Arial" w:eastAsia="Calibri" w:hAnsi="Arial" w:cs="Arial"/>
                                <w:i/>
                                <w:sz w:val="22"/>
                                <w:szCs w:val="22"/>
                              </w:rPr>
                            </w:pPr>
                            <w:r w:rsidRPr="0031659F">
                              <w:rPr>
                                <w:rFonts w:ascii="Arial" w:eastAsia="Calibri" w:hAnsi="Arial" w:cs="Arial"/>
                                <w:i/>
                                <w:sz w:val="22"/>
                                <w:szCs w:val="22"/>
                              </w:rPr>
                              <w:t xml:space="preserve">Co-ordinates + Datum (i.e. GDA) + Standard </w:t>
                            </w:r>
                            <w:r w:rsidRPr="0031659F">
                              <w:rPr>
                                <w:rFonts w:ascii="Arial" w:eastAsia="Calibri" w:hAnsi="Arial" w:cs="Arial"/>
                                <w:i/>
                                <w:sz w:val="22"/>
                                <w:szCs w:val="22"/>
                              </w:rPr>
                              <w:t>(geojson, GML, etc.) + time and date (include time zone)</w:t>
                            </w:r>
                          </w:p>
                          <w:p w14:paraId="6272DBA4" w14:textId="77777777" w:rsidR="004A5EF4" w:rsidRPr="0031659F" w:rsidRDefault="004A5EF4" w:rsidP="00961456">
                            <w:pPr>
                              <w:shd w:val="clear" w:color="auto" w:fill="DBE5F1" w:themeFill="accent1" w:themeFillTint="33"/>
                              <w:rPr>
                                <w:rFonts w:ascii="Arial" w:hAnsi="Arial" w:cs="Arial"/>
                                <w:sz w:val="22"/>
                                <w:szCs w:val="22"/>
                              </w:rPr>
                            </w:pPr>
                          </w:p>
                          <w:p w14:paraId="6B60FC6A" w14:textId="77777777" w:rsidR="004A5EF4" w:rsidRPr="0031659F" w:rsidRDefault="004A5EF4" w:rsidP="00961456">
                            <w:pPr>
                              <w:shd w:val="clear" w:color="auto" w:fill="DBE5F1" w:themeFill="accent1" w:themeFillTint="33"/>
                              <w:rPr>
                                <w:rFonts w:ascii="Arial" w:hAnsi="Arial" w:cs="Arial"/>
                                <w:sz w:val="22"/>
                                <w:szCs w:val="22"/>
                              </w:rPr>
                            </w:pPr>
                          </w:p>
                        </w:txbxContent>
                      </wps:txbx>
                      <wps:bodyPr rot="0" vert="horz" wrap="square" lIns="91440" tIns="45720" rIns="91440" bIns="45720" anchor="t" anchorCtr="0">
                        <a:noAutofit/>
                      </wps:bodyPr>
                    </wps:wsp>
                  </a:graphicData>
                </a:graphic>
              </wp:inline>
            </w:drawing>
          </mc:Choice>
          <mc:Fallback>
            <w:pict>
              <v:shape w14:anchorId="2A2ABC09" id="_x0000_s1041" type="#_x0000_t202" style="width:417.75pt;height:7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" fillcolor="#dbe5f1 [660]">
                <v:textbox>
                  <w:txbxContent>
                    <w:p w14:paraId="57B2F645" w14:textId="77777777" w:rsidR="004A5EF4" w:rsidRDefault="004A5EF4" w:rsidP="00961456">
                      <w:pPr>
                        <w:shd w:val="clear" w:color="auto" w:fill="DBE5F1" w:themeFill="accent1" w:themeFillTint="33"/>
                        <w:rPr>
                          <w:rFonts w:ascii="Arial" w:eastAsia="Calibri" w:hAnsi="Arial" w:cs="Arial"/>
                          <w:sz w:val="22"/>
                          <w:szCs w:val="22"/>
                        </w:rPr>
                      </w:pPr>
                      <w:r w:rsidRPr="0031659F">
                        <w:rPr>
                          <w:rFonts w:ascii="Arial" w:eastAsia="Calibri" w:hAnsi="Arial" w:cs="Arial"/>
                          <w:sz w:val="22"/>
                          <w:szCs w:val="22"/>
                        </w:rPr>
                        <w:t xml:space="preserve">For </w:t>
                      </w:r>
                      <w:r w:rsidRPr="0031659F">
                        <w:rPr>
                          <w:rFonts w:ascii="Arial" w:eastAsia="Calibri" w:hAnsi="Arial" w:cs="Arial"/>
                          <w:b/>
                          <w:bCs/>
                          <w:sz w:val="22"/>
                          <w:szCs w:val="22"/>
                        </w:rPr>
                        <w:t>automation</w:t>
                      </w:r>
                      <w:r w:rsidRPr="0031659F">
                        <w:rPr>
                          <w:rFonts w:ascii="Arial" w:eastAsia="Calibri" w:hAnsi="Arial" w:cs="Arial"/>
                          <w:sz w:val="22"/>
                          <w:szCs w:val="22"/>
                        </w:rPr>
                        <w:t xml:space="preserve"> of sensor to Digital Twin data exchange, a standard data format for communicating location is required: </w:t>
                      </w:r>
                    </w:p>
                    <w:p w14:paraId="079E913B" w14:textId="77777777" w:rsidR="004A5EF4" w:rsidRPr="0031659F" w:rsidRDefault="004A5EF4" w:rsidP="00961456">
                      <w:pPr>
                        <w:shd w:val="clear" w:color="auto" w:fill="DBE5F1" w:themeFill="accent1" w:themeFillTint="33"/>
                        <w:rPr>
                          <w:rFonts w:ascii="Arial" w:eastAsia="Calibri" w:hAnsi="Arial" w:cs="Arial"/>
                          <w:sz w:val="22"/>
                          <w:szCs w:val="22"/>
                        </w:rPr>
                      </w:pPr>
                    </w:p>
                    <w:p w14:paraId="693647F1" w14:textId="77777777" w:rsidR="004A5EF4" w:rsidRPr="0031659F" w:rsidRDefault="004A5EF4" w:rsidP="00961456">
                      <w:pPr>
                        <w:shd w:val="clear" w:color="auto" w:fill="DBE5F1" w:themeFill="accent1" w:themeFillTint="33"/>
                        <w:rPr>
                          <w:rFonts w:ascii="Arial" w:eastAsia="Calibri" w:hAnsi="Arial" w:cs="Arial"/>
                          <w:i/>
                          <w:sz w:val="22"/>
                          <w:szCs w:val="22"/>
                        </w:rPr>
                      </w:pPr>
                      <w:r w:rsidRPr="0031659F">
                        <w:rPr>
                          <w:rFonts w:ascii="Arial" w:eastAsia="Calibri" w:hAnsi="Arial" w:cs="Arial"/>
                          <w:i/>
                          <w:sz w:val="22"/>
                          <w:szCs w:val="22"/>
                        </w:rPr>
                        <w:t>Co-ordinates + Datum (i.e. GDA) + Standard (</w:t>
                      </w:r>
                      <w:proofErr w:type="spellStart"/>
                      <w:r w:rsidRPr="0031659F">
                        <w:rPr>
                          <w:rFonts w:ascii="Arial" w:eastAsia="Calibri" w:hAnsi="Arial" w:cs="Arial"/>
                          <w:i/>
                          <w:sz w:val="22"/>
                          <w:szCs w:val="22"/>
                        </w:rPr>
                        <w:t>geojson</w:t>
                      </w:r>
                      <w:proofErr w:type="spellEnd"/>
                      <w:r w:rsidRPr="0031659F">
                        <w:rPr>
                          <w:rFonts w:ascii="Arial" w:eastAsia="Calibri" w:hAnsi="Arial" w:cs="Arial"/>
                          <w:i/>
                          <w:sz w:val="22"/>
                          <w:szCs w:val="22"/>
                        </w:rPr>
                        <w:t>, GML, etc.) + time and date (include time zone)</w:t>
                      </w:r>
                    </w:p>
                    <w:p w14:paraId="6272DBA4" w14:textId="77777777" w:rsidR="004A5EF4" w:rsidRPr="0031659F" w:rsidRDefault="004A5EF4" w:rsidP="00961456">
                      <w:pPr>
                        <w:shd w:val="clear" w:color="auto" w:fill="DBE5F1" w:themeFill="accent1" w:themeFillTint="33"/>
                        <w:rPr>
                          <w:rFonts w:ascii="Arial" w:hAnsi="Arial" w:cs="Arial"/>
                          <w:sz w:val="22"/>
                          <w:szCs w:val="22"/>
                        </w:rPr>
                      </w:pPr>
                    </w:p>
                    <w:p w14:paraId="6B60FC6A" w14:textId="77777777" w:rsidR="004A5EF4" w:rsidRPr="0031659F" w:rsidRDefault="004A5EF4" w:rsidP="00961456">
                      <w:pPr>
                        <w:shd w:val="clear" w:color="auto" w:fill="DBE5F1" w:themeFill="accent1" w:themeFillTint="33"/>
                        <w:rPr>
                          <w:rFonts w:ascii="Arial" w:hAnsi="Arial" w:cs="Arial"/>
                          <w:sz w:val="22"/>
                          <w:szCs w:val="22"/>
                        </w:rPr>
                      </w:pPr>
                    </w:p>
                  </w:txbxContent>
                </v:textbox>
                <w10:anchorlock/>
              </v:shape>
            </w:pict>
          </mc:Fallback>
        </mc:AlternateContent>
      </w:r>
      <w:bookmarkEnd w:id="1601"/>
      <w:bookmarkEnd w:id="1602"/>
    </w:p>
    <w:p w14:paraId="283A6776" w14:textId="5A3947FF" w:rsidR="001757D6" w:rsidRPr="00AC41E0" w:rsidRDefault="001757D6" w:rsidP="00D4137E">
      <w:pPr>
        <w:pStyle w:val="Heading3"/>
        <w:ind w:left="868"/>
        <w:rPr>
          <w:rFonts w:ascii="Arial" w:hAnsi="Arial"/>
        </w:rPr>
      </w:pPr>
      <w:bookmarkStart w:id="1603" w:name="_Toc65760581"/>
      <w:r w:rsidRPr="00AC41E0">
        <w:rPr>
          <w:rFonts w:ascii="Arial" w:hAnsi="Arial"/>
        </w:rPr>
        <w:t>GDA2020 and the Australian Terrestrial Reference Frame</w:t>
      </w:r>
      <w:bookmarkEnd w:id="1603"/>
    </w:p>
    <w:p w14:paraId="639FDFA0" w14:textId="6C44A37F" w:rsidR="001757D6" w:rsidRPr="00AC41E0" w:rsidRDefault="002469AD" w:rsidP="00D4137E">
      <w:pPr>
        <w:pStyle w:val="DCSbodytext"/>
        <w:ind w:left="868"/>
        <w:rPr>
          <w:rFonts w:eastAsia="Calibri"/>
        </w:rPr>
      </w:pPr>
      <w:r w:rsidRPr="00AC41E0">
        <w:rPr>
          <w:rFonts w:eastAsia="Calibri"/>
        </w:rPr>
        <w:t>In October 2017</w:t>
      </w:r>
      <w:r w:rsidR="001757D6" w:rsidRPr="00AC41E0">
        <w:rPr>
          <w:rFonts w:eastAsia="Calibri"/>
        </w:rPr>
        <w:t xml:space="preserve"> GDA2020 superseded GDA94 as the new National Datum of Australia. Since then NSW Government has been working to make data and services available in GDA2020 </w:t>
      </w:r>
      <w:r w:rsidR="00AA69AE" w:rsidRPr="00AC41E0">
        <w:rPr>
          <w:rFonts w:eastAsia="Calibri"/>
        </w:rPr>
        <w:t xml:space="preserve">to </w:t>
      </w:r>
      <w:r w:rsidR="001757D6" w:rsidRPr="00AC41E0">
        <w:rPr>
          <w:rFonts w:eastAsia="Calibri"/>
        </w:rPr>
        <w:t>support high-precision positioning applications like IoT.</w:t>
      </w:r>
    </w:p>
    <w:p w14:paraId="0752DB17" w14:textId="1B0ACEC6" w:rsidR="001757D6" w:rsidRPr="00AC41E0" w:rsidRDefault="001757D6" w:rsidP="00D4137E">
      <w:pPr>
        <w:pStyle w:val="DCSbodytext"/>
        <w:ind w:left="868"/>
        <w:rPr>
          <w:rFonts w:eastAsia="Calibri"/>
        </w:rPr>
      </w:pPr>
      <w:r w:rsidRPr="00AC41E0">
        <w:rPr>
          <w:rFonts w:eastAsia="Calibri"/>
        </w:rPr>
        <w:t xml:space="preserve">It is expected that from 2023 the continued movement of the Australian tectonic plate (approximately 7cm per year) will necessitate a transition to time-dependent coordination. </w:t>
      </w:r>
      <w:r w:rsidRPr="00AC41E0">
        <w:rPr>
          <w:rFonts w:eastAsia="Calibri"/>
        </w:rPr>
        <w:lastRenderedPageBreak/>
        <w:t>In Australia</w:t>
      </w:r>
      <w:r w:rsidR="00F00A01" w:rsidRPr="00AC41E0">
        <w:rPr>
          <w:rFonts w:eastAsia="Calibri"/>
        </w:rPr>
        <w:t>,</w:t>
      </w:r>
      <w:r w:rsidRPr="00AC41E0">
        <w:rPr>
          <w:rFonts w:eastAsia="Calibri"/>
        </w:rPr>
        <w:t xml:space="preserve"> the Australian Terrestrial Reference Frame (ATRF), along with GDA2020, will cater </w:t>
      </w:r>
      <w:r w:rsidR="00F00A01" w:rsidRPr="00AC41E0">
        <w:rPr>
          <w:rFonts w:eastAsia="Calibri"/>
        </w:rPr>
        <w:t>to</w:t>
      </w:r>
      <w:r w:rsidRPr="00AC41E0">
        <w:rPr>
          <w:rFonts w:eastAsia="Calibri"/>
        </w:rPr>
        <w:t xml:space="preserve"> this need.</w:t>
      </w:r>
    </w:p>
    <w:p w14:paraId="10ABAC4B" w14:textId="23ABBC79" w:rsidR="001757D6" w:rsidRPr="00AC41E0" w:rsidRDefault="001757D6" w:rsidP="00D4137E">
      <w:pPr>
        <w:pStyle w:val="DCSbodytext"/>
        <w:ind w:left="868"/>
        <w:rPr>
          <w:rStyle w:val="Hyperlink"/>
          <w:color w:val="auto"/>
          <w:u w:val="none"/>
        </w:rPr>
      </w:pPr>
      <w:r w:rsidRPr="00AC41E0">
        <w:rPr>
          <w:rFonts w:eastAsia="Calibri"/>
        </w:rPr>
        <w:t>More information on the adoption of GDA2020 and ATRF</w:t>
      </w:r>
      <w:r w:rsidRPr="00AC41E0">
        <w:t xml:space="preserve"> is available from the </w:t>
      </w:r>
      <w:hyperlink r:id="rId260" w:history="1">
        <w:r w:rsidRPr="00AC41E0">
          <w:rPr>
            <w:rStyle w:val="Hyperlink"/>
          </w:rPr>
          <w:t>Intergovernmental Committee on Surveying and Mapping</w:t>
        </w:r>
      </w:hyperlink>
      <w:r w:rsidR="00435C57" w:rsidRPr="00E46FB0">
        <w:t xml:space="preserve"> and </w:t>
      </w:r>
      <w:r w:rsidR="00E06738" w:rsidRPr="00AC41E0">
        <w:t xml:space="preserve">on the </w:t>
      </w:r>
      <w:hyperlink r:id="rId261" w:history="1">
        <w:r w:rsidR="00E06738" w:rsidRPr="00AC41E0">
          <w:rPr>
            <w:rStyle w:val="Hyperlink"/>
          </w:rPr>
          <w:t>NSW Spatial Services website</w:t>
        </w:r>
      </w:hyperlink>
      <w:r w:rsidR="00125A08" w:rsidRPr="00E46FB0">
        <w:rPr>
          <w:rStyle w:val="Hyperlink"/>
        </w:rPr>
        <w:t>.</w:t>
      </w:r>
    </w:p>
    <w:p w14:paraId="24FD6FCC" w14:textId="77777777" w:rsidR="001757D6" w:rsidRPr="00AC41E0" w:rsidRDefault="001757D6" w:rsidP="00D4137E">
      <w:pPr>
        <w:pStyle w:val="Heading3"/>
        <w:ind w:left="868"/>
        <w:rPr>
          <w:rStyle w:val="Hyperlink"/>
          <w:rFonts w:ascii="Arial" w:hAnsi="Arial" w:cs="Times New Roman"/>
          <w:b w:val="0"/>
          <w:color w:val="000000"/>
          <w:sz w:val="22"/>
          <w:szCs w:val="24"/>
          <w:u w:val="none"/>
          <w:lang w:eastAsia="en-US"/>
        </w:rPr>
      </w:pPr>
      <w:bookmarkStart w:id="1604" w:name="_Toc65760582"/>
      <w:r w:rsidRPr="00AC41E0">
        <w:rPr>
          <w:rFonts w:ascii="Arial" w:hAnsi="Arial"/>
        </w:rPr>
        <w:t>Positioning standards</w:t>
      </w:r>
      <w:bookmarkEnd w:id="1604"/>
    </w:p>
    <w:p w14:paraId="55651EF2" w14:textId="13354406" w:rsidR="00C92CBF" w:rsidRPr="00AC41E0" w:rsidRDefault="001757D6" w:rsidP="00D4137E">
      <w:pPr>
        <w:pStyle w:val="DCSbodytext"/>
        <w:ind w:left="868"/>
        <w:rPr>
          <w:rStyle w:val="Hyperlink"/>
          <w:color w:val="auto"/>
          <w:u w:val="none"/>
        </w:rPr>
      </w:pPr>
      <w:r w:rsidRPr="00AC41E0">
        <w:t>Communication of position and datum information is accomplished</w:t>
      </w:r>
      <w:r w:rsidR="00F00A01" w:rsidRPr="00AC41E0">
        <w:t xml:space="preserve"> by</w:t>
      </w:r>
      <w:r w:rsidRPr="00AC41E0">
        <w:t xml:space="preserve"> various standards</w:t>
      </w:r>
      <w:r w:rsidR="003D73F4" w:rsidRPr="00AC41E0">
        <w:t xml:space="preserve"> including</w:t>
      </w:r>
      <w:r w:rsidR="00FB12BA" w:rsidRPr="00AC41E0">
        <w:t xml:space="preserve"> </w:t>
      </w:r>
      <w:hyperlink r:id="rId262" w:history="1">
        <w:r w:rsidR="003D73F4" w:rsidRPr="00AC41E0">
          <w:rPr>
            <w:rStyle w:val="Hyperlink"/>
          </w:rPr>
          <w:t>PROJ</w:t>
        </w:r>
      </w:hyperlink>
      <w:r w:rsidR="003D73F4" w:rsidRPr="00E46FB0">
        <w:rPr>
          <w:rStyle w:val="Hyperlink"/>
          <w:color w:val="auto"/>
          <w:u w:val="none"/>
        </w:rPr>
        <w:t xml:space="preserve">, </w:t>
      </w:r>
      <w:hyperlink r:id="rId263" w:history="1">
        <w:r w:rsidR="003D73F4" w:rsidRPr="00AC41E0">
          <w:rPr>
            <w:rStyle w:val="Hyperlink"/>
          </w:rPr>
          <w:t>EPSG</w:t>
        </w:r>
      </w:hyperlink>
      <w:r w:rsidR="003D73F4" w:rsidRPr="00E46FB0">
        <w:t xml:space="preserve">, </w:t>
      </w:r>
      <w:hyperlink r:id="rId264" w:history="1">
        <w:r w:rsidR="003D73F4" w:rsidRPr="00AC41E0">
          <w:rPr>
            <w:rStyle w:val="Hyperlink"/>
          </w:rPr>
          <w:t>WKT</w:t>
        </w:r>
      </w:hyperlink>
      <w:r w:rsidR="003D73F4" w:rsidRPr="00E46FB0">
        <w:rPr>
          <w:rStyle w:val="Hyperlink"/>
          <w:color w:val="auto"/>
          <w:u w:val="none"/>
        </w:rPr>
        <w:t>.</w:t>
      </w:r>
      <w:r w:rsidRPr="00AC41E0">
        <w:t xml:space="preserve"> A discussion of some of the technical differences can be found at the website of the </w:t>
      </w:r>
      <w:hyperlink r:id="rId265" w:history="1">
        <w:r w:rsidRPr="00AC41E0">
          <w:rPr>
            <w:rStyle w:val="Hyperlink"/>
          </w:rPr>
          <w:t>Earth Lab at the University of Colorado</w:t>
        </w:r>
      </w:hyperlink>
      <w:r w:rsidRPr="00E46FB0">
        <w:t xml:space="preserve">. </w:t>
      </w:r>
    </w:p>
    <w:p w14:paraId="255AFEDD" w14:textId="132542A9" w:rsidR="001757D6" w:rsidRPr="00AC41E0" w:rsidRDefault="00C92CBF" w:rsidP="00D4137E">
      <w:pPr>
        <w:pStyle w:val="DCSbodytext"/>
        <w:ind w:left="868"/>
      </w:pPr>
      <w:r w:rsidRPr="00AC41E0">
        <w:t>Other standards relating to spatial data are listed in the following table</w:t>
      </w:r>
      <w:r w:rsidR="00FC47C8" w:rsidRPr="00AC41E0">
        <w:t>.</w:t>
      </w:r>
      <w:r w:rsidR="001757D6" w:rsidRPr="00AC41E0">
        <w:t xml:space="preserve"> </w:t>
      </w:r>
    </w:p>
    <w:p w14:paraId="45FF2DED" w14:textId="77777777" w:rsidR="00AB14E7" w:rsidRPr="00AC41E0" w:rsidRDefault="00AB14E7">
      <w:pPr>
        <w:rPr>
          <w:rFonts w:ascii="Arial" w:hAnsi="Arial"/>
          <w:b/>
          <w:sz w:val="22"/>
          <w:lang w:eastAsia="en-US"/>
        </w:rPr>
      </w:pPr>
      <w:r w:rsidRPr="00AC41E0">
        <w:rPr>
          <w:b/>
        </w:rPr>
        <w:br w:type="page"/>
      </w:r>
    </w:p>
    <w:p w14:paraId="327B31E9" w14:textId="3C2A8362" w:rsidR="00E020FC" w:rsidRPr="00AC41E0" w:rsidRDefault="00CB2DB9" w:rsidP="009B3F41">
      <w:pPr>
        <w:pStyle w:val="DCSbodytext"/>
        <w:ind w:left="868"/>
        <w:jc w:val="center"/>
        <w:rPr>
          <w:b/>
        </w:rPr>
      </w:pPr>
      <w:r w:rsidRPr="00AC41E0">
        <w:rPr>
          <w:b/>
        </w:rPr>
        <w:lastRenderedPageBreak/>
        <w:t>Other standards relevant to spatial data</w:t>
      </w:r>
    </w:p>
    <w:tbl>
      <w:tblPr>
        <w:tblStyle w:val="GridTable4-Accent1"/>
        <w:tblW w:w="0" w:type="auto"/>
        <w:tblInd w:w="988" w:type="dxa"/>
        <w:tblLook w:val="04A0" w:firstRow="1" w:lastRow="0" w:firstColumn="1" w:lastColumn="0" w:noHBand="0" w:noVBand="1"/>
      </w:tblPr>
      <w:tblGrid>
        <w:gridCol w:w="3118"/>
        <w:gridCol w:w="5522"/>
      </w:tblGrid>
      <w:tr w:rsidR="00CB2DB9" w:rsidRPr="00AC41E0" w14:paraId="25049424" w14:textId="77777777" w:rsidTr="00110C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1F497D" w:themeFill="text2"/>
          </w:tcPr>
          <w:p w14:paraId="785D7316" w14:textId="750B518D" w:rsidR="00CB2DB9" w:rsidRPr="00AC41E0" w:rsidRDefault="00CB2DB9" w:rsidP="00E020FC">
            <w:pPr>
              <w:pStyle w:val="DCSbodytext"/>
              <w:ind w:left="0"/>
              <w:jc w:val="center"/>
            </w:pPr>
            <w:r w:rsidRPr="00AC41E0">
              <w:rPr>
                <w:rFonts w:cs="Arial"/>
                <w:szCs w:val="22"/>
              </w:rPr>
              <w:t>Spatial-related standards</w:t>
            </w:r>
          </w:p>
        </w:tc>
        <w:tc>
          <w:tcPr>
            <w:tcW w:w="0" w:type="dxa"/>
            <w:tcBorders>
              <w:top w:val="single" w:sz="4" w:space="0" w:color="auto"/>
              <w:left w:val="single" w:sz="4" w:space="0" w:color="auto"/>
              <w:bottom w:val="single" w:sz="4" w:space="0" w:color="auto"/>
              <w:right w:val="single" w:sz="4" w:space="0" w:color="auto"/>
            </w:tcBorders>
            <w:shd w:val="clear" w:color="auto" w:fill="1F497D" w:themeFill="text2"/>
          </w:tcPr>
          <w:p w14:paraId="34150243" w14:textId="4E4482E3" w:rsidR="00CB2DB9" w:rsidRPr="00AC41E0" w:rsidRDefault="00CB2DB9" w:rsidP="00E020FC">
            <w:pPr>
              <w:pStyle w:val="DCSbodytext"/>
              <w:ind w:left="0"/>
              <w:jc w:val="center"/>
              <w:cnfStyle w:val="100000000000" w:firstRow="1" w:lastRow="0" w:firstColumn="0" w:lastColumn="0" w:oddVBand="0" w:evenVBand="0" w:oddHBand="0" w:evenHBand="0" w:firstRowFirstColumn="0" w:firstRowLastColumn="0" w:lastRowFirstColumn="0" w:lastRowLastColumn="0"/>
            </w:pPr>
            <w:r w:rsidRPr="00AC41E0">
              <w:rPr>
                <w:rFonts w:cs="Arial"/>
                <w:szCs w:val="22"/>
              </w:rPr>
              <w:t>Description</w:t>
            </w:r>
          </w:p>
        </w:tc>
      </w:tr>
      <w:tr w:rsidR="00CB2DB9" w:rsidRPr="00AC41E0" w14:paraId="78D04753" w14:textId="77777777" w:rsidTr="00223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auto"/>
            </w:tcBorders>
          </w:tcPr>
          <w:p w14:paraId="3BB3EDB7" w14:textId="7D7F4AE2" w:rsidR="00CB2DB9" w:rsidRPr="00AC41E0" w:rsidRDefault="00084371" w:rsidP="00CB2DB9">
            <w:pPr>
              <w:pStyle w:val="DCSbodytext"/>
              <w:ind w:left="0"/>
            </w:pPr>
            <w:hyperlink r:id="rId266" w:history="1">
              <w:r w:rsidR="005B2C4D" w:rsidRPr="00AC41E0">
                <w:rPr>
                  <w:rStyle w:val="Hyperlink"/>
                  <w:rFonts w:eastAsia="Calibri"/>
                  <w:bCs w:val="0"/>
                </w:rPr>
                <w:t>NSW GDA2020 and AGRS Implementation Policy</w:t>
              </w:r>
            </w:hyperlink>
            <w:r w:rsidR="005B2C4D" w:rsidRPr="00E46FB0">
              <w:rPr>
                <w:rStyle w:val="Hyperlink"/>
                <w:rFonts w:eastAsia="Calibri"/>
                <w:color w:val="auto"/>
                <w:u w:val="none"/>
              </w:rPr>
              <w:t xml:space="preserve"> </w:t>
            </w:r>
          </w:p>
        </w:tc>
        <w:tc>
          <w:tcPr>
            <w:tcW w:w="5522" w:type="dxa"/>
            <w:tcBorders>
              <w:top w:val="single" w:sz="4" w:space="0" w:color="auto"/>
            </w:tcBorders>
          </w:tcPr>
          <w:p w14:paraId="00B347A5" w14:textId="41EFE7B4" w:rsidR="00CB2DB9" w:rsidRPr="00AC41E0" w:rsidRDefault="00CB2DB9" w:rsidP="00CB2DB9">
            <w:pPr>
              <w:pStyle w:val="DCSbodytext"/>
              <w:ind w:left="0"/>
              <w:cnfStyle w:val="000000100000" w:firstRow="0" w:lastRow="0" w:firstColumn="0" w:lastColumn="0" w:oddVBand="0" w:evenVBand="0" w:oddHBand="1" w:evenHBand="0" w:firstRowFirstColumn="0" w:firstRowLastColumn="0" w:lastRowFirstColumn="0" w:lastRowLastColumn="0"/>
            </w:pPr>
            <w:r w:rsidRPr="00AC41E0">
              <w:t>A geocentric (Earth-centred) coordinate reference system that is Australia’s official national datum within the Australian Geospatial Reference System.</w:t>
            </w:r>
          </w:p>
        </w:tc>
      </w:tr>
      <w:tr w:rsidR="00CB2DB9" w:rsidRPr="00AC41E0" w14:paraId="5F14867A" w14:textId="77777777" w:rsidTr="0022369F">
        <w:tc>
          <w:tcPr>
            <w:cnfStyle w:val="001000000000" w:firstRow="0" w:lastRow="0" w:firstColumn="1" w:lastColumn="0" w:oddVBand="0" w:evenVBand="0" w:oddHBand="0" w:evenHBand="0" w:firstRowFirstColumn="0" w:firstRowLastColumn="0" w:lastRowFirstColumn="0" w:lastRowLastColumn="0"/>
            <w:tcW w:w="0" w:type="dxa"/>
          </w:tcPr>
          <w:p w14:paraId="0656BA0F" w14:textId="77777777" w:rsidR="00CB2DB9" w:rsidRPr="00AC41E0" w:rsidRDefault="00CB2DB9" w:rsidP="0022369F">
            <w:pPr>
              <w:pStyle w:val="DCSbodytext"/>
              <w:ind w:left="0"/>
              <w:rPr>
                <w:rStyle w:val="Hyperlink"/>
                <w:rFonts w:eastAsia="Calibri" w:cs="Arial"/>
                <w:color w:val="auto"/>
                <w:sz w:val="24"/>
                <w:u w:val="none"/>
                <w:lang w:eastAsia="en-AU"/>
              </w:rPr>
            </w:pPr>
            <w:r w:rsidRPr="00AC41E0">
              <w:rPr>
                <w:rStyle w:val="Hyperlink"/>
                <w:rFonts w:eastAsia="Calibri"/>
                <w:color w:val="auto"/>
                <w:u w:val="none"/>
              </w:rPr>
              <w:t xml:space="preserve">AS/NZS ISO 19111:2019 </w:t>
            </w:r>
          </w:p>
          <w:p w14:paraId="2DC1687A" w14:textId="482C7FAE" w:rsidR="00CB2DB9" w:rsidRPr="00AC41E0" w:rsidRDefault="00CB2DB9" w:rsidP="00CB2DB9">
            <w:pPr>
              <w:pStyle w:val="DCSbodytext"/>
              <w:ind w:left="0"/>
              <w:rPr>
                <w:rStyle w:val="Hyperlink"/>
                <w:rFonts w:eastAsia="Calibri"/>
                <w:color w:val="auto"/>
                <w:u w:val="none"/>
              </w:rPr>
            </w:pPr>
            <w:r w:rsidRPr="00AC41E0">
              <w:rPr>
                <w:rStyle w:val="Hyperlink"/>
                <w:rFonts w:eastAsia="Calibri"/>
                <w:color w:val="auto"/>
                <w:u w:val="none"/>
              </w:rPr>
              <w:t>Geographic Information; Referencing by Coordinates</w:t>
            </w:r>
          </w:p>
        </w:tc>
        <w:tc>
          <w:tcPr>
            <w:tcW w:w="0" w:type="dxa"/>
          </w:tcPr>
          <w:p w14:paraId="6FD1CF8F" w14:textId="5722B895" w:rsidR="00CB2DB9" w:rsidRPr="00AC41E0" w:rsidRDefault="00CB2DB9" w:rsidP="00CB2DB9">
            <w:pPr>
              <w:pStyle w:val="DCSbodytext"/>
              <w:ind w:left="0"/>
              <w:cnfStyle w:val="000000000000" w:firstRow="0" w:lastRow="0" w:firstColumn="0" w:lastColumn="0" w:oddVBand="0" w:evenVBand="0" w:oddHBand="0" w:evenHBand="0" w:firstRowFirstColumn="0" w:firstRowLastColumn="0" w:lastRowFirstColumn="0" w:lastRowLastColumn="0"/>
            </w:pPr>
            <w:r w:rsidRPr="00AC41E0">
              <w:t>This standard is applicable to producers and users of geographic information. Describes the conceptual schema for the description of referencing by coordinates, and the minimum data required to define coordinate reference systems</w:t>
            </w:r>
          </w:p>
        </w:tc>
      </w:tr>
      <w:tr w:rsidR="00CB2DB9" w:rsidRPr="00AC41E0" w14:paraId="6A1D1F7F" w14:textId="77777777" w:rsidTr="00223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0B0F95E8" w14:textId="77777777" w:rsidR="00CB2DB9" w:rsidRPr="00AC41E0" w:rsidRDefault="00CB2DB9" w:rsidP="00CB2DB9">
            <w:pPr>
              <w:pStyle w:val="DCStablebodytext"/>
              <w:spacing w:after="120"/>
            </w:pPr>
            <w:r w:rsidRPr="00AC41E0">
              <w:t xml:space="preserve">ISO 19127 </w:t>
            </w:r>
          </w:p>
          <w:p w14:paraId="3F8EF289" w14:textId="6FF6898B" w:rsidR="00CB2DB9" w:rsidRPr="00AC41E0" w:rsidRDefault="00CB2DB9" w:rsidP="00CB2DB9">
            <w:pPr>
              <w:pStyle w:val="DCSbodytext"/>
              <w:ind w:left="0"/>
            </w:pPr>
            <w:r w:rsidRPr="00AC41E0">
              <w:t xml:space="preserve">Geographic information </w:t>
            </w:r>
          </w:p>
        </w:tc>
        <w:tc>
          <w:tcPr>
            <w:tcW w:w="5522" w:type="dxa"/>
          </w:tcPr>
          <w:p w14:paraId="69FB55F2" w14:textId="60079666" w:rsidR="00CB2DB9" w:rsidRPr="00AC41E0" w:rsidRDefault="00CB2DB9" w:rsidP="00CB2DB9">
            <w:pPr>
              <w:pStyle w:val="DCSbodytext"/>
              <w:ind w:left="0"/>
              <w:cnfStyle w:val="000000100000" w:firstRow="0" w:lastRow="0" w:firstColumn="0" w:lastColumn="0" w:oddVBand="0" w:evenVBand="0" w:oddHBand="1" w:evenHBand="0" w:firstRowFirstColumn="0" w:firstRowLastColumn="0" w:lastRowFirstColumn="0" w:lastRowLastColumn="0"/>
            </w:pPr>
            <w:r w:rsidRPr="00AC41E0">
              <w:t>Developed as a Geodetic Registry to supersede/coordinate ISO 19111 to support time-dependent coordinates. See also associated ISO standards from the ISO/TC211 Working Group.</w:t>
            </w:r>
          </w:p>
        </w:tc>
      </w:tr>
      <w:tr w:rsidR="00CB2DB9" w:rsidRPr="00AC41E0" w14:paraId="361CE621" w14:textId="77777777" w:rsidTr="0022369F">
        <w:tc>
          <w:tcPr>
            <w:cnfStyle w:val="001000000000" w:firstRow="0" w:lastRow="0" w:firstColumn="1" w:lastColumn="0" w:oddVBand="0" w:evenVBand="0" w:oddHBand="0" w:evenHBand="0" w:firstRowFirstColumn="0" w:firstRowLastColumn="0" w:lastRowFirstColumn="0" w:lastRowLastColumn="0"/>
            <w:tcW w:w="3118" w:type="dxa"/>
          </w:tcPr>
          <w:p w14:paraId="1E21BF78" w14:textId="77777777" w:rsidR="00CB2DB9" w:rsidRPr="00AC41E0" w:rsidRDefault="00CB2DB9" w:rsidP="00CB2DB9">
            <w:pPr>
              <w:pStyle w:val="DCStablebodytext"/>
              <w:spacing w:after="120"/>
              <w:rPr>
                <w:rFonts w:eastAsia="Calibri"/>
              </w:rPr>
            </w:pPr>
            <w:r w:rsidRPr="00AC41E0">
              <w:rPr>
                <w:rFonts w:eastAsia="Calibri"/>
              </w:rPr>
              <w:t xml:space="preserve">AS/NZS ISO 19162:2018 </w:t>
            </w:r>
          </w:p>
          <w:p w14:paraId="7A4E2B44" w14:textId="0FBB0E1A" w:rsidR="00CB2DB9" w:rsidRPr="00AC41E0" w:rsidRDefault="00CB2DB9" w:rsidP="00CB2DB9">
            <w:pPr>
              <w:pStyle w:val="DCSbodytext"/>
              <w:ind w:left="0"/>
            </w:pPr>
            <w:r w:rsidRPr="00AC41E0">
              <w:rPr>
                <w:rFonts w:eastAsia="Calibri"/>
              </w:rPr>
              <w:t>Geographic information</w:t>
            </w:r>
          </w:p>
        </w:tc>
        <w:tc>
          <w:tcPr>
            <w:tcW w:w="5522" w:type="dxa"/>
          </w:tcPr>
          <w:p w14:paraId="23DED1A1" w14:textId="1618B511" w:rsidR="00CB2DB9" w:rsidRPr="00AC41E0" w:rsidRDefault="00CB2DB9" w:rsidP="00CB2DB9">
            <w:pPr>
              <w:pStyle w:val="DCSbodytext"/>
              <w:ind w:left="0"/>
              <w:cnfStyle w:val="000000000000" w:firstRow="0" w:lastRow="0" w:firstColumn="0" w:lastColumn="0" w:oddVBand="0" w:evenVBand="0" w:oddHBand="0" w:evenHBand="0" w:firstRowFirstColumn="0" w:firstRowLastColumn="0" w:lastRowFirstColumn="0" w:lastRowLastColumn="0"/>
            </w:pPr>
            <w:r w:rsidRPr="00AC41E0">
              <w:rPr>
                <w:rFonts w:eastAsia="Calibri"/>
              </w:rPr>
              <w:t>Provides a well-known text representation of coordinate reference systems, defines the structure and content of a text string implementation of the abstract model for coordinate reference systems.</w:t>
            </w:r>
          </w:p>
        </w:tc>
      </w:tr>
      <w:tr w:rsidR="00CB2DB9" w:rsidRPr="00AC41E0" w14:paraId="5EEE5CFF" w14:textId="77777777" w:rsidTr="00223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4CE71ACD" w14:textId="77777777" w:rsidR="00CB2DB9" w:rsidRPr="00AC41E0" w:rsidRDefault="00CB2DB9" w:rsidP="00CB2DB9">
            <w:pPr>
              <w:pStyle w:val="DCStablebodytext"/>
              <w:spacing w:after="120"/>
              <w:rPr>
                <w:rStyle w:val="Hyperlink"/>
                <w:rFonts w:eastAsia="Calibri"/>
                <w:color w:val="auto"/>
                <w:u w:val="none"/>
              </w:rPr>
            </w:pPr>
            <w:r w:rsidRPr="00AC41E0">
              <w:rPr>
                <w:rStyle w:val="Hyperlink"/>
                <w:rFonts w:eastAsia="Calibri"/>
                <w:color w:val="auto"/>
                <w:u w:val="none"/>
              </w:rPr>
              <w:t xml:space="preserve">AS/NZS ISO 19115.1:2015 </w:t>
            </w:r>
          </w:p>
          <w:p w14:paraId="0DB55543" w14:textId="58FC0B34" w:rsidR="00CB2DB9" w:rsidRPr="00AC41E0" w:rsidRDefault="00CB2DB9" w:rsidP="00CB2DB9">
            <w:pPr>
              <w:pStyle w:val="DCSbodytext"/>
              <w:ind w:left="0"/>
            </w:pPr>
            <w:r w:rsidRPr="00AC41E0">
              <w:rPr>
                <w:rStyle w:val="Hyperlink"/>
                <w:rFonts w:eastAsia="Calibri"/>
                <w:color w:val="auto"/>
                <w:u w:val="none"/>
              </w:rPr>
              <w:t>Geographic Information</w:t>
            </w:r>
          </w:p>
        </w:tc>
        <w:tc>
          <w:tcPr>
            <w:tcW w:w="5522" w:type="dxa"/>
          </w:tcPr>
          <w:p w14:paraId="00949395" w14:textId="5846B6D6" w:rsidR="00CB2DB9" w:rsidRPr="00AC41E0" w:rsidRDefault="00CB2DB9" w:rsidP="00CB2DB9">
            <w:pPr>
              <w:pStyle w:val="DCSbodytext"/>
              <w:ind w:left="0"/>
              <w:cnfStyle w:val="000000100000" w:firstRow="0" w:lastRow="0" w:firstColumn="0" w:lastColumn="0" w:oddVBand="0" w:evenVBand="0" w:oddHBand="1" w:evenHBand="0" w:firstRowFirstColumn="0" w:firstRowLastColumn="0" w:lastRowFirstColumn="0" w:lastRowLastColumn="0"/>
            </w:pPr>
            <w:r w:rsidRPr="00AC41E0">
              <w:rPr>
                <w:rFonts w:eastAsia="Calibri"/>
              </w:rPr>
              <w:t>Provides the technical definition of the standard and is intended to provide tech-savvy implementers with detailed information for software development and other purposes.</w:t>
            </w:r>
          </w:p>
        </w:tc>
      </w:tr>
      <w:tr w:rsidR="00CB2DB9" w:rsidRPr="00AC41E0" w14:paraId="5FA9A944" w14:textId="77777777" w:rsidTr="0022369F">
        <w:tc>
          <w:tcPr>
            <w:cnfStyle w:val="001000000000" w:firstRow="0" w:lastRow="0" w:firstColumn="1" w:lastColumn="0" w:oddVBand="0" w:evenVBand="0" w:oddHBand="0" w:evenHBand="0" w:firstRowFirstColumn="0" w:firstRowLastColumn="0" w:lastRowFirstColumn="0" w:lastRowLastColumn="0"/>
            <w:tcW w:w="3118" w:type="dxa"/>
          </w:tcPr>
          <w:p w14:paraId="2BE10DA1" w14:textId="77777777" w:rsidR="00CB2DB9" w:rsidRPr="00AC41E0" w:rsidRDefault="00CB2DB9" w:rsidP="00CB2DB9">
            <w:pPr>
              <w:pStyle w:val="DCStablebodytext"/>
              <w:spacing w:after="120"/>
              <w:rPr>
                <w:rFonts w:eastAsia="Calibri"/>
              </w:rPr>
            </w:pPr>
            <w:r w:rsidRPr="00AC41E0">
              <w:rPr>
                <w:rFonts w:eastAsia="Calibri"/>
              </w:rPr>
              <w:t xml:space="preserve">AS/NZS ISO/TS 19139 series </w:t>
            </w:r>
          </w:p>
          <w:p w14:paraId="7972805F" w14:textId="73D4A3D0" w:rsidR="00CB2DB9" w:rsidRPr="00AC41E0" w:rsidRDefault="00CB2DB9" w:rsidP="00CB2DB9">
            <w:pPr>
              <w:pStyle w:val="DCSbodytext"/>
              <w:ind w:left="0"/>
            </w:pPr>
            <w:r w:rsidRPr="00AC41E0">
              <w:rPr>
                <w:rFonts w:eastAsia="Calibri"/>
              </w:rPr>
              <w:t>Geographic Information XML schema implementation</w:t>
            </w:r>
          </w:p>
        </w:tc>
        <w:tc>
          <w:tcPr>
            <w:tcW w:w="5522" w:type="dxa"/>
          </w:tcPr>
          <w:p w14:paraId="38B3AABB" w14:textId="3F9D69F5" w:rsidR="00CB2DB9" w:rsidRPr="00AC41E0" w:rsidRDefault="00CB2DB9" w:rsidP="00CB2DB9">
            <w:pPr>
              <w:pStyle w:val="DCSbodytext"/>
              <w:ind w:left="0"/>
              <w:cnfStyle w:val="000000000000" w:firstRow="0" w:lastRow="0" w:firstColumn="0" w:lastColumn="0" w:oddVBand="0" w:evenVBand="0" w:oddHBand="0" w:evenHBand="0" w:firstRowFirstColumn="0" w:firstRowLastColumn="0" w:lastRowFirstColumn="0" w:lastRowLastColumn="0"/>
            </w:pPr>
            <w:r w:rsidRPr="00AC41E0">
              <w:rPr>
                <w:rFonts w:eastAsia="Calibri"/>
              </w:rPr>
              <w:t>Defines XML based encoding rules for conceptual schemas specifying types that describe geographic resources.</w:t>
            </w:r>
          </w:p>
        </w:tc>
      </w:tr>
      <w:tr w:rsidR="00CB2DB9" w:rsidRPr="00AC41E0" w14:paraId="22E168BF" w14:textId="77777777" w:rsidTr="00223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0ACF6DAC" w14:textId="14F6BE8A" w:rsidR="00CB2DB9" w:rsidRPr="00E46FB0" w:rsidRDefault="00084371" w:rsidP="00CB2DB9">
            <w:pPr>
              <w:pStyle w:val="DCSbodytext"/>
              <w:ind w:left="0"/>
            </w:pPr>
            <w:hyperlink r:id="rId267" w:history="1">
              <w:r w:rsidR="00CB2DB9" w:rsidRPr="00AC41E0">
                <w:rPr>
                  <w:rStyle w:val="Hyperlink"/>
                  <w:rFonts w:eastAsia="Calibri"/>
                </w:rPr>
                <w:t>NSW Standard for Spatially Enabling Information (2018)</w:t>
              </w:r>
            </w:hyperlink>
          </w:p>
        </w:tc>
        <w:tc>
          <w:tcPr>
            <w:tcW w:w="5522" w:type="dxa"/>
          </w:tcPr>
          <w:p w14:paraId="52AF1C66" w14:textId="58F86223" w:rsidR="00CB2DB9" w:rsidRPr="00AC41E0" w:rsidRDefault="00CB2DB9" w:rsidP="00CB2DB9">
            <w:pPr>
              <w:pStyle w:val="DCSbodytext"/>
              <w:ind w:left="0"/>
              <w:cnfStyle w:val="000000100000" w:firstRow="0" w:lastRow="0" w:firstColumn="0" w:lastColumn="0" w:oddVBand="0" w:evenVBand="0" w:oddHBand="1" w:evenHBand="0" w:firstRowFirstColumn="0" w:firstRowLastColumn="0" w:lastRowFirstColumn="0" w:lastRowLastColumn="0"/>
            </w:pPr>
            <w:r w:rsidRPr="00AC41E0">
              <w:rPr>
                <w:rFonts w:eastAsia="Calibri"/>
              </w:rPr>
              <w:t>Established standards for spatially enabling NSW Government data and information.</w:t>
            </w:r>
          </w:p>
        </w:tc>
      </w:tr>
    </w:tbl>
    <w:p w14:paraId="5E129636" w14:textId="77777777" w:rsidR="001757D6" w:rsidRPr="00AC41E0" w:rsidRDefault="001757D6" w:rsidP="00D4137E">
      <w:pPr>
        <w:pStyle w:val="DCSbodytext"/>
        <w:ind w:left="868"/>
      </w:pPr>
    </w:p>
    <w:p w14:paraId="79790327" w14:textId="77777777" w:rsidR="001757D6" w:rsidRPr="00AC41E0" w:rsidRDefault="001757D6" w:rsidP="00D4137E">
      <w:pPr>
        <w:pStyle w:val="BodyText"/>
        <w:ind w:left="868"/>
        <w:rPr>
          <w:lang w:eastAsia="en-AU"/>
        </w:rPr>
        <w:sectPr w:rsidR="001757D6" w:rsidRPr="00AC41E0" w:rsidSect="002771AA">
          <w:pgSz w:w="11906" w:h="16838"/>
          <w:pgMar w:top="1418" w:right="1134" w:bottom="1134" w:left="1134" w:header="851" w:footer="425" w:gutter="0"/>
          <w:cols w:space="708"/>
          <w:titlePg/>
          <w:docGrid w:linePitch="360"/>
        </w:sectPr>
      </w:pPr>
    </w:p>
    <w:p w14:paraId="06892097" w14:textId="448A2719" w:rsidR="0006695E" w:rsidRPr="00AC41E0" w:rsidRDefault="0006695E" w:rsidP="0006695E">
      <w:pPr>
        <w:pStyle w:val="Heading2"/>
        <w:tabs>
          <w:tab w:val="num" w:pos="868"/>
        </w:tabs>
        <w:ind w:left="868"/>
        <w:rPr>
          <w:rFonts w:ascii="Arial" w:hAnsi="Arial"/>
        </w:rPr>
      </w:pPr>
      <w:bookmarkStart w:id="1605" w:name="_Toc15313830"/>
      <w:bookmarkStart w:id="1606" w:name="_Toc15313986"/>
      <w:bookmarkStart w:id="1607" w:name="_Toc15314142"/>
      <w:bookmarkStart w:id="1608" w:name="_Toc15314296"/>
      <w:bookmarkStart w:id="1609" w:name="_Toc15314925"/>
      <w:bookmarkStart w:id="1610" w:name="_Toc65760583"/>
      <w:bookmarkEnd w:id="1605"/>
      <w:bookmarkEnd w:id="1606"/>
      <w:bookmarkEnd w:id="1607"/>
      <w:bookmarkEnd w:id="1608"/>
      <w:bookmarkEnd w:id="1609"/>
      <w:r w:rsidRPr="00E46FB0">
        <w:rPr>
          <w:rFonts w:ascii="Arial" w:hAnsi="Arial"/>
        </w:rPr>
        <w:lastRenderedPageBreak/>
        <w:t>IoT deployment</w:t>
      </w:r>
      <w:r w:rsidR="00E714F1" w:rsidRPr="00AC41E0">
        <w:rPr>
          <w:rFonts w:ascii="Arial" w:hAnsi="Arial"/>
        </w:rPr>
        <w:t xml:space="preserve"> and configuration</w:t>
      </w:r>
      <w:bookmarkEnd w:id="1610"/>
    </w:p>
    <w:p w14:paraId="55B3F1C8" w14:textId="05F16EDE" w:rsidR="0006695E" w:rsidRPr="00AC41E0" w:rsidRDefault="00675E5B" w:rsidP="0006695E">
      <w:pPr>
        <w:pStyle w:val="Heading3"/>
        <w:ind w:left="868"/>
        <w:rPr>
          <w:rFonts w:ascii="Arial" w:hAnsi="Arial"/>
        </w:rPr>
      </w:pPr>
      <w:bookmarkStart w:id="1611" w:name="_Toc65760584"/>
      <w:r w:rsidRPr="00AC41E0">
        <w:rPr>
          <w:rFonts w:ascii="Arial" w:hAnsi="Arial"/>
        </w:rPr>
        <w:t>Device</w:t>
      </w:r>
      <w:r w:rsidR="0006695E" w:rsidRPr="00AC41E0">
        <w:rPr>
          <w:rFonts w:ascii="Arial" w:hAnsi="Arial"/>
        </w:rPr>
        <w:t xml:space="preserve"> deployment and configuration</w:t>
      </w:r>
      <w:bookmarkEnd w:id="1611"/>
    </w:p>
    <w:p w14:paraId="6E514232" w14:textId="1768B37E" w:rsidR="00531925" w:rsidRPr="00AC41E0" w:rsidRDefault="0006695E" w:rsidP="0006695E">
      <w:pPr>
        <w:pStyle w:val="DCSbodytext"/>
        <w:ind w:left="868"/>
        <w:rPr>
          <w:rFonts w:cs="Arial"/>
        </w:rPr>
      </w:pPr>
      <w:r w:rsidRPr="00AC41E0">
        <w:rPr>
          <w:rFonts w:cs="Arial"/>
        </w:rPr>
        <w:t xml:space="preserve">The way that IoT is deployed and configured can have a significant impact on data quality and security. </w:t>
      </w:r>
      <w:r w:rsidR="00DE5590" w:rsidRPr="00AC41E0">
        <w:rPr>
          <w:rFonts w:cs="Arial"/>
        </w:rPr>
        <w:t>IoT d</w:t>
      </w:r>
      <w:r w:rsidRPr="00AC41E0">
        <w:rPr>
          <w:rFonts w:cs="Arial"/>
        </w:rPr>
        <w:t>evices need to be configured with attributes such as name, location</w:t>
      </w:r>
      <w:r w:rsidR="00F00A01" w:rsidRPr="00AC41E0">
        <w:rPr>
          <w:rFonts w:cs="Arial"/>
        </w:rPr>
        <w:t>,</w:t>
      </w:r>
      <w:r w:rsidRPr="00AC41E0">
        <w:rPr>
          <w:rFonts w:cs="Arial"/>
        </w:rPr>
        <w:t xml:space="preserve"> </w:t>
      </w:r>
      <w:r w:rsidR="00675E5B" w:rsidRPr="00AC41E0">
        <w:rPr>
          <w:rFonts w:cs="Arial"/>
        </w:rPr>
        <w:t xml:space="preserve">and </w:t>
      </w:r>
      <w:r w:rsidR="00F00A01" w:rsidRPr="00AC41E0">
        <w:rPr>
          <w:rFonts w:cs="Arial"/>
        </w:rPr>
        <w:t>application-</w:t>
      </w:r>
      <w:r w:rsidRPr="00AC41E0">
        <w:rPr>
          <w:rFonts w:cs="Arial"/>
        </w:rPr>
        <w:t>specific settings</w:t>
      </w:r>
      <w:r w:rsidR="007253CF" w:rsidRPr="00AC41E0">
        <w:rPr>
          <w:rFonts w:cs="Arial"/>
        </w:rPr>
        <w:t xml:space="preserve"> (i.e</w:t>
      </w:r>
      <w:r w:rsidR="00DE5590" w:rsidRPr="00AC41E0">
        <w:rPr>
          <w:rFonts w:cs="Arial"/>
        </w:rPr>
        <w:t>.</w:t>
      </w:r>
      <w:r w:rsidRPr="00AC41E0">
        <w:rPr>
          <w:rFonts w:cs="Arial"/>
        </w:rPr>
        <w:t xml:space="preserve"> the unique ID of the asset the device relates to</w:t>
      </w:r>
      <w:r w:rsidR="00DE5590" w:rsidRPr="00AC41E0">
        <w:rPr>
          <w:rFonts w:cs="Arial"/>
        </w:rPr>
        <w:t>)</w:t>
      </w:r>
      <w:r w:rsidRPr="00AC41E0">
        <w:rPr>
          <w:rFonts w:cs="Arial"/>
        </w:rPr>
        <w:t xml:space="preserve">. </w:t>
      </w:r>
      <w:r w:rsidR="00531925" w:rsidRPr="00AC41E0">
        <w:rPr>
          <w:rFonts w:cs="Arial"/>
        </w:rPr>
        <w:t xml:space="preserve"> </w:t>
      </w:r>
    </w:p>
    <w:p w14:paraId="42500309" w14:textId="4FA6AE72" w:rsidR="00D96AA6" w:rsidRPr="00AC41E0" w:rsidRDefault="00D96AA6" w:rsidP="00F33137">
      <w:pPr>
        <w:pStyle w:val="DCSbodytext"/>
        <w:spacing w:after="120"/>
        <w:ind w:left="868"/>
        <w:rPr>
          <w:rFonts w:cs="Arial"/>
        </w:rPr>
      </w:pPr>
      <w:r w:rsidRPr="00AC41E0">
        <w:rPr>
          <w:rFonts w:cs="Arial"/>
        </w:rPr>
        <w:t xml:space="preserve">It is also important to recognise that </w:t>
      </w:r>
      <w:r w:rsidR="00531925" w:rsidRPr="00AC41E0">
        <w:rPr>
          <w:rFonts w:cs="Arial"/>
        </w:rPr>
        <w:t xml:space="preserve">data from </w:t>
      </w:r>
      <w:r w:rsidRPr="00AC41E0">
        <w:rPr>
          <w:rFonts w:cs="Arial"/>
        </w:rPr>
        <w:t>your</w:t>
      </w:r>
      <w:r w:rsidR="00531925" w:rsidRPr="00AC41E0">
        <w:rPr>
          <w:rFonts w:cs="Arial"/>
        </w:rPr>
        <w:t xml:space="preserve"> project may be used in </w:t>
      </w:r>
      <w:r w:rsidR="00BC06EC" w:rsidRPr="00AC41E0">
        <w:rPr>
          <w:rFonts w:cs="Arial"/>
        </w:rPr>
        <w:t>a future</w:t>
      </w:r>
      <w:r w:rsidR="00531925" w:rsidRPr="00AC41E0">
        <w:rPr>
          <w:rFonts w:cs="Arial"/>
        </w:rPr>
        <w:t xml:space="preserve"> project. Consideration should be given to a wider set of information being captured</w:t>
      </w:r>
      <w:r w:rsidR="00DF514B" w:rsidRPr="00AC41E0">
        <w:rPr>
          <w:rFonts w:cs="Arial"/>
        </w:rPr>
        <w:t xml:space="preserve"> such as</w:t>
      </w:r>
      <w:r w:rsidRPr="00AC41E0">
        <w:rPr>
          <w:rFonts w:cs="Arial"/>
        </w:rPr>
        <w:t>:</w:t>
      </w:r>
    </w:p>
    <w:p w14:paraId="5B46FB05" w14:textId="344973B7" w:rsidR="00D96AA6" w:rsidRPr="00AC41E0" w:rsidRDefault="00EC7ADE" w:rsidP="0022369F">
      <w:pPr>
        <w:pStyle w:val="DCSbodytext"/>
        <w:numPr>
          <w:ilvl w:val="0"/>
          <w:numId w:val="18"/>
        </w:numPr>
        <w:spacing w:after="120"/>
        <w:ind w:left="1228"/>
        <w:rPr>
          <w:rFonts w:eastAsia="Calibri"/>
        </w:rPr>
      </w:pPr>
      <w:r w:rsidRPr="00AC41E0">
        <w:rPr>
          <w:rFonts w:eastAsia="Calibri"/>
        </w:rPr>
        <w:t>r</w:t>
      </w:r>
      <w:r w:rsidR="00531925" w:rsidRPr="00AC41E0">
        <w:rPr>
          <w:rFonts w:eastAsia="Calibri"/>
        </w:rPr>
        <w:t>ecords for who installed the sensors</w:t>
      </w:r>
    </w:p>
    <w:p w14:paraId="2B7C734D" w14:textId="3974066F" w:rsidR="00D96AA6" w:rsidRPr="00AC41E0" w:rsidRDefault="00EC7ADE" w:rsidP="0022369F">
      <w:pPr>
        <w:pStyle w:val="DCSbodytext"/>
        <w:numPr>
          <w:ilvl w:val="0"/>
          <w:numId w:val="18"/>
        </w:numPr>
        <w:spacing w:after="120"/>
        <w:ind w:left="1228"/>
        <w:rPr>
          <w:rFonts w:eastAsia="Calibri"/>
        </w:rPr>
      </w:pPr>
      <w:r w:rsidRPr="00AC41E0">
        <w:rPr>
          <w:rFonts w:eastAsia="Calibri"/>
        </w:rPr>
        <w:t>h</w:t>
      </w:r>
      <w:r w:rsidR="00531925" w:rsidRPr="00AC41E0">
        <w:rPr>
          <w:rFonts w:eastAsia="Calibri"/>
        </w:rPr>
        <w:t>ow access for maintenance</w:t>
      </w:r>
      <w:r w:rsidR="00E56FEE" w:rsidRPr="00AC41E0">
        <w:rPr>
          <w:rFonts w:eastAsia="Calibri"/>
        </w:rPr>
        <w:t xml:space="preserve"> is</w:t>
      </w:r>
      <w:r w:rsidR="00531925" w:rsidRPr="00AC41E0">
        <w:rPr>
          <w:rFonts w:eastAsia="Calibri"/>
        </w:rPr>
        <w:t xml:space="preserve"> managed</w:t>
      </w:r>
    </w:p>
    <w:p w14:paraId="5B82D764" w14:textId="26BAB820" w:rsidR="0061600A" w:rsidRPr="00AC41E0" w:rsidRDefault="00EC7ADE" w:rsidP="0022369F">
      <w:pPr>
        <w:pStyle w:val="DCSbodytext"/>
        <w:numPr>
          <w:ilvl w:val="0"/>
          <w:numId w:val="18"/>
        </w:numPr>
        <w:spacing w:after="120"/>
        <w:ind w:left="1228"/>
        <w:rPr>
          <w:rFonts w:eastAsia="Calibri"/>
        </w:rPr>
      </w:pPr>
      <w:r w:rsidRPr="00AC41E0">
        <w:rPr>
          <w:rFonts w:eastAsia="Calibri"/>
        </w:rPr>
        <w:t>w</w:t>
      </w:r>
      <w:r w:rsidR="00531925" w:rsidRPr="00AC41E0">
        <w:rPr>
          <w:rFonts w:eastAsia="Calibri"/>
        </w:rPr>
        <w:t>ho is responsible for changing batteries, calibration needs</w:t>
      </w:r>
      <w:r w:rsidR="00F00A01" w:rsidRPr="00AC41E0">
        <w:rPr>
          <w:rFonts w:eastAsia="Calibri"/>
        </w:rPr>
        <w:t>,</w:t>
      </w:r>
      <w:r w:rsidR="00531925" w:rsidRPr="00AC41E0">
        <w:rPr>
          <w:rFonts w:eastAsia="Calibri"/>
        </w:rPr>
        <w:t xml:space="preserve"> and </w:t>
      </w:r>
      <w:r w:rsidR="0061600A" w:rsidRPr="00AC41E0">
        <w:rPr>
          <w:rFonts w:eastAsia="Calibri"/>
        </w:rPr>
        <w:t xml:space="preserve">other </w:t>
      </w:r>
      <w:r w:rsidR="00FB12BA" w:rsidRPr="00AC41E0">
        <w:rPr>
          <w:rFonts w:eastAsia="Calibri"/>
        </w:rPr>
        <w:t>responsibilities?</w:t>
      </w:r>
    </w:p>
    <w:p w14:paraId="71325467" w14:textId="3FD695CC" w:rsidR="0061600A" w:rsidRPr="00AC41E0" w:rsidRDefault="00EC7ADE" w:rsidP="0022369F">
      <w:pPr>
        <w:pStyle w:val="DCSbodytext"/>
        <w:numPr>
          <w:ilvl w:val="0"/>
          <w:numId w:val="18"/>
        </w:numPr>
        <w:spacing w:after="120"/>
        <w:ind w:left="1228"/>
        <w:rPr>
          <w:rFonts w:eastAsia="Calibri"/>
        </w:rPr>
      </w:pPr>
      <w:r w:rsidRPr="00AC41E0">
        <w:rPr>
          <w:rFonts w:eastAsia="Calibri"/>
        </w:rPr>
        <w:t>a</w:t>
      </w:r>
      <w:r w:rsidR="00531925" w:rsidRPr="00AC41E0">
        <w:rPr>
          <w:rFonts w:eastAsia="Calibri"/>
        </w:rPr>
        <w:t>ny commercial constrain</w:t>
      </w:r>
      <w:r w:rsidR="0061600A" w:rsidRPr="00AC41E0">
        <w:rPr>
          <w:rFonts w:eastAsia="Calibri"/>
        </w:rPr>
        <w:t>t</w:t>
      </w:r>
      <w:r w:rsidR="00531925" w:rsidRPr="00AC41E0">
        <w:rPr>
          <w:rFonts w:eastAsia="Calibri"/>
        </w:rPr>
        <w:t xml:space="preserve">s or agreements </w:t>
      </w:r>
    </w:p>
    <w:p w14:paraId="2BADAB8C" w14:textId="216682AF" w:rsidR="00531925" w:rsidRPr="00AC41E0" w:rsidRDefault="009F2957" w:rsidP="00F33137">
      <w:pPr>
        <w:pStyle w:val="DCSbodytext"/>
        <w:numPr>
          <w:ilvl w:val="0"/>
          <w:numId w:val="18"/>
        </w:numPr>
        <w:ind w:left="1225" w:hanging="357"/>
        <w:rPr>
          <w:rFonts w:eastAsia="Calibri"/>
        </w:rPr>
      </w:pPr>
      <w:r w:rsidRPr="00AC41E0">
        <w:rPr>
          <w:rFonts w:eastAsia="Calibri"/>
        </w:rPr>
        <w:t xml:space="preserve">any </w:t>
      </w:r>
      <w:r w:rsidR="00531925" w:rsidRPr="00AC41E0">
        <w:rPr>
          <w:rFonts w:eastAsia="Calibri"/>
        </w:rPr>
        <w:t xml:space="preserve">other factors </w:t>
      </w:r>
      <w:r w:rsidR="0061600A" w:rsidRPr="00AC41E0">
        <w:rPr>
          <w:rFonts w:eastAsia="Calibri"/>
        </w:rPr>
        <w:t>th</w:t>
      </w:r>
      <w:r w:rsidRPr="00AC41E0">
        <w:rPr>
          <w:rFonts w:eastAsia="Calibri"/>
        </w:rPr>
        <w:t>at</w:t>
      </w:r>
      <w:r w:rsidR="00531925" w:rsidRPr="00AC41E0">
        <w:rPr>
          <w:rFonts w:eastAsia="Calibri"/>
        </w:rPr>
        <w:t xml:space="preserve"> might make the usefulness of sensor data more valuable on future projects.</w:t>
      </w:r>
    </w:p>
    <w:p w14:paraId="4A931454" w14:textId="15C65A74" w:rsidR="0006695E" w:rsidRPr="00AC41E0" w:rsidRDefault="0006695E" w:rsidP="0006695E">
      <w:pPr>
        <w:pStyle w:val="DCSbodytext"/>
        <w:ind w:left="868"/>
        <w:rPr>
          <w:rFonts w:cs="Arial"/>
        </w:rPr>
      </w:pPr>
      <w:r w:rsidRPr="00AC41E0">
        <w:rPr>
          <w:rFonts w:cs="Arial"/>
        </w:rPr>
        <w:t xml:space="preserve">IoT devices also need to be managed as configuration items in your organisation and documented for asset management and incident management purposes. This helps them to be trusted components in your organisational architecture and ensures </w:t>
      </w:r>
      <w:r w:rsidR="003B18F6" w:rsidRPr="00AC41E0">
        <w:rPr>
          <w:rFonts w:cs="Arial"/>
        </w:rPr>
        <w:t>that</w:t>
      </w:r>
      <w:r w:rsidRPr="00AC41E0">
        <w:rPr>
          <w:rFonts w:cs="Arial"/>
        </w:rPr>
        <w:t xml:space="preserve"> devices and the data they transmit can be part of organisational data flow. </w:t>
      </w:r>
    </w:p>
    <w:p w14:paraId="077FC272" w14:textId="0C876055" w:rsidR="0006695E" w:rsidRPr="00AC41E0" w:rsidRDefault="0006695E" w:rsidP="0006695E">
      <w:pPr>
        <w:pStyle w:val="DCSbodytext"/>
        <w:ind w:left="868"/>
        <w:rPr>
          <w:rFonts w:cs="Arial"/>
        </w:rPr>
      </w:pPr>
      <w:r w:rsidRPr="00AC41E0">
        <w:rPr>
          <w:rFonts w:cs="Arial"/>
        </w:rPr>
        <w:t xml:space="preserve">Appropriate deployment and configuration </w:t>
      </w:r>
      <w:r w:rsidR="00F86AB9" w:rsidRPr="00AC41E0">
        <w:rPr>
          <w:rFonts w:cs="Arial"/>
        </w:rPr>
        <w:t xml:space="preserve">will </w:t>
      </w:r>
      <w:r w:rsidRPr="00AC41E0">
        <w:rPr>
          <w:rFonts w:cs="Arial"/>
        </w:rPr>
        <w:t>establish device monitoring benchmarks</w:t>
      </w:r>
      <w:r w:rsidR="00834C74" w:rsidRPr="00AC41E0">
        <w:rPr>
          <w:rFonts w:cs="Arial"/>
        </w:rPr>
        <w:t xml:space="preserve">; this </w:t>
      </w:r>
      <w:r w:rsidR="008777A6" w:rsidRPr="00AC41E0">
        <w:rPr>
          <w:rFonts w:cs="Arial"/>
        </w:rPr>
        <w:t>allows you to proactively</w:t>
      </w:r>
      <w:r w:rsidRPr="00AC41E0">
        <w:rPr>
          <w:rFonts w:cs="Arial"/>
        </w:rPr>
        <w:t xml:space="preserve"> identify</w:t>
      </w:r>
      <w:r w:rsidR="008777A6" w:rsidRPr="00AC41E0">
        <w:rPr>
          <w:rFonts w:cs="Arial"/>
        </w:rPr>
        <w:t xml:space="preserve"> and remediate real or</w:t>
      </w:r>
      <w:r w:rsidRPr="00AC41E0">
        <w:rPr>
          <w:rFonts w:cs="Arial"/>
        </w:rPr>
        <w:t xml:space="preserve"> potential security issues. Testing during the deployment phase ensures that data is being generated and transmitted as expected. </w:t>
      </w:r>
    </w:p>
    <w:p w14:paraId="26A346EC" w14:textId="182A276B" w:rsidR="00FD0C9A" w:rsidRPr="00AC41E0" w:rsidRDefault="00FD0C9A" w:rsidP="00FD0C9A">
      <w:pPr>
        <w:pStyle w:val="DCSbodytext"/>
        <w:ind w:left="868"/>
        <w:rPr>
          <w:rFonts w:cs="Arial"/>
        </w:rPr>
      </w:pPr>
      <w:r w:rsidRPr="00AC41E0">
        <w:rPr>
          <w:rFonts w:cs="Arial"/>
        </w:rPr>
        <w:t xml:space="preserve">Configuration and adaption should be an ongoing process. </w:t>
      </w:r>
      <w:r w:rsidR="00BB3B09" w:rsidRPr="00AC41E0">
        <w:rPr>
          <w:rFonts w:cs="Arial"/>
        </w:rPr>
        <w:t xml:space="preserve">You need to </w:t>
      </w:r>
      <w:r w:rsidRPr="00AC41E0">
        <w:rPr>
          <w:rFonts w:cs="Arial"/>
        </w:rPr>
        <w:t>ensure business users of IoT data can communicate with device owners and software providers to tailor data collection rates or to drive quality and calibration checks</w:t>
      </w:r>
      <w:r w:rsidR="00BB3B09" w:rsidRPr="00AC41E0">
        <w:rPr>
          <w:rFonts w:cs="Arial"/>
        </w:rPr>
        <w:t xml:space="preserve"> throughout the lifespan of your project</w:t>
      </w:r>
      <w:r w:rsidRPr="00AC41E0">
        <w:rPr>
          <w:rFonts w:cs="Arial"/>
        </w:rPr>
        <w:t xml:space="preserve">. </w:t>
      </w:r>
    </w:p>
    <w:p w14:paraId="4E6CA0A2" w14:textId="50304413" w:rsidR="00464315" w:rsidRPr="00AC41E0" w:rsidRDefault="00464315" w:rsidP="00464315">
      <w:pPr>
        <w:pStyle w:val="DCSbodytext"/>
        <w:ind w:left="1514"/>
      </w:pPr>
      <w:r w:rsidRPr="00E46FB0">
        <w:rPr>
          <w:noProof/>
        </w:rPr>
        <w:drawing>
          <wp:anchor distT="0" distB="0" distL="114300" distR="114300" simplePos="0" relativeHeight="251658260" behindDoc="1" locked="0" layoutInCell="1" allowOverlap="1" wp14:anchorId="385B4137" wp14:editId="2854A5E1">
            <wp:simplePos x="0" y="0"/>
            <wp:positionH relativeFrom="margin">
              <wp:posOffset>438150</wp:posOffset>
            </wp:positionH>
            <wp:positionV relativeFrom="paragraph">
              <wp:posOffset>18415</wp:posOffset>
            </wp:positionV>
            <wp:extent cx="389255" cy="389255"/>
            <wp:effectExtent l="0" t="0" r="0" b="0"/>
            <wp:wrapTight wrapText="bothSides">
              <wp:wrapPolygon edited="0">
                <wp:start x="7400" y="0"/>
                <wp:lineTo x="0" y="5285"/>
                <wp:lineTo x="0" y="13742"/>
                <wp:lineTo x="6343" y="20085"/>
                <wp:lineTo x="12685" y="20085"/>
                <wp:lineTo x="14799" y="16914"/>
                <wp:lineTo x="20085" y="10571"/>
                <wp:lineTo x="20085" y="5285"/>
                <wp:lineTo x="11628" y="0"/>
                <wp:lineTo x="7400" y="0"/>
              </wp:wrapPolygon>
            </wp:wrapTight>
            <wp:docPr id="10" name="Graphic 10"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r w:rsidRPr="00E46FB0">
        <w:rPr>
          <w:i/>
          <w:iCs/>
        </w:rPr>
        <w:t>Tip</w:t>
      </w:r>
      <w:r w:rsidRPr="00AC41E0">
        <w:t>:</w:t>
      </w:r>
      <w:r w:rsidRPr="00AC41E0">
        <w:rPr>
          <w:i/>
          <w:iCs/>
        </w:rPr>
        <w:t xml:space="preserve"> An IoT device may use many off-the-shelf software and hardware components. Only a small proportion of these components may be manufactured and maintained by the IoT service provider. Maintaining a Software Bill of Materials for each device m</w:t>
      </w:r>
      <w:r w:rsidR="006B3A61" w:rsidRPr="00AC41E0">
        <w:rPr>
          <w:i/>
          <w:iCs/>
        </w:rPr>
        <w:t>ay</w:t>
      </w:r>
      <w:r w:rsidRPr="00AC41E0">
        <w:rPr>
          <w:i/>
          <w:iCs/>
        </w:rPr>
        <w:t xml:space="preserve"> be a good practice to ensure documentation and traceability for all components.</w:t>
      </w:r>
    </w:p>
    <w:p w14:paraId="0C34F51C" w14:textId="3F179195" w:rsidR="00FD0C9A" w:rsidRPr="00AC41E0" w:rsidRDefault="007442CC" w:rsidP="007442CC">
      <w:pPr>
        <w:pStyle w:val="Heading3"/>
        <w:rPr>
          <w:rFonts w:ascii="Arial" w:hAnsi="Arial"/>
        </w:rPr>
      </w:pPr>
      <w:bookmarkStart w:id="1612" w:name="_Toc65760585"/>
      <w:r w:rsidRPr="00AC41E0">
        <w:rPr>
          <w:rFonts w:ascii="Arial" w:hAnsi="Arial"/>
        </w:rPr>
        <w:t>Co</w:t>
      </w:r>
      <w:r w:rsidR="00BE53DA" w:rsidRPr="00AC41E0">
        <w:rPr>
          <w:rFonts w:ascii="Arial" w:hAnsi="Arial"/>
        </w:rPr>
        <w:t xml:space="preserve">mmunicating </w:t>
      </w:r>
      <w:r w:rsidR="003F23AF" w:rsidRPr="00AC41E0">
        <w:rPr>
          <w:rFonts w:ascii="Arial" w:hAnsi="Arial"/>
        </w:rPr>
        <w:t>about deployment</w:t>
      </w:r>
      <w:bookmarkEnd w:id="1612"/>
    </w:p>
    <w:p w14:paraId="56A18469" w14:textId="467CE812" w:rsidR="007442CC" w:rsidRPr="00AC41E0" w:rsidRDefault="00835F7A" w:rsidP="0048661F">
      <w:pPr>
        <w:pStyle w:val="DCSbodytext"/>
        <w:rPr>
          <w:lang w:eastAsia="en-AU"/>
        </w:rPr>
      </w:pPr>
      <w:r w:rsidRPr="00AC41E0">
        <w:rPr>
          <w:rFonts w:eastAsia="Calibri"/>
        </w:rPr>
        <w:t xml:space="preserve">Consider </w:t>
      </w:r>
      <w:r w:rsidR="009D3212" w:rsidRPr="00AC41E0">
        <w:rPr>
          <w:rFonts w:eastAsia="Calibri"/>
        </w:rPr>
        <w:t xml:space="preserve">what communication or education </w:t>
      </w:r>
      <w:r w:rsidR="00943BF3" w:rsidRPr="00AC41E0">
        <w:rPr>
          <w:rFonts w:eastAsia="Calibri"/>
        </w:rPr>
        <w:t>your stakeholders may require</w:t>
      </w:r>
      <w:r w:rsidR="009D3212" w:rsidRPr="00AC41E0">
        <w:rPr>
          <w:rFonts w:eastAsia="Calibri"/>
        </w:rPr>
        <w:t xml:space="preserve"> support </w:t>
      </w:r>
      <w:r w:rsidR="00943BF3" w:rsidRPr="00AC41E0">
        <w:rPr>
          <w:rFonts w:eastAsia="Calibri"/>
        </w:rPr>
        <w:t xml:space="preserve">about </w:t>
      </w:r>
      <w:r w:rsidR="009D3212" w:rsidRPr="00AC41E0">
        <w:rPr>
          <w:rFonts w:eastAsia="Calibri"/>
        </w:rPr>
        <w:t xml:space="preserve">any IoT deployment. This can </w:t>
      </w:r>
      <w:r w:rsidR="000755D8" w:rsidRPr="00AC41E0">
        <w:rPr>
          <w:rFonts w:eastAsia="Calibri"/>
        </w:rPr>
        <w:t xml:space="preserve">be </w:t>
      </w:r>
      <w:r w:rsidR="00943BF3" w:rsidRPr="00AC41E0">
        <w:rPr>
          <w:rFonts w:eastAsia="Calibri"/>
        </w:rPr>
        <w:t>supported</w:t>
      </w:r>
      <w:r w:rsidR="009D3212" w:rsidRPr="00AC41E0">
        <w:rPr>
          <w:rFonts w:eastAsia="Calibri"/>
        </w:rPr>
        <w:t xml:space="preserve"> by a</w:t>
      </w:r>
      <w:r w:rsidR="000216AF" w:rsidRPr="00AC41E0">
        <w:rPr>
          <w:rFonts w:eastAsia="Calibri"/>
        </w:rPr>
        <w:t xml:space="preserve"> stakeholder </w:t>
      </w:r>
      <w:r w:rsidR="009D3212" w:rsidRPr="00AC41E0">
        <w:rPr>
          <w:rFonts w:eastAsia="Calibri"/>
        </w:rPr>
        <w:t xml:space="preserve">engagement strategy. </w:t>
      </w:r>
      <w:r w:rsidRPr="00AC41E0">
        <w:rPr>
          <w:rFonts w:eastAsia="Calibri"/>
        </w:rPr>
        <w:t xml:space="preserve"> </w:t>
      </w:r>
      <w:r w:rsidR="006D0718" w:rsidRPr="00AC41E0">
        <w:rPr>
          <w:rFonts w:eastAsia="Calibri"/>
        </w:rPr>
        <w:t xml:space="preserve">See </w:t>
      </w:r>
      <w:hyperlink w:anchor="_Stakeholder_engagement" w:history="1">
        <w:r w:rsidR="00061053" w:rsidRPr="00AC41E0">
          <w:rPr>
            <w:rStyle w:val="Hyperlink"/>
            <w:rFonts w:eastAsia="Calibri"/>
          </w:rPr>
          <w:t>Chapter 3.2 Stakeholder engagement</w:t>
        </w:r>
      </w:hyperlink>
      <w:r w:rsidR="00061053" w:rsidRPr="00E46FB0">
        <w:rPr>
          <w:rFonts w:eastAsia="Calibri"/>
        </w:rPr>
        <w:t xml:space="preserve"> and </w:t>
      </w:r>
      <w:hyperlink w:anchor="_Toc14686337" w:history="1">
        <w:r w:rsidR="00061053" w:rsidRPr="00AC41E0">
          <w:rPr>
            <w:rStyle w:val="Hyperlink"/>
            <w:rFonts w:eastAsia="Calibri"/>
          </w:rPr>
          <w:t xml:space="preserve">Chapter </w:t>
        </w:r>
        <w:r w:rsidR="00E17BB8" w:rsidRPr="00AC41E0">
          <w:rPr>
            <w:rStyle w:val="Hyperlink"/>
            <w:rFonts w:eastAsia="Calibri"/>
          </w:rPr>
          <w:t>6.1 Change management</w:t>
        </w:r>
      </w:hyperlink>
      <w:r w:rsidR="009A0B52" w:rsidRPr="00E46FB0">
        <w:rPr>
          <w:rFonts w:eastAsia="Calibri"/>
        </w:rPr>
        <w:t xml:space="preserve"> for further advice</w:t>
      </w:r>
      <w:r w:rsidR="009D3212" w:rsidRPr="00AC41E0">
        <w:rPr>
          <w:rFonts w:eastAsia="Calibri"/>
        </w:rPr>
        <w:t>.</w:t>
      </w:r>
    </w:p>
    <w:p w14:paraId="03AABDF3" w14:textId="649D990D" w:rsidR="0006620D" w:rsidRPr="00E46FB0" w:rsidRDefault="0006620D" w:rsidP="00A74C40">
      <w:pPr>
        <w:pStyle w:val="Heading1"/>
        <w:tabs>
          <w:tab w:val="clear" w:pos="794"/>
          <w:tab w:val="num" w:pos="868"/>
        </w:tabs>
        <w:ind w:left="868"/>
        <w:rPr>
          <w:rFonts w:ascii="Arial" w:hAnsi="Arial"/>
        </w:rPr>
      </w:pPr>
      <w:bookmarkStart w:id="1613" w:name="_Toc65760586"/>
      <w:r w:rsidRPr="00AC41E0">
        <w:rPr>
          <w:rFonts w:ascii="Arial" w:hAnsi="Arial"/>
        </w:rPr>
        <w:lastRenderedPageBreak/>
        <w:t>Us</w:t>
      </w:r>
      <w:r w:rsidR="007814DD" w:rsidRPr="00AC41E0">
        <w:rPr>
          <w:rFonts w:ascii="Arial" w:hAnsi="Arial"/>
        </w:rPr>
        <w:t>e</w:t>
      </w:r>
      <w:r w:rsidR="00D12715" w:rsidRPr="00AC41E0">
        <w:rPr>
          <w:rFonts w:ascii="Arial" w:hAnsi="Arial"/>
        </w:rPr>
        <w:t xml:space="preserve"> and Maintain</w:t>
      </w:r>
      <w:r w:rsidR="005C46D6" w:rsidRPr="00E46FB0">
        <w:rPr>
          <w:rStyle w:val="FootnoteReference"/>
          <w:rFonts w:ascii="Arial" w:hAnsi="Arial"/>
          <w:noProof/>
        </w:rPr>
        <mc:AlternateContent>
          <mc:Choice Requires="wps">
            <w:drawing>
              <wp:inline distT="0" distB="0" distL="0" distR="0" wp14:anchorId="171E75FA" wp14:editId="06A0C287">
                <wp:extent cx="5478780" cy="4260850"/>
                <wp:effectExtent l="0" t="0" r="7620" b="6350"/>
                <wp:docPr id="531754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4260850"/>
                        </a:xfrm>
                        <a:prstGeom prst="rect">
                          <a:avLst/>
                        </a:prstGeom>
                        <a:solidFill>
                          <a:schemeClr val="accent5">
                            <a:lumMod val="40000"/>
                            <a:lumOff val="60000"/>
                          </a:schemeClr>
                        </a:solidFill>
                        <a:ln w="9525">
                          <a:noFill/>
                          <a:miter lim="800000"/>
                          <a:headEnd/>
                          <a:tailEnd/>
                        </a:ln>
                      </wps:spPr>
                      <wps:txbx>
                        <w:txbxContent>
                          <w:p w14:paraId="43A8EA8D" w14:textId="77777777" w:rsidR="004A5EF4" w:rsidRPr="00A57E29" w:rsidRDefault="004A5EF4" w:rsidP="005C46D6">
                            <w:pPr>
                              <w:pStyle w:val="DCSbodytext"/>
                              <w:ind w:left="0"/>
                              <w:jc w:val="center"/>
                              <w:rPr>
                                <w:rStyle w:val="Hyperlink"/>
                                <w:rFonts w:ascii="Times New Roman" w:hAnsi="Times New Roman"/>
                                <w:b/>
                                <w:color w:val="auto"/>
                                <w:sz w:val="24"/>
                                <w:u w:val="none"/>
                                <w:lang w:eastAsia="en-AU"/>
                              </w:rPr>
                            </w:pPr>
                            <w:r>
                              <w:rPr>
                                <w:b/>
                              </w:rPr>
                              <w:t>Best practice considerations at this stage in a project</w:t>
                            </w:r>
                          </w:p>
                          <w:p w14:paraId="423AEE9A" w14:textId="77777777" w:rsidR="004A5EF4" w:rsidRDefault="004A5EF4" w:rsidP="005C46D6">
                            <w:pPr>
                              <w:pStyle w:val="DCSbodytext"/>
                              <w:numPr>
                                <w:ilvl w:val="0"/>
                                <w:numId w:val="166"/>
                              </w:numPr>
                            </w:pPr>
                            <w:r>
                              <w:t>Are you using and analysing the data generated from IoT? Are you using your data to realise new business models or ways of working?</w:t>
                            </w:r>
                          </w:p>
                          <w:p w14:paraId="69E05971" w14:textId="77777777" w:rsidR="004A5EF4" w:rsidRDefault="004A5EF4" w:rsidP="005C46D6">
                            <w:pPr>
                              <w:pStyle w:val="DCSbodytext"/>
                              <w:numPr>
                                <w:ilvl w:val="0"/>
                                <w:numId w:val="166"/>
                              </w:numPr>
                            </w:pPr>
                            <w:r>
                              <w:t>Is your data in real time or near real time?</w:t>
                            </w:r>
                          </w:p>
                          <w:p w14:paraId="5ED43989" w14:textId="77777777" w:rsidR="004A5EF4" w:rsidRDefault="004A5EF4" w:rsidP="005C46D6">
                            <w:pPr>
                              <w:pStyle w:val="DCSbodytext"/>
                              <w:numPr>
                                <w:ilvl w:val="0"/>
                                <w:numId w:val="166"/>
                              </w:numPr>
                            </w:pPr>
                            <w:r>
                              <w:t xml:space="preserve">Are you sharing data in line with data sharing and privacy laws?  </w:t>
                            </w:r>
                          </w:p>
                          <w:p w14:paraId="0EB035C8" w14:textId="77777777" w:rsidR="004A5EF4" w:rsidRDefault="004A5EF4" w:rsidP="005C46D6">
                            <w:pPr>
                              <w:pStyle w:val="DCSbodytext"/>
                              <w:numPr>
                                <w:ilvl w:val="0"/>
                                <w:numId w:val="166"/>
                              </w:numPr>
                            </w:pPr>
                            <w:r>
                              <w:t>Do you have a schedule and are you prepared to conduct cyber security penetration testing?</w:t>
                            </w:r>
                          </w:p>
                          <w:p w14:paraId="190BFA8C" w14:textId="77777777" w:rsidR="004A5EF4" w:rsidRPr="00F33137" w:rsidRDefault="004A5EF4" w:rsidP="005C46D6">
                            <w:pPr>
                              <w:pStyle w:val="DCSbodytext"/>
                              <w:numPr>
                                <w:ilvl w:val="0"/>
                                <w:numId w:val="166"/>
                              </w:numPr>
                            </w:pPr>
                            <w:r w:rsidRPr="00DB002E">
                              <w:rPr>
                                <w:lang w:val="en-GB"/>
                              </w:rPr>
                              <w:t>Are there ongoing communications keeping key stakeholders effectively up to date with progress and plans?</w:t>
                            </w:r>
                          </w:p>
                          <w:p w14:paraId="7B978BDF" w14:textId="77777777" w:rsidR="004A5EF4" w:rsidRPr="00F33137" w:rsidRDefault="004A5EF4" w:rsidP="005C46D6">
                            <w:pPr>
                              <w:pStyle w:val="DCSbodytext"/>
                              <w:numPr>
                                <w:ilvl w:val="0"/>
                                <w:numId w:val="166"/>
                              </w:numPr>
                            </w:pPr>
                            <w:r>
                              <w:rPr>
                                <w:lang w:val="en-GB"/>
                              </w:rPr>
                              <w:t>How are you collecting data? How will you store and maintain your data?</w:t>
                            </w:r>
                          </w:p>
                          <w:p w14:paraId="7FDDE0FF" w14:textId="77777777" w:rsidR="004A5EF4" w:rsidRPr="00F33137" w:rsidRDefault="004A5EF4" w:rsidP="005C46D6">
                            <w:pPr>
                              <w:pStyle w:val="DCSbodytext"/>
                              <w:numPr>
                                <w:ilvl w:val="0"/>
                                <w:numId w:val="166"/>
                              </w:numPr>
                            </w:pPr>
                            <w:r>
                              <w:rPr>
                                <w:lang w:val="en-GB"/>
                              </w:rPr>
                              <w:t>Do you have a device or project maintenance schedule in place and are you sticking to it?</w:t>
                            </w:r>
                          </w:p>
                          <w:p w14:paraId="7E0D818E" w14:textId="77777777" w:rsidR="004A5EF4" w:rsidRDefault="004A5EF4" w:rsidP="005C46D6">
                            <w:pPr>
                              <w:pStyle w:val="DCSbodytext"/>
                              <w:numPr>
                                <w:ilvl w:val="0"/>
                                <w:numId w:val="166"/>
                              </w:numPr>
                            </w:pPr>
                            <w:r>
                              <w:rPr>
                                <w:lang w:val="en-GB"/>
                              </w:rPr>
                              <w:t xml:space="preserve">Are you managing your assets in line with </w:t>
                            </w:r>
                            <w:hyperlink r:id="rId268" w:history="1">
                              <w:r w:rsidRPr="00020995">
                                <w:rPr>
                                  <w:rStyle w:val="Hyperlink"/>
                                  <w:lang w:val="en-GB"/>
                                </w:rPr>
                                <w:t>NSW Treasury Asset Management Policies</w:t>
                              </w:r>
                            </w:hyperlink>
                            <w:r>
                              <w:rPr>
                                <w:lang w:val="en-GB"/>
                              </w:rPr>
                              <w:t>?</w:t>
                            </w:r>
                          </w:p>
                        </w:txbxContent>
                      </wps:txbx>
                      <wps:bodyPr rot="0" vert="horz" wrap="square" lIns="91440" tIns="45720" rIns="91440" bIns="45720" anchor="t" anchorCtr="0">
                        <a:noAutofit/>
                      </wps:bodyPr>
                    </wps:wsp>
                  </a:graphicData>
                </a:graphic>
              </wp:inline>
            </w:drawing>
          </mc:Choice>
          <mc:Fallback>
            <w:pict>
              <v:shape w14:anchorId="171E75FA" id="_x0000_s1042" type="#_x0000_t202" style="width:431.4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" fillcolor="#b6dde8 [1304]" stroked="f">
                <v:textbox>
                  <w:txbxContent>
                    <w:p w14:paraId="43A8EA8D" w14:textId="77777777" w:rsidR="004A5EF4" w:rsidRPr="00A57E29" w:rsidRDefault="004A5EF4" w:rsidP="005C46D6">
                      <w:pPr>
                        <w:pStyle w:val="DCSbodytext"/>
                        <w:ind w:left="0"/>
                        <w:jc w:val="center"/>
                        <w:rPr>
                          <w:rStyle w:val="Hyperlink"/>
                          <w:rFonts w:ascii="Times New Roman" w:hAnsi="Times New Roman"/>
                          <w:b/>
                          <w:color w:val="auto"/>
                          <w:sz w:val="24"/>
                          <w:u w:val="none"/>
                          <w:lang w:eastAsia="en-AU"/>
                        </w:rPr>
                      </w:pPr>
                      <w:r>
                        <w:rPr>
                          <w:b/>
                        </w:rPr>
                        <w:t>Best practice considerations at this stage in a project</w:t>
                      </w:r>
                    </w:p>
                    <w:p w14:paraId="423AEE9A" w14:textId="77777777" w:rsidR="004A5EF4" w:rsidRDefault="004A5EF4" w:rsidP="005C46D6">
                      <w:pPr>
                        <w:pStyle w:val="DCSbodytext"/>
                        <w:numPr>
                          <w:ilvl w:val="0"/>
                          <w:numId w:val="166"/>
                        </w:numPr>
                      </w:pPr>
                      <w:r>
                        <w:t>Are you using and analysing the data generated from IoT? Are you using your data to realise new business models or ways of working?</w:t>
                      </w:r>
                    </w:p>
                    <w:p w14:paraId="69E05971" w14:textId="77777777" w:rsidR="004A5EF4" w:rsidRDefault="004A5EF4" w:rsidP="005C46D6">
                      <w:pPr>
                        <w:pStyle w:val="DCSbodytext"/>
                        <w:numPr>
                          <w:ilvl w:val="0"/>
                          <w:numId w:val="166"/>
                        </w:numPr>
                      </w:pPr>
                      <w:r>
                        <w:t>Is your data in real time or near real time?</w:t>
                      </w:r>
                    </w:p>
                    <w:p w14:paraId="5ED43989" w14:textId="77777777" w:rsidR="004A5EF4" w:rsidRDefault="004A5EF4" w:rsidP="005C46D6">
                      <w:pPr>
                        <w:pStyle w:val="DCSbodytext"/>
                        <w:numPr>
                          <w:ilvl w:val="0"/>
                          <w:numId w:val="166"/>
                        </w:numPr>
                      </w:pPr>
                      <w:r>
                        <w:t xml:space="preserve">Are you sharing data in line with data sharing and privacy laws?  </w:t>
                      </w:r>
                    </w:p>
                    <w:p w14:paraId="0EB035C8" w14:textId="77777777" w:rsidR="004A5EF4" w:rsidRDefault="004A5EF4" w:rsidP="005C46D6">
                      <w:pPr>
                        <w:pStyle w:val="DCSbodytext"/>
                        <w:numPr>
                          <w:ilvl w:val="0"/>
                          <w:numId w:val="166"/>
                        </w:numPr>
                      </w:pPr>
                      <w:r>
                        <w:t>Do you have a schedule and are you prepared to conduct cyber security penetration testing?</w:t>
                      </w:r>
                    </w:p>
                    <w:p w14:paraId="190BFA8C" w14:textId="77777777" w:rsidR="004A5EF4" w:rsidRPr="00F33137" w:rsidRDefault="004A5EF4" w:rsidP="005C46D6">
                      <w:pPr>
                        <w:pStyle w:val="DCSbodytext"/>
                        <w:numPr>
                          <w:ilvl w:val="0"/>
                          <w:numId w:val="166"/>
                        </w:numPr>
                      </w:pPr>
                      <w:r w:rsidRPr="00DB002E">
                        <w:rPr>
                          <w:lang w:val="en-GB"/>
                        </w:rPr>
                        <w:t>Are there ongoing communications keeping key stakeholders effectively up to date with progress and plans?</w:t>
                      </w:r>
                    </w:p>
                    <w:p w14:paraId="7B978BDF" w14:textId="77777777" w:rsidR="004A5EF4" w:rsidRPr="00F33137" w:rsidRDefault="004A5EF4" w:rsidP="005C46D6">
                      <w:pPr>
                        <w:pStyle w:val="DCSbodytext"/>
                        <w:numPr>
                          <w:ilvl w:val="0"/>
                          <w:numId w:val="166"/>
                        </w:numPr>
                      </w:pPr>
                      <w:r>
                        <w:rPr>
                          <w:lang w:val="en-GB"/>
                        </w:rPr>
                        <w:t>How are you collecting data? How will you store and maintain your data?</w:t>
                      </w:r>
                    </w:p>
                    <w:p w14:paraId="7FDDE0FF" w14:textId="77777777" w:rsidR="004A5EF4" w:rsidRPr="00F33137" w:rsidRDefault="004A5EF4" w:rsidP="005C46D6">
                      <w:pPr>
                        <w:pStyle w:val="DCSbodytext"/>
                        <w:numPr>
                          <w:ilvl w:val="0"/>
                          <w:numId w:val="166"/>
                        </w:numPr>
                      </w:pPr>
                      <w:r>
                        <w:rPr>
                          <w:lang w:val="en-GB"/>
                        </w:rPr>
                        <w:t>Do you have a device or project maintenance schedule in place and are you sticking to it?</w:t>
                      </w:r>
                    </w:p>
                    <w:p w14:paraId="7E0D818E" w14:textId="77777777" w:rsidR="004A5EF4" w:rsidRDefault="004A5EF4" w:rsidP="005C46D6">
                      <w:pPr>
                        <w:pStyle w:val="DCSbodytext"/>
                        <w:numPr>
                          <w:ilvl w:val="0"/>
                          <w:numId w:val="166"/>
                        </w:numPr>
                      </w:pPr>
                      <w:r>
                        <w:rPr>
                          <w:lang w:val="en-GB"/>
                        </w:rPr>
                        <w:t xml:space="preserve">Are you managing your assets in line with </w:t>
                      </w:r>
                      <w:hyperlink r:id="rId269" w:history="1">
                        <w:r w:rsidRPr="00020995">
                          <w:rPr>
                            <w:rStyle w:val="Hyperlink"/>
                            <w:lang w:val="en-GB"/>
                          </w:rPr>
                          <w:t>NSW Treasury Asset Management Policies</w:t>
                        </w:r>
                      </w:hyperlink>
                      <w:r>
                        <w:rPr>
                          <w:lang w:val="en-GB"/>
                        </w:rPr>
                        <w:t>?</w:t>
                      </w:r>
                    </w:p>
                  </w:txbxContent>
                </v:textbox>
                <w10:anchorlock/>
              </v:shape>
            </w:pict>
          </mc:Fallback>
        </mc:AlternateContent>
      </w:r>
      <w:bookmarkEnd w:id="1613"/>
    </w:p>
    <w:p w14:paraId="72DC2A18" w14:textId="70CCCFA6" w:rsidR="008C08C8" w:rsidRPr="00AC41E0" w:rsidRDefault="008C08C8" w:rsidP="0022369F">
      <w:pPr>
        <w:pStyle w:val="DCSbodytext"/>
        <w:rPr>
          <w:b/>
          <w:lang w:eastAsia="en-AU"/>
        </w:rPr>
      </w:pPr>
    </w:p>
    <w:p w14:paraId="26670744" w14:textId="77777777" w:rsidR="001D3817" w:rsidRPr="00AC41E0" w:rsidRDefault="001D3817" w:rsidP="00D4137E">
      <w:pPr>
        <w:pStyle w:val="Heading2"/>
        <w:tabs>
          <w:tab w:val="num" w:pos="868"/>
        </w:tabs>
        <w:ind w:left="868"/>
        <w:rPr>
          <w:rFonts w:ascii="Arial" w:hAnsi="Arial"/>
        </w:rPr>
        <w:sectPr w:rsidR="001D3817" w:rsidRPr="00AC41E0" w:rsidSect="002771AA">
          <w:pgSz w:w="11906" w:h="16838"/>
          <w:pgMar w:top="1418" w:right="1134" w:bottom="1134" w:left="1134" w:header="851" w:footer="425" w:gutter="0"/>
          <w:cols w:space="708"/>
          <w:titlePg/>
          <w:docGrid w:linePitch="360"/>
        </w:sectPr>
      </w:pPr>
      <w:bookmarkStart w:id="1614" w:name="_Toc15313834"/>
      <w:bookmarkStart w:id="1615" w:name="_Toc15313990"/>
      <w:bookmarkStart w:id="1616" w:name="_Toc15314146"/>
      <w:bookmarkStart w:id="1617" w:name="_Toc15314300"/>
      <w:bookmarkStart w:id="1618" w:name="_Toc15314929"/>
      <w:bookmarkStart w:id="1619" w:name="_Toc14686342"/>
      <w:bookmarkStart w:id="1620" w:name="_Toc14690081"/>
      <w:bookmarkStart w:id="1621" w:name="_Toc14692046"/>
      <w:bookmarkStart w:id="1622" w:name="_Toc14694119"/>
      <w:bookmarkStart w:id="1623" w:name="_Toc14694266"/>
      <w:bookmarkStart w:id="1624" w:name="_Toc14695838"/>
      <w:bookmarkStart w:id="1625" w:name="_Toc14701055"/>
      <w:bookmarkStart w:id="1626" w:name="_Toc14703031"/>
      <w:bookmarkStart w:id="1627" w:name="_Toc14709906"/>
      <w:bookmarkStart w:id="1628" w:name="_Toc14768773"/>
      <w:bookmarkStart w:id="1629" w:name="_Toc14771229"/>
      <w:bookmarkStart w:id="1630" w:name="_Toc14771412"/>
      <w:bookmarkStart w:id="1631" w:name="_Toc14771796"/>
      <w:bookmarkStart w:id="1632" w:name="_Toc14772006"/>
      <w:bookmarkStart w:id="1633" w:name="_Toc14774591"/>
      <w:bookmarkStart w:id="1634" w:name="_Toc14775655"/>
      <w:bookmarkStart w:id="1635" w:name="_Toc14775818"/>
      <w:bookmarkStart w:id="1636" w:name="_Toc14776412"/>
      <w:bookmarkStart w:id="1637" w:name="_Toc14778013"/>
      <w:bookmarkStart w:id="1638" w:name="_Toc14778159"/>
      <w:bookmarkStart w:id="1639" w:name="_Data_analysis_and"/>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p>
    <w:p w14:paraId="63C46F1A" w14:textId="7A519250" w:rsidR="00C26E24" w:rsidRPr="00AC41E0" w:rsidRDefault="00C26E24" w:rsidP="00D4137E">
      <w:pPr>
        <w:pStyle w:val="Heading2"/>
        <w:tabs>
          <w:tab w:val="num" w:pos="868"/>
        </w:tabs>
        <w:ind w:left="868"/>
        <w:rPr>
          <w:rFonts w:ascii="Arial" w:hAnsi="Arial"/>
        </w:rPr>
      </w:pPr>
      <w:bookmarkStart w:id="1640" w:name="_Toc65760587"/>
      <w:r w:rsidRPr="00E46FB0">
        <w:rPr>
          <w:rFonts w:ascii="Arial" w:hAnsi="Arial"/>
        </w:rPr>
        <w:lastRenderedPageBreak/>
        <w:t>Data analysis</w:t>
      </w:r>
      <w:r w:rsidR="005F3B15" w:rsidRPr="00AC41E0">
        <w:rPr>
          <w:rFonts w:ascii="Arial" w:hAnsi="Arial"/>
        </w:rPr>
        <w:t xml:space="preserve"> and use</w:t>
      </w:r>
      <w:bookmarkEnd w:id="1640"/>
    </w:p>
    <w:p w14:paraId="15E9CE04" w14:textId="3B172149" w:rsidR="0057013A" w:rsidRPr="00AC41E0" w:rsidRDefault="0057013A">
      <w:pPr>
        <w:pStyle w:val="Heading3"/>
        <w:rPr>
          <w:rFonts w:ascii="Arial" w:hAnsi="Arial"/>
        </w:rPr>
      </w:pPr>
      <w:bookmarkStart w:id="1641" w:name="_Toc65760588"/>
      <w:r w:rsidRPr="00AC41E0">
        <w:rPr>
          <w:rFonts w:ascii="Arial" w:hAnsi="Arial"/>
        </w:rPr>
        <w:t>The data analytics process</w:t>
      </w:r>
      <w:bookmarkEnd w:id="1641"/>
      <w:r w:rsidRPr="00AC41E0">
        <w:rPr>
          <w:rFonts w:ascii="Arial" w:hAnsi="Arial"/>
        </w:rPr>
        <w:t xml:space="preserve"> </w:t>
      </w:r>
    </w:p>
    <w:p w14:paraId="6FF5E0BE" w14:textId="278361D7" w:rsidR="00C02205" w:rsidRPr="00AC41E0" w:rsidRDefault="00DB3DA8" w:rsidP="0022369F">
      <w:pPr>
        <w:pStyle w:val="DCSbodytext"/>
        <w:ind w:left="851"/>
        <w:rPr>
          <w:rFonts w:eastAsia="Arial"/>
        </w:rPr>
      </w:pPr>
      <w:bookmarkStart w:id="1642" w:name="_Toc15313234"/>
      <w:bookmarkStart w:id="1643" w:name="_Toc15313372"/>
      <w:bookmarkStart w:id="1644" w:name="_Toc15313837"/>
      <w:bookmarkStart w:id="1645" w:name="_Toc15313993"/>
      <w:bookmarkStart w:id="1646" w:name="_Toc15314149"/>
      <w:bookmarkStart w:id="1647" w:name="_Toc15314303"/>
      <w:bookmarkStart w:id="1648" w:name="_Toc15314932"/>
      <w:bookmarkEnd w:id="1642"/>
      <w:bookmarkEnd w:id="1643"/>
      <w:bookmarkEnd w:id="1644"/>
      <w:bookmarkEnd w:id="1645"/>
      <w:bookmarkEnd w:id="1646"/>
      <w:bookmarkEnd w:id="1647"/>
      <w:bookmarkEnd w:id="1648"/>
      <w:r w:rsidRPr="00AC41E0">
        <w:rPr>
          <w:rFonts w:eastAsia="Arial"/>
        </w:rPr>
        <w:t>IoT allows for near real-time operational insights (u</w:t>
      </w:r>
      <w:r w:rsidR="0049688A" w:rsidRPr="00AC41E0">
        <w:rPr>
          <w:rFonts w:eastAsia="Arial"/>
        </w:rPr>
        <w:t>nlike traditional business intelligence based on batch runs that outpu</w:t>
      </w:r>
      <w:r w:rsidRPr="00AC41E0">
        <w:rPr>
          <w:rFonts w:eastAsia="Arial"/>
        </w:rPr>
        <w:t>t reports for later consumption)</w:t>
      </w:r>
      <w:r w:rsidR="00AE31EA" w:rsidRPr="00AC41E0">
        <w:rPr>
          <w:rFonts w:eastAsia="Arial"/>
        </w:rPr>
        <w:t xml:space="preserve">. These insights can be provided in terms of alerts or post-processing insights to allow for streamlining processes. The data requirements to source this data and then bring it in for custom analytics </w:t>
      </w:r>
      <w:r w:rsidR="00B2126E" w:rsidRPr="00AC41E0">
        <w:rPr>
          <w:rFonts w:eastAsia="Arial"/>
        </w:rPr>
        <w:t xml:space="preserve">are </w:t>
      </w:r>
      <w:r w:rsidR="00AE31EA" w:rsidRPr="00AC41E0">
        <w:rPr>
          <w:rFonts w:eastAsia="Arial"/>
        </w:rPr>
        <w:t>the foundation of data analytics platforms.</w:t>
      </w:r>
      <w:r w:rsidR="00C02205" w:rsidRPr="00AC41E0">
        <w:rPr>
          <w:rFonts w:eastAsia="Arial"/>
        </w:rPr>
        <w:t xml:space="preserve"> </w:t>
      </w:r>
    </w:p>
    <w:p w14:paraId="41F89AC2" w14:textId="626415FA" w:rsidR="00EF60D1" w:rsidRPr="00AC41E0" w:rsidRDefault="00F41E81" w:rsidP="0022369F">
      <w:pPr>
        <w:pStyle w:val="DCSbodytext"/>
        <w:ind w:left="851"/>
        <w:rPr>
          <w:rFonts w:eastAsia="Arial"/>
        </w:rPr>
      </w:pPr>
      <w:r w:rsidRPr="00AC41E0">
        <w:rPr>
          <w:rFonts w:eastAsia="Arial"/>
        </w:rPr>
        <w:t>Data analytics</w:t>
      </w:r>
      <w:r w:rsidR="00CA3107" w:rsidRPr="00AC41E0">
        <w:rPr>
          <w:rFonts w:eastAsia="Arial"/>
        </w:rPr>
        <w:t xml:space="preserve"> </w:t>
      </w:r>
      <w:r w:rsidR="005B1C67" w:rsidRPr="00AC41E0">
        <w:t xml:space="preserve">has </w:t>
      </w:r>
      <w:r w:rsidR="00CA3107" w:rsidRPr="00AC41E0">
        <w:t>an ever</w:t>
      </w:r>
      <w:r w:rsidR="005F3B15" w:rsidRPr="00AC41E0">
        <w:t>-</w:t>
      </w:r>
      <w:r w:rsidR="00CA3107" w:rsidRPr="00AC41E0">
        <w:t>increasing range of applications, including predictive maintenance, remote monitoring, inventory tracking, performance management of devices or networks, capacity utilisation and planning, demand forecasting and customer service improvement.</w:t>
      </w:r>
    </w:p>
    <w:p w14:paraId="12A17445" w14:textId="5427763D" w:rsidR="009273FA" w:rsidRPr="00AC41E0" w:rsidRDefault="000A677D" w:rsidP="00D4137E">
      <w:pPr>
        <w:pStyle w:val="DCSbodytext"/>
        <w:ind w:left="868"/>
        <w:jc w:val="center"/>
        <w:rPr>
          <w:rFonts w:eastAsia="Arial"/>
          <w:b/>
        </w:rPr>
      </w:pPr>
      <w:r w:rsidRPr="00E46FB0">
        <w:rPr>
          <w:rFonts w:eastAsia="Arial"/>
          <w:b/>
        </w:rPr>
        <w:t>Examples of types of dat</w:t>
      </w:r>
      <w:r w:rsidRPr="00AC41E0">
        <w:rPr>
          <w:rFonts w:eastAsia="Arial"/>
          <w:b/>
        </w:rPr>
        <w:t xml:space="preserve">a </w:t>
      </w:r>
      <w:r w:rsidR="00FF4F39" w:rsidRPr="00AC41E0">
        <w:rPr>
          <w:rFonts w:eastAsia="Arial"/>
          <w:b/>
        </w:rPr>
        <w:t xml:space="preserve">analytics </w:t>
      </w:r>
      <w:r w:rsidR="00CA6F9F" w:rsidRPr="00AC41E0">
        <w:rPr>
          <w:rFonts w:eastAsia="Arial"/>
          <w:b/>
        </w:rPr>
        <w:t>used for IoT data</w:t>
      </w:r>
    </w:p>
    <w:tbl>
      <w:tblPr>
        <w:tblStyle w:val="GridTable4-Accent1"/>
        <w:tblW w:w="0" w:type="auto"/>
        <w:tblInd w:w="846" w:type="dxa"/>
        <w:tblLook w:val="04A0" w:firstRow="1" w:lastRow="0" w:firstColumn="1" w:lastColumn="0" w:noHBand="0" w:noVBand="1"/>
      </w:tblPr>
      <w:tblGrid>
        <w:gridCol w:w="1701"/>
        <w:gridCol w:w="7081"/>
      </w:tblGrid>
      <w:tr w:rsidR="000A677D" w:rsidRPr="00AC41E0" w14:paraId="26E19EC1" w14:textId="77777777" w:rsidTr="00110C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1F497D" w:themeFill="text2"/>
          </w:tcPr>
          <w:p w14:paraId="30F5094E" w14:textId="0080CCD2" w:rsidR="000A677D" w:rsidRPr="00AC41E0" w:rsidRDefault="000A677D" w:rsidP="00C02205">
            <w:pPr>
              <w:pStyle w:val="DCSbodytext"/>
              <w:spacing w:after="120"/>
              <w:ind w:left="0"/>
              <w:jc w:val="center"/>
              <w:rPr>
                <w:rFonts w:eastAsia="Arial"/>
              </w:rPr>
            </w:pPr>
            <w:r w:rsidRPr="00AC41E0">
              <w:rPr>
                <w:rFonts w:eastAsia="Arial"/>
              </w:rPr>
              <w:t>Type of data analysis</w:t>
            </w:r>
          </w:p>
        </w:tc>
        <w:tc>
          <w:tcPr>
            <w:tcW w:w="0" w:type="dxa"/>
            <w:tcBorders>
              <w:top w:val="single" w:sz="4" w:space="0" w:color="auto"/>
              <w:left w:val="single" w:sz="4" w:space="0" w:color="auto"/>
              <w:bottom w:val="single" w:sz="4" w:space="0" w:color="auto"/>
              <w:right w:val="single" w:sz="4" w:space="0" w:color="auto"/>
            </w:tcBorders>
            <w:shd w:val="clear" w:color="auto" w:fill="1F497D" w:themeFill="text2"/>
          </w:tcPr>
          <w:p w14:paraId="4372D1A6" w14:textId="4CFBD628" w:rsidR="000A677D" w:rsidRPr="00AC41E0" w:rsidRDefault="000A677D" w:rsidP="004271EB">
            <w:pPr>
              <w:pStyle w:val="DCSbodytext"/>
              <w:spacing w:after="120"/>
              <w:ind w:left="0"/>
              <w:jc w:val="center"/>
              <w:cnfStyle w:val="100000000000" w:firstRow="1" w:lastRow="0" w:firstColumn="0" w:lastColumn="0" w:oddVBand="0" w:evenVBand="0" w:oddHBand="0" w:evenHBand="0" w:firstRowFirstColumn="0" w:firstRowLastColumn="0" w:lastRowFirstColumn="0" w:lastRowLastColumn="0"/>
              <w:rPr>
                <w:rFonts w:eastAsia="Arial"/>
              </w:rPr>
            </w:pPr>
            <w:r w:rsidRPr="00AC41E0">
              <w:rPr>
                <w:rFonts w:eastAsia="Arial"/>
              </w:rPr>
              <w:t>Description</w:t>
            </w:r>
          </w:p>
        </w:tc>
      </w:tr>
      <w:tr w:rsidR="000A677D" w:rsidRPr="00AC41E0" w14:paraId="7146509C" w14:textId="77777777" w:rsidTr="00223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tcPr>
          <w:p w14:paraId="38941699" w14:textId="4E1883F4" w:rsidR="000A677D" w:rsidRPr="00AC41E0" w:rsidRDefault="000A677D" w:rsidP="0022369F">
            <w:pPr>
              <w:pStyle w:val="DCSbodytext"/>
              <w:spacing w:after="120"/>
              <w:ind w:left="0"/>
              <w:jc w:val="center"/>
              <w:rPr>
                <w:rFonts w:eastAsia="Arial"/>
                <w:color w:val="000000" w:themeColor="text1"/>
              </w:rPr>
            </w:pPr>
            <w:r w:rsidRPr="00AC41E0">
              <w:rPr>
                <w:rFonts w:eastAsia="Arial"/>
                <w:color w:val="000000" w:themeColor="text1"/>
              </w:rPr>
              <w:t>Streaming</w:t>
            </w:r>
          </w:p>
        </w:tc>
        <w:tc>
          <w:tcPr>
            <w:tcW w:w="7081" w:type="dxa"/>
            <w:tcBorders>
              <w:top w:val="single" w:sz="4" w:space="0" w:color="auto"/>
            </w:tcBorders>
          </w:tcPr>
          <w:p w14:paraId="2433C62C" w14:textId="638DF4E7" w:rsidR="000A677D" w:rsidRPr="00AC41E0" w:rsidRDefault="000A677D" w:rsidP="0022369F">
            <w:pPr>
              <w:pStyle w:val="DCSbodytext"/>
              <w:spacing w:after="120" w:line="276" w:lineRule="auto"/>
              <w:ind w:left="0"/>
              <w:cnfStyle w:val="000000100000" w:firstRow="0" w:lastRow="0" w:firstColumn="0" w:lastColumn="0" w:oddVBand="0" w:evenVBand="0" w:oddHBand="1" w:evenHBand="0" w:firstRowFirstColumn="0" w:firstRowLastColumn="0" w:lastRowFirstColumn="0" w:lastRowLastColumn="0"/>
              <w:rPr>
                <w:color w:val="000000" w:themeColor="text1"/>
              </w:rPr>
            </w:pPr>
            <w:r w:rsidRPr="00AC41E0">
              <w:rPr>
                <w:color w:val="000000" w:themeColor="text1"/>
              </w:rPr>
              <w:t xml:space="preserve">Also referred to as event stream processing. Used to analyse huge in-motion data sets. Real-time data streams are analysed in this process to detect urgent situations and immediate actions. This type of </w:t>
            </w:r>
            <w:r w:rsidR="00D07494" w:rsidRPr="00AC41E0">
              <w:rPr>
                <w:color w:val="000000" w:themeColor="text1"/>
              </w:rPr>
              <w:t xml:space="preserve">data </w:t>
            </w:r>
            <w:r w:rsidRPr="00AC41E0">
              <w:rPr>
                <w:color w:val="000000" w:themeColor="text1"/>
              </w:rPr>
              <w:t>analytics is used for IoT applications, including those based on financial transactions, air fleet tracking and traffic analysis. This type of task can often be labelled anomaly detection.</w:t>
            </w:r>
          </w:p>
        </w:tc>
      </w:tr>
      <w:tr w:rsidR="000A677D" w:rsidRPr="00AC41E0" w14:paraId="48D2396E" w14:textId="77777777" w:rsidTr="0022369F">
        <w:tc>
          <w:tcPr>
            <w:cnfStyle w:val="001000000000" w:firstRow="0" w:lastRow="0" w:firstColumn="1" w:lastColumn="0" w:oddVBand="0" w:evenVBand="0" w:oddHBand="0" w:evenHBand="0" w:firstRowFirstColumn="0" w:firstRowLastColumn="0" w:lastRowFirstColumn="0" w:lastRowLastColumn="0"/>
            <w:tcW w:w="1701" w:type="dxa"/>
          </w:tcPr>
          <w:p w14:paraId="318F6D94" w14:textId="5C6383B2" w:rsidR="000A677D" w:rsidRPr="00AC41E0" w:rsidRDefault="000A677D" w:rsidP="0022369F">
            <w:pPr>
              <w:pStyle w:val="DCSbodytext"/>
              <w:spacing w:after="120"/>
              <w:ind w:left="0"/>
              <w:jc w:val="center"/>
              <w:rPr>
                <w:rFonts w:eastAsia="Arial"/>
                <w:color w:val="000000" w:themeColor="text1"/>
              </w:rPr>
            </w:pPr>
            <w:r w:rsidRPr="00AC41E0">
              <w:rPr>
                <w:rFonts w:eastAsia="Arial"/>
                <w:color w:val="000000" w:themeColor="text1"/>
              </w:rPr>
              <w:t>Spatial</w:t>
            </w:r>
          </w:p>
        </w:tc>
        <w:tc>
          <w:tcPr>
            <w:tcW w:w="7081" w:type="dxa"/>
          </w:tcPr>
          <w:p w14:paraId="666B98CF" w14:textId="2B59BD66" w:rsidR="000A677D" w:rsidRPr="00AC41E0" w:rsidRDefault="000A677D" w:rsidP="0022369F">
            <w:pPr>
              <w:pStyle w:val="DCSbodytext"/>
              <w:spacing w:after="120" w:line="276" w:lineRule="auto"/>
              <w:ind w:left="0"/>
              <w:cnfStyle w:val="000000000000" w:firstRow="0" w:lastRow="0" w:firstColumn="0" w:lastColumn="0" w:oddVBand="0" w:evenVBand="0" w:oddHBand="0" w:evenHBand="0" w:firstRowFirstColumn="0" w:firstRowLastColumn="0" w:lastRowFirstColumn="0" w:lastRowLastColumn="0"/>
              <w:rPr>
                <w:color w:val="000000" w:themeColor="text1"/>
              </w:rPr>
            </w:pPr>
            <w:r w:rsidRPr="00AC41E0">
              <w:rPr>
                <w:color w:val="000000" w:themeColor="text1"/>
              </w:rPr>
              <w:t xml:space="preserve">Used to analyse geographic patterns to determine the spatial relationship between physical objects. This type of data analytics is used for location-based IoT applications, such as smart parking applications. </w:t>
            </w:r>
          </w:p>
        </w:tc>
      </w:tr>
      <w:tr w:rsidR="000A677D" w:rsidRPr="00AC41E0" w14:paraId="43594BDE" w14:textId="77777777" w:rsidTr="00223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3F210F2" w14:textId="388F3CEC" w:rsidR="000A677D" w:rsidRPr="00AC41E0" w:rsidRDefault="000A677D" w:rsidP="0022369F">
            <w:pPr>
              <w:pStyle w:val="DCSbodytext"/>
              <w:spacing w:after="120"/>
              <w:ind w:left="0"/>
              <w:jc w:val="center"/>
              <w:rPr>
                <w:rFonts w:eastAsia="Arial"/>
                <w:color w:val="000000" w:themeColor="text1"/>
              </w:rPr>
            </w:pPr>
            <w:r w:rsidRPr="00AC41E0">
              <w:rPr>
                <w:rFonts w:eastAsia="Arial"/>
                <w:color w:val="000000" w:themeColor="text1"/>
              </w:rPr>
              <w:t>Time</w:t>
            </w:r>
            <w:r w:rsidR="0014578E" w:rsidRPr="00AC41E0">
              <w:rPr>
                <w:rFonts w:eastAsia="Arial"/>
                <w:color w:val="000000" w:themeColor="text1"/>
              </w:rPr>
              <w:t>-</w:t>
            </w:r>
            <w:r w:rsidRPr="00AC41E0">
              <w:rPr>
                <w:rFonts w:eastAsia="Arial"/>
                <w:color w:val="000000" w:themeColor="text1"/>
              </w:rPr>
              <w:t>series</w:t>
            </w:r>
          </w:p>
        </w:tc>
        <w:tc>
          <w:tcPr>
            <w:tcW w:w="7081" w:type="dxa"/>
          </w:tcPr>
          <w:p w14:paraId="3880E18A" w14:textId="2D5E2D5F" w:rsidR="000A677D" w:rsidRPr="00AC41E0" w:rsidRDefault="000A677D" w:rsidP="0022369F">
            <w:pPr>
              <w:pStyle w:val="DCSbodytext"/>
              <w:spacing w:after="120" w:line="276" w:lineRule="auto"/>
              <w:ind w:left="0"/>
              <w:cnfStyle w:val="000000100000" w:firstRow="0" w:lastRow="0" w:firstColumn="0" w:lastColumn="0" w:oddVBand="0" w:evenVBand="0" w:oddHBand="1" w:evenHBand="0" w:firstRowFirstColumn="0" w:firstRowLastColumn="0" w:lastRowFirstColumn="0" w:lastRowLastColumn="0"/>
              <w:rPr>
                <w:color w:val="000000" w:themeColor="text1"/>
              </w:rPr>
            </w:pPr>
            <w:r w:rsidRPr="00AC41E0">
              <w:rPr>
                <w:color w:val="000000" w:themeColor="text1"/>
              </w:rPr>
              <w:t>Based upon time-based data which is analysed to reveal associated trends and patterns. This type of data analytics can be used for IoT applications such as weather forecasting, electricity consumption</w:t>
            </w:r>
            <w:r w:rsidR="00F00A01" w:rsidRPr="00AC41E0">
              <w:rPr>
                <w:color w:val="000000" w:themeColor="text1"/>
              </w:rPr>
              <w:t>,</w:t>
            </w:r>
            <w:r w:rsidRPr="00AC41E0">
              <w:rPr>
                <w:color w:val="000000" w:themeColor="text1"/>
              </w:rPr>
              <w:t xml:space="preserve"> and health monitoring systems.</w:t>
            </w:r>
          </w:p>
        </w:tc>
      </w:tr>
      <w:tr w:rsidR="000A677D" w:rsidRPr="00AC41E0" w14:paraId="1975EF1F" w14:textId="77777777" w:rsidTr="0022369F">
        <w:tc>
          <w:tcPr>
            <w:cnfStyle w:val="001000000000" w:firstRow="0" w:lastRow="0" w:firstColumn="1" w:lastColumn="0" w:oddVBand="0" w:evenVBand="0" w:oddHBand="0" w:evenHBand="0" w:firstRowFirstColumn="0" w:firstRowLastColumn="0" w:lastRowFirstColumn="0" w:lastRowLastColumn="0"/>
            <w:tcW w:w="1701" w:type="dxa"/>
          </w:tcPr>
          <w:p w14:paraId="53C04A3B" w14:textId="15DC3E16" w:rsidR="000A677D" w:rsidRPr="00AC41E0" w:rsidRDefault="000A677D" w:rsidP="0022369F">
            <w:pPr>
              <w:pStyle w:val="DCSbodytext"/>
              <w:spacing w:after="120"/>
              <w:ind w:left="0"/>
              <w:jc w:val="center"/>
              <w:rPr>
                <w:rFonts w:eastAsia="Arial"/>
                <w:color w:val="000000" w:themeColor="text1"/>
              </w:rPr>
            </w:pPr>
            <w:r w:rsidRPr="00AC41E0">
              <w:rPr>
                <w:rFonts w:eastAsia="Arial"/>
                <w:color w:val="000000" w:themeColor="text1"/>
              </w:rPr>
              <w:t>Prescriptive</w:t>
            </w:r>
          </w:p>
        </w:tc>
        <w:tc>
          <w:tcPr>
            <w:tcW w:w="7081" w:type="dxa"/>
          </w:tcPr>
          <w:p w14:paraId="12EC9752" w14:textId="4001C998" w:rsidR="000A677D" w:rsidRPr="00AC41E0" w:rsidRDefault="000A677D" w:rsidP="0022369F">
            <w:pPr>
              <w:pStyle w:val="DCSbodytext"/>
              <w:spacing w:after="120" w:line="276" w:lineRule="auto"/>
              <w:ind w:left="0"/>
              <w:cnfStyle w:val="000000000000" w:firstRow="0" w:lastRow="0" w:firstColumn="0" w:lastColumn="0" w:oddVBand="0" w:evenVBand="0" w:oddHBand="0" w:evenHBand="0" w:firstRowFirstColumn="0" w:firstRowLastColumn="0" w:lastRowFirstColumn="0" w:lastRowLastColumn="0"/>
              <w:rPr>
                <w:color w:val="000000" w:themeColor="text1"/>
              </w:rPr>
            </w:pPr>
            <w:r w:rsidRPr="00AC41E0">
              <w:rPr>
                <w:color w:val="000000" w:themeColor="text1"/>
              </w:rPr>
              <w:t>This form of data analytics is applied to understand the best actions that can be taken in a particular situation.</w:t>
            </w:r>
          </w:p>
        </w:tc>
      </w:tr>
    </w:tbl>
    <w:p w14:paraId="18A2AD22" w14:textId="6AE9FCD9" w:rsidR="009273FA" w:rsidRPr="00AC41E0" w:rsidRDefault="004934DF" w:rsidP="0022369F">
      <w:pPr>
        <w:pStyle w:val="Heading4"/>
        <w:rPr>
          <w:rFonts w:ascii="Arial" w:hAnsi="Arial"/>
        </w:rPr>
      </w:pPr>
      <w:r w:rsidRPr="00AC41E0">
        <w:rPr>
          <w:rFonts w:ascii="Arial" w:hAnsi="Arial"/>
        </w:rPr>
        <w:t>Steps for d</w:t>
      </w:r>
      <w:r w:rsidR="00364B52" w:rsidRPr="00AC41E0">
        <w:rPr>
          <w:rFonts w:ascii="Arial" w:hAnsi="Arial"/>
        </w:rPr>
        <w:t>ata analytics</w:t>
      </w:r>
    </w:p>
    <w:p w14:paraId="49FDC94C" w14:textId="1F381BC5" w:rsidR="00520394" w:rsidRPr="00AC41E0" w:rsidRDefault="00EF3DE8" w:rsidP="0022369F">
      <w:pPr>
        <w:pStyle w:val="DCSbodytext"/>
        <w:spacing w:after="120"/>
        <w:rPr>
          <w:rFonts w:eastAsia="Arial"/>
        </w:rPr>
      </w:pPr>
      <w:r w:rsidRPr="00AC41E0">
        <w:rPr>
          <w:rFonts w:eastAsia="Arial"/>
        </w:rPr>
        <w:t>T</w:t>
      </w:r>
      <w:r w:rsidR="00520394" w:rsidRPr="00AC41E0">
        <w:rPr>
          <w:rFonts w:eastAsia="Arial"/>
        </w:rPr>
        <w:t>o perform data analytics, processes need to be adopted and generally encompass:</w:t>
      </w:r>
    </w:p>
    <w:p w14:paraId="2820522F" w14:textId="74B049BD" w:rsidR="00520394" w:rsidRPr="00E46FB0" w:rsidRDefault="00084371" w:rsidP="0022369F">
      <w:pPr>
        <w:pStyle w:val="DCSbodytext"/>
        <w:numPr>
          <w:ilvl w:val="0"/>
          <w:numId w:val="20"/>
        </w:numPr>
        <w:spacing w:after="120"/>
        <w:rPr>
          <w:rFonts w:eastAsia="Arial"/>
        </w:rPr>
      </w:pPr>
      <w:hyperlink w:anchor="_Specifying_data_requirements" w:history="1">
        <w:r w:rsidR="00EF60D1" w:rsidRPr="00AC41E0">
          <w:rPr>
            <w:rStyle w:val="Hyperlink"/>
            <w:rFonts w:eastAsia="Arial"/>
          </w:rPr>
          <w:t>d</w:t>
        </w:r>
        <w:r w:rsidR="00520394" w:rsidRPr="00AC41E0">
          <w:rPr>
            <w:rStyle w:val="Hyperlink"/>
            <w:rFonts w:eastAsia="Arial"/>
          </w:rPr>
          <w:t>ata requirement</w:t>
        </w:r>
        <w:r w:rsidR="003D3050" w:rsidRPr="00AC41E0">
          <w:rPr>
            <w:rStyle w:val="Hyperlink"/>
            <w:rFonts w:eastAsia="Arial"/>
          </w:rPr>
          <w:t>s</w:t>
        </w:r>
        <w:r w:rsidR="00520394" w:rsidRPr="00AC41E0">
          <w:rPr>
            <w:rStyle w:val="Hyperlink"/>
            <w:rFonts w:eastAsia="Arial"/>
          </w:rPr>
          <w:t xml:space="preserve"> specification</w:t>
        </w:r>
      </w:hyperlink>
    </w:p>
    <w:p w14:paraId="7AFDAC4A" w14:textId="2A09D385" w:rsidR="00520394" w:rsidRPr="00E46FB0" w:rsidRDefault="00084371" w:rsidP="0022369F">
      <w:pPr>
        <w:pStyle w:val="DCSbodytext"/>
        <w:numPr>
          <w:ilvl w:val="0"/>
          <w:numId w:val="20"/>
        </w:numPr>
        <w:spacing w:after="120"/>
        <w:rPr>
          <w:rFonts w:eastAsia="Arial"/>
        </w:rPr>
      </w:pPr>
      <w:hyperlink w:anchor="_Design_and_configuration" w:history="1">
        <w:r w:rsidR="00EF60D1" w:rsidRPr="00AC41E0">
          <w:rPr>
            <w:rStyle w:val="Hyperlink"/>
            <w:rFonts w:eastAsia="Arial"/>
          </w:rPr>
          <w:t>d</w:t>
        </w:r>
        <w:r w:rsidR="00520394" w:rsidRPr="00AC41E0">
          <w:rPr>
            <w:rStyle w:val="Hyperlink"/>
            <w:rFonts w:eastAsia="Arial"/>
          </w:rPr>
          <w:t>ata collection</w:t>
        </w:r>
      </w:hyperlink>
    </w:p>
    <w:p w14:paraId="70C77D34" w14:textId="56045288" w:rsidR="00520394" w:rsidRPr="00AC41E0" w:rsidRDefault="00EF60D1" w:rsidP="0022369F">
      <w:pPr>
        <w:pStyle w:val="DCSbodytext"/>
        <w:numPr>
          <w:ilvl w:val="0"/>
          <w:numId w:val="20"/>
        </w:numPr>
        <w:spacing w:after="120"/>
        <w:rPr>
          <w:rFonts w:eastAsia="Arial"/>
        </w:rPr>
      </w:pPr>
      <w:r w:rsidRPr="00AC41E0">
        <w:rPr>
          <w:rFonts w:eastAsia="Arial"/>
        </w:rPr>
        <w:t>d</w:t>
      </w:r>
      <w:r w:rsidR="00520394" w:rsidRPr="00AC41E0">
        <w:rPr>
          <w:rFonts w:eastAsia="Arial"/>
        </w:rPr>
        <w:t>ata cleansing</w:t>
      </w:r>
      <w:r w:rsidR="00956218" w:rsidRPr="00AC41E0">
        <w:rPr>
          <w:rFonts w:eastAsia="Arial"/>
        </w:rPr>
        <w:t xml:space="preserve"> </w:t>
      </w:r>
    </w:p>
    <w:p w14:paraId="301B2A81" w14:textId="76F1A1E2" w:rsidR="00520394" w:rsidRPr="00AC41E0" w:rsidRDefault="00EF60D1" w:rsidP="0022369F">
      <w:pPr>
        <w:pStyle w:val="DCSbodytext"/>
        <w:numPr>
          <w:ilvl w:val="0"/>
          <w:numId w:val="20"/>
        </w:numPr>
        <w:spacing w:after="120"/>
        <w:rPr>
          <w:rFonts w:eastAsia="Arial"/>
        </w:rPr>
      </w:pPr>
      <w:r w:rsidRPr="00AC41E0">
        <w:rPr>
          <w:rFonts w:eastAsia="Arial"/>
        </w:rPr>
        <w:t>a</w:t>
      </w:r>
      <w:r w:rsidR="00520394" w:rsidRPr="00AC41E0">
        <w:rPr>
          <w:rFonts w:eastAsia="Arial"/>
        </w:rPr>
        <w:t xml:space="preserve">ny required </w:t>
      </w:r>
      <w:hyperlink w:anchor="_Privacy_obligations_around" w:history="1">
        <w:r w:rsidR="00520394" w:rsidRPr="00AC41E0">
          <w:rPr>
            <w:rStyle w:val="Hyperlink"/>
            <w:rFonts w:eastAsia="Arial"/>
          </w:rPr>
          <w:t>privacy preserving measures</w:t>
        </w:r>
      </w:hyperlink>
      <w:r w:rsidR="00520394" w:rsidRPr="00E46FB0">
        <w:rPr>
          <w:rFonts w:eastAsia="Arial"/>
        </w:rPr>
        <w:t>, such as anonymisation</w:t>
      </w:r>
      <w:r w:rsidR="008D557F" w:rsidRPr="00AC41E0">
        <w:rPr>
          <w:rFonts w:eastAsia="Arial"/>
        </w:rPr>
        <w:t xml:space="preserve"> and</w:t>
      </w:r>
      <w:r w:rsidR="00520394" w:rsidRPr="00AC41E0">
        <w:rPr>
          <w:rFonts w:eastAsia="Arial"/>
        </w:rPr>
        <w:t xml:space="preserve"> deidentification</w:t>
      </w:r>
    </w:p>
    <w:p w14:paraId="1D3A5F06" w14:textId="4F26590C" w:rsidR="00520394" w:rsidRPr="00AC41E0" w:rsidRDefault="00EF60D1" w:rsidP="0022369F">
      <w:pPr>
        <w:pStyle w:val="DCSbodytext"/>
        <w:numPr>
          <w:ilvl w:val="0"/>
          <w:numId w:val="20"/>
        </w:numPr>
        <w:spacing w:after="120"/>
        <w:rPr>
          <w:rFonts w:eastAsia="Arial"/>
        </w:rPr>
      </w:pPr>
      <w:r w:rsidRPr="00AC41E0">
        <w:rPr>
          <w:rFonts w:eastAsia="Arial"/>
        </w:rPr>
        <w:t>d</w:t>
      </w:r>
      <w:r w:rsidR="00520394" w:rsidRPr="00AC41E0">
        <w:rPr>
          <w:rFonts w:eastAsia="Arial"/>
        </w:rPr>
        <w:t>ata</w:t>
      </w:r>
      <w:r w:rsidR="001F3ADB" w:rsidRPr="00AC41E0">
        <w:rPr>
          <w:rFonts w:eastAsia="Arial"/>
        </w:rPr>
        <w:t xml:space="preserve"> </w:t>
      </w:r>
      <w:r w:rsidR="00520394" w:rsidRPr="00AC41E0">
        <w:rPr>
          <w:rFonts w:eastAsia="Arial"/>
        </w:rPr>
        <w:t>modelling</w:t>
      </w:r>
      <w:r w:rsidR="004257F5" w:rsidRPr="00AC41E0">
        <w:rPr>
          <w:rFonts w:eastAsia="Arial"/>
        </w:rPr>
        <w:t xml:space="preserve"> </w:t>
      </w:r>
    </w:p>
    <w:p w14:paraId="5F4E5001" w14:textId="0D32FA01" w:rsidR="00520394" w:rsidRPr="00AC41E0" w:rsidRDefault="00EF60D1" w:rsidP="00C743E2">
      <w:pPr>
        <w:pStyle w:val="DCSbodytext"/>
        <w:numPr>
          <w:ilvl w:val="0"/>
          <w:numId w:val="20"/>
        </w:numPr>
        <w:ind w:left="1151" w:hanging="357"/>
        <w:rPr>
          <w:rFonts w:eastAsia="Arial"/>
        </w:rPr>
      </w:pPr>
      <w:r w:rsidRPr="00AC41E0">
        <w:rPr>
          <w:rFonts w:eastAsia="Arial"/>
        </w:rPr>
        <w:lastRenderedPageBreak/>
        <w:t>d</w:t>
      </w:r>
      <w:r w:rsidR="00520394" w:rsidRPr="00AC41E0">
        <w:rPr>
          <w:rFonts w:eastAsia="Arial"/>
        </w:rPr>
        <w:t>ata visualisation</w:t>
      </w:r>
      <w:r w:rsidR="004257F5" w:rsidRPr="00AC41E0">
        <w:rPr>
          <w:rFonts w:eastAsia="Arial"/>
        </w:rPr>
        <w:t xml:space="preserve"> </w:t>
      </w:r>
      <w:r w:rsidR="002959B1" w:rsidRPr="00AC41E0">
        <w:rPr>
          <w:rFonts w:eastAsia="Arial"/>
        </w:rPr>
        <w:t>and communication</w:t>
      </w:r>
      <w:r w:rsidR="00845443" w:rsidRPr="00AC41E0">
        <w:rPr>
          <w:rFonts w:eastAsia="Arial"/>
        </w:rPr>
        <w:t>.</w:t>
      </w:r>
    </w:p>
    <w:p w14:paraId="4C2E0C18" w14:textId="4A26F7FD" w:rsidR="00E1436D" w:rsidRPr="00AC41E0" w:rsidRDefault="00E74A86" w:rsidP="0022369F">
      <w:pPr>
        <w:pStyle w:val="DCSbodytext"/>
        <w:rPr>
          <w:rFonts w:eastAsia="Arial"/>
        </w:rPr>
      </w:pPr>
      <w:r w:rsidRPr="00AC41E0">
        <w:rPr>
          <w:rFonts w:eastAsia="Arial"/>
        </w:rPr>
        <w:t>The</w:t>
      </w:r>
      <w:r w:rsidR="00FD5380" w:rsidRPr="00AC41E0">
        <w:rPr>
          <w:rFonts w:eastAsia="Arial"/>
        </w:rPr>
        <w:t xml:space="preserve"> data analytics</w:t>
      </w:r>
      <w:r w:rsidRPr="00AC41E0">
        <w:rPr>
          <w:rFonts w:eastAsia="Arial"/>
        </w:rPr>
        <w:t xml:space="preserve"> process</w:t>
      </w:r>
      <w:r w:rsidR="00375D51" w:rsidRPr="00AC41E0">
        <w:rPr>
          <w:rFonts w:eastAsia="Arial"/>
        </w:rPr>
        <w:t xml:space="preserve">es </w:t>
      </w:r>
      <w:r w:rsidR="004C119E" w:rsidRPr="00AC41E0">
        <w:rPr>
          <w:rFonts w:eastAsia="Arial"/>
        </w:rPr>
        <w:t>for</w:t>
      </w:r>
      <w:r w:rsidR="006D0CB4" w:rsidRPr="00AC41E0">
        <w:rPr>
          <w:rFonts w:eastAsia="Arial"/>
        </w:rPr>
        <w:t xml:space="preserve"> </w:t>
      </w:r>
      <w:r w:rsidRPr="00AC41E0">
        <w:rPr>
          <w:rFonts w:eastAsia="Arial"/>
        </w:rPr>
        <w:t xml:space="preserve">data </w:t>
      </w:r>
      <w:r w:rsidR="009E3037" w:rsidRPr="00AC41E0">
        <w:rPr>
          <w:rFonts w:eastAsia="Arial"/>
        </w:rPr>
        <w:t xml:space="preserve">cleansing, </w:t>
      </w:r>
      <w:r w:rsidR="00C53049" w:rsidRPr="00AC41E0">
        <w:rPr>
          <w:rFonts w:eastAsia="Arial"/>
        </w:rPr>
        <w:t xml:space="preserve">data </w:t>
      </w:r>
      <w:r w:rsidR="009E3037" w:rsidRPr="00AC41E0">
        <w:rPr>
          <w:rFonts w:eastAsia="Arial"/>
        </w:rPr>
        <w:t>m</w:t>
      </w:r>
      <w:r w:rsidR="004C119E" w:rsidRPr="00AC41E0">
        <w:rPr>
          <w:rFonts w:eastAsia="Arial"/>
        </w:rPr>
        <w:t>o</w:t>
      </w:r>
      <w:r w:rsidR="009E3037" w:rsidRPr="00AC41E0">
        <w:rPr>
          <w:rFonts w:eastAsia="Arial"/>
        </w:rPr>
        <w:t>d</w:t>
      </w:r>
      <w:r w:rsidR="00D8325D" w:rsidRPr="00AC41E0">
        <w:rPr>
          <w:rFonts w:eastAsia="Arial"/>
        </w:rPr>
        <w:t>ell</w:t>
      </w:r>
      <w:r w:rsidR="009E3037" w:rsidRPr="00AC41E0">
        <w:rPr>
          <w:rFonts w:eastAsia="Arial"/>
        </w:rPr>
        <w:t>ing</w:t>
      </w:r>
      <w:r w:rsidR="00C53049" w:rsidRPr="00AC41E0">
        <w:rPr>
          <w:rFonts w:eastAsia="Arial"/>
        </w:rPr>
        <w:t>,</w:t>
      </w:r>
      <w:r w:rsidR="009E3037" w:rsidRPr="00AC41E0">
        <w:rPr>
          <w:rFonts w:eastAsia="Arial"/>
        </w:rPr>
        <w:t xml:space="preserve"> </w:t>
      </w:r>
      <w:r w:rsidR="0092385F" w:rsidRPr="00AC41E0">
        <w:rPr>
          <w:rFonts w:eastAsia="Arial"/>
        </w:rPr>
        <w:t xml:space="preserve">and </w:t>
      </w:r>
      <w:r w:rsidR="00C53049" w:rsidRPr="00AC41E0">
        <w:rPr>
          <w:rFonts w:eastAsia="Arial"/>
        </w:rPr>
        <w:t xml:space="preserve">data </w:t>
      </w:r>
      <w:r w:rsidR="009E3037" w:rsidRPr="00AC41E0">
        <w:rPr>
          <w:rFonts w:eastAsia="Arial"/>
        </w:rPr>
        <w:t>visualisation and communication</w:t>
      </w:r>
      <w:r w:rsidRPr="00AC41E0">
        <w:rPr>
          <w:rFonts w:eastAsia="Arial"/>
        </w:rPr>
        <w:t xml:space="preserve"> </w:t>
      </w:r>
      <w:r w:rsidR="00F50719" w:rsidRPr="00AC41E0">
        <w:rPr>
          <w:rFonts w:eastAsia="Arial"/>
        </w:rPr>
        <w:t>are</w:t>
      </w:r>
      <w:r w:rsidRPr="00AC41E0">
        <w:rPr>
          <w:rFonts w:eastAsia="Arial"/>
        </w:rPr>
        <w:t xml:space="preserve"> described </w:t>
      </w:r>
      <w:r w:rsidR="00C54AF4" w:rsidRPr="00AC41E0">
        <w:rPr>
          <w:rFonts w:eastAsia="Arial"/>
        </w:rPr>
        <w:t>below</w:t>
      </w:r>
      <w:r w:rsidRPr="00AC41E0">
        <w:rPr>
          <w:rFonts w:eastAsia="Arial"/>
        </w:rPr>
        <w:t>.</w:t>
      </w:r>
    </w:p>
    <w:p w14:paraId="4F4483C7" w14:textId="4F998853" w:rsidR="00AE31EA" w:rsidRPr="00AC41E0" w:rsidRDefault="00AE31EA" w:rsidP="00003096">
      <w:pPr>
        <w:pStyle w:val="DCSbodytext"/>
        <w:numPr>
          <w:ilvl w:val="0"/>
          <w:numId w:val="112"/>
        </w:numPr>
        <w:ind w:left="1154"/>
      </w:pPr>
      <w:bookmarkStart w:id="1649" w:name="_Toc14794428"/>
      <w:bookmarkStart w:id="1650" w:name="_Toc14795099"/>
      <w:bookmarkStart w:id="1651" w:name="_Toc14795458"/>
      <w:bookmarkStart w:id="1652" w:name="_Toc14795588"/>
      <w:bookmarkStart w:id="1653" w:name="_Toc14797761"/>
      <w:bookmarkEnd w:id="1649"/>
      <w:bookmarkEnd w:id="1650"/>
      <w:bookmarkEnd w:id="1651"/>
      <w:bookmarkEnd w:id="1652"/>
      <w:bookmarkEnd w:id="1653"/>
      <w:r w:rsidRPr="00AC41E0">
        <w:rPr>
          <w:b/>
        </w:rPr>
        <w:t xml:space="preserve">Data </w:t>
      </w:r>
      <w:r w:rsidR="00FE2CD8" w:rsidRPr="00AC41E0">
        <w:rPr>
          <w:b/>
        </w:rPr>
        <w:t>c</w:t>
      </w:r>
      <w:r w:rsidRPr="00AC41E0">
        <w:rPr>
          <w:b/>
        </w:rPr>
        <w:t>leansing</w:t>
      </w:r>
    </w:p>
    <w:p w14:paraId="128056D7" w14:textId="540482A5" w:rsidR="00AE31EA" w:rsidRPr="00AC41E0" w:rsidRDefault="00AE31EA" w:rsidP="0022369F">
      <w:pPr>
        <w:pStyle w:val="DCSbodytext"/>
      </w:pPr>
      <w:r w:rsidRPr="00AC41E0">
        <w:t xml:space="preserve">One of the first steps of data analytics is to cleanse the data. With the definition and metadata of IoT devices, the data cleansing process can be greatly reduced as spelling mistakes and nonsense data will hopefully be caught in </w:t>
      </w:r>
      <w:hyperlink w:anchor="_Data_validation" w:history="1">
        <w:r w:rsidRPr="00AC41E0">
          <w:rPr>
            <w:rStyle w:val="Hyperlink"/>
          </w:rPr>
          <w:t>data validation processes</w:t>
        </w:r>
      </w:hyperlink>
      <w:r w:rsidRPr="00E46FB0">
        <w:t xml:space="preserve">. The definitions of data schemas at the device level </w:t>
      </w:r>
      <w:r w:rsidR="00C362FD" w:rsidRPr="00AC41E0">
        <w:t xml:space="preserve">can </w:t>
      </w:r>
      <w:r w:rsidRPr="00AC41E0">
        <w:t xml:space="preserve">also help to reduce the quantity of data cleansing required. </w:t>
      </w:r>
    </w:p>
    <w:p w14:paraId="60903F02" w14:textId="321CB1A4" w:rsidR="00AE31EA" w:rsidRPr="00AC41E0" w:rsidRDefault="00AE31EA" w:rsidP="0022369F">
      <w:pPr>
        <w:pStyle w:val="DCSbodytext"/>
      </w:pPr>
      <w:r w:rsidRPr="00AC41E0">
        <w:t xml:space="preserve">Data cleansing is vital </w:t>
      </w:r>
      <w:r w:rsidR="00373869" w:rsidRPr="00AC41E0">
        <w:t xml:space="preserve">for </w:t>
      </w:r>
      <w:r w:rsidR="00F2183F" w:rsidRPr="00AC41E0">
        <w:t xml:space="preserve">accurate </w:t>
      </w:r>
      <w:r w:rsidRPr="00AC41E0">
        <w:t xml:space="preserve">data </w:t>
      </w:r>
      <w:r w:rsidR="00DD59C4" w:rsidRPr="00AC41E0">
        <w:t>(</w:t>
      </w:r>
      <w:r w:rsidRPr="00AC41E0">
        <w:t>incorrect data can generate misleading results</w:t>
      </w:r>
      <w:r w:rsidR="00DD59C4" w:rsidRPr="00AC41E0">
        <w:t>)</w:t>
      </w:r>
      <w:r w:rsidRPr="00AC41E0">
        <w:t>. Analysing your data and using techniques to automate these error checking methods can help to speed up this process</w:t>
      </w:r>
      <w:r w:rsidR="00CD706C" w:rsidRPr="00AC41E0">
        <w:t xml:space="preserve">. </w:t>
      </w:r>
      <w:r w:rsidR="001600BB" w:rsidRPr="00AC41E0">
        <w:t>A</w:t>
      </w:r>
      <w:r w:rsidRPr="00AC41E0">
        <w:t xml:space="preserve"> data analyst</w:t>
      </w:r>
      <w:r w:rsidR="00A0122E" w:rsidRPr="00AC41E0">
        <w:t xml:space="preserve"> still</w:t>
      </w:r>
      <w:r w:rsidRPr="00AC41E0">
        <w:t xml:space="preserve"> </w:t>
      </w:r>
      <w:r w:rsidR="00A0122E" w:rsidRPr="00AC41E0">
        <w:t>needs to</w:t>
      </w:r>
      <w:r w:rsidRPr="00AC41E0">
        <w:t xml:space="preserve"> be involved to investigate</w:t>
      </w:r>
      <w:r w:rsidR="00D17EB7" w:rsidRPr="00AC41E0">
        <w:t xml:space="preserve"> any</w:t>
      </w:r>
      <w:r w:rsidRPr="00AC41E0">
        <w:t xml:space="preserve"> issues.    </w:t>
      </w:r>
    </w:p>
    <w:p w14:paraId="18CE25D1" w14:textId="3705AD85" w:rsidR="00AE31EA" w:rsidRPr="00AC41E0" w:rsidRDefault="00AE31EA" w:rsidP="00003096">
      <w:pPr>
        <w:pStyle w:val="DCSbodytext"/>
        <w:numPr>
          <w:ilvl w:val="0"/>
          <w:numId w:val="112"/>
        </w:numPr>
        <w:ind w:left="1154"/>
      </w:pPr>
      <w:r w:rsidRPr="00AC41E0">
        <w:rPr>
          <w:b/>
        </w:rPr>
        <w:t xml:space="preserve">Data </w:t>
      </w:r>
      <w:r w:rsidR="0080150E" w:rsidRPr="00AC41E0">
        <w:rPr>
          <w:b/>
        </w:rPr>
        <w:t>e</w:t>
      </w:r>
      <w:r w:rsidRPr="00AC41E0">
        <w:rPr>
          <w:b/>
        </w:rPr>
        <w:t xml:space="preserve">ngineering and </w:t>
      </w:r>
      <w:r w:rsidR="0080150E" w:rsidRPr="00AC41E0">
        <w:rPr>
          <w:b/>
        </w:rPr>
        <w:t>m</w:t>
      </w:r>
      <w:r w:rsidRPr="00AC41E0">
        <w:rPr>
          <w:b/>
        </w:rPr>
        <w:t>odelling</w:t>
      </w:r>
    </w:p>
    <w:p w14:paraId="640683D0" w14:textId="7BBAB4F2" w:rsidR="00954356" w:rsidRPr="00AC41E0" w:rsidRDefault="001600BB">
      <w:pPr>
        <w:pStyle w:val="DCSbodytext"/>
      </w:pPr>
      <w:r w:rsidRPr="00AC41E0">
        <w:t>A</w:t>
      </w:r>
      <w:r w:rsidR="00AE31EA" w:rsidRPr="00AC41E0">
        <w:t>n analyst often needs to combine datasets and build models with multiple data layers</w:t>
      </w:r>
      <w:r w:rsidRPr="00AC41E0">
        <w:t xml:space="preserve"> </w:t>
      </w:r>
      <w:r w:rsidR="004D6F3E" w:rsidRPr="00AC41E0">
        <w:t>to build</w:t>
      </w:r>
      <w:r w:rsidRPr="00AC41E0">
        <w:t xml:space="preserve"> data insights</w:t>
      </w:r>
      <w:r w:rsidR="00AE31EA" w:rsidRPr="00AC41E0">
        <w:t xml:space="preserve">. Data modelling is when a data scientist builds a data model to correlate the data, often with business outcomes in mind. </w:t>
      </w:r>
    </w:p>
    <w:p w14:paraId="5391CFE0" w14:textId="6A77C125" w:rsidR="00AE31EA" w:rsidRPr="00AC41E0" w:rsidRDefault="00AE31EA" w:rsidP="0022369F">
      <w:pPr>
        <w:pStyle w:val="DCSbodytext"/>
      </w:pPr>
      <w:r w:rsidRPr="00AC41E0">
        <w:t xml:space="preserve">If using a public model, ensure </w:t>
      </w:r>
      <w:r w:rsidR="00EE06D6" w:rsidRPr="00AC41E0">
        <w:t>it is</w:t>
      </w:r>
      <w:r w:rsidRPr="00AC41E0">
        <w:t xml:space="preserve"> secure and do</w:t>
      </w:r>
      <w:r w:rsidR="00EE06D6" w:rsidRPr="00AC41E0">
        <w:t>es</w:t>
      </w:r>
      <w:r w:rsidRPr="00AC41E0">
        <w:t xml:space="preserve"> not include Trojans or other malware. If making your model public, ensure that no information is inadvertently leaked in th</w:t>
      </w:r>
      <w:r w:rsidR="00986CE4" w:rsidRPr="00AC41E0">
        <w:t>e</w:t>
      </w:r>
      <w:r w:rsidRPr="00AC41E0">
        <w:t xml:space="preserve"> release and that there is no potential for inference attacks. </w:t>
      </w:r>
    </w:p>
    <w:p w14:paraId="38D6E017" w14:textId="0F39A760" w:rsidR="00184457" w:rsidRPr="00AC41E0" w:rsidRDefault="00735CF4" w:rsidP="0022369F">
      <w:pPr>
        <w:pStyle w:val="DCSbodytext"/>
      </w:pPr>
      <w:r w:rsidRPr="00AC41E0">
        <w:t>The optimisation process will begin o</w:t>
      </w:r>
      <w:r w:rsidR="00AE31EA" w:rsidRPr="00AC41E0">
        <w:t>nce</w:t>
      </w:r>
      <w:r w:rsidRPr="00AC41E0">
        <w:t xml:space="preserve"> the initial model is developed</w:t>
      </w:r>
      <w:r w:rsidR="00AE31EA" w:rsidRPr="00AC41E0">
        <w:t xml:space="preserve">. This process is often iterative as the best answer will not always be your first one. By automating the data process at various stages, you </w:t>
      </w:r>
      <w:r w:rsidR="00A01394" w:rsidRPr="00AC41E0">
        <w:t>can</w:t>
      </w:r>
      <w:r w:rsidR="00AE31EA" w:rsidRPr="00AC41E0">
        <w:t xml:space="preserve"> leverage the continuous improvements found </w:t>
      </w:r>
      <w:r w:rsidR="00075A90" w:rsidRPr="00AC41E0">
        <w:t xml:space="preserve">from </w:t>
      </w:r>
      <w:r w:rsidR="00AE31EA" w:rsidRPr="00AC41E0">
        <w:t xml:space="preserve">the data insights. </w:t>
      </w:r>
    </w:p>
    <w:p w14:paraId="61B15D5F" w14:textId="2DB71FBE" w:rsidR="00AB4CA6" w:rsidRPr="00AC41E0" w:rsidRDefault="00AB4CA6" w:rsidP="00F83C5E">
      <w:pPr>
        <w:pStyle w:val="DCSbodytext"/>
      </w:pPr>
      <w:r w:rsidRPr="00AC41E0">
        <w:t xml:space="preserve">For IoT sensors, the faster </w:t>
      </w:r>
      <w:r w:rsidR="000454FF" w:rsidRPr="00AC41E0">
        <w:t xml:space="preserve">you </w:t>
      </w:r>
      <w:r w:rsidRPr="00AC41E0">
        <w:t xml:space="preserve">can learn from </w:t>
      </w:r>
      <w:r w:rsidR="000454FF" w:rsidRPr="00AC41E0">
        <w:t>y</w:t>
      </w:r>
      <w:r w:rsidRPr="00AC41E0">
        <w:t xml:space="preserve">our data, the quicker </w:t>
      </w:r>
      <w:r w:rsidR="000454FF" w:rsidRPr="00AC41E0">
        <w:t>you</w:t>
      </w:r>
      <w:r w:rsidRPr="00AC41E0">
        <w:t xml:space="preserve"> can course-correct if required for streaming problems. When dealing with prescriptive or time</w:t>
      </w:r>
      <w:r w:rsidR="0014578E" w:rsidRPr="00AC41E0">
        <w:t>-</w:t>
      </w:r>
      <w:r w:rsidRPr="00AC41E0">
        <w:t xml:space="preserve">series data sets, the more data </w:t>
      </w:r>
      <w:r w:rsidR="00E92030" w:rsidRPr="00AC41E0">
        <w:t xml:space="preserve">you </w:t>
      </w:r>
      <w:r w:rsidRPr="00AC41E0">
        <w:t>feed into a machine learning algorithm the better able</w:t>
      </w:r>
      <w:r w:rsidR="00A95C1C" w:rsidRPr="00AC41E0">
        <w:t xml:space="preserve"> it is</w:t>
      </w:r>
      <w:r w:rsidRPr="00AC41E0">
        <w:t xml:space="preserve"> to improve and deliver better outcomes</w:t>
      </w:r>
      <w:r w:rsidR="00E74301" w:rsidRPr="00AC41E0">
        <w:t>. Therefore,</w:t>
      </w:r>
      <w:r w:rsidRPr="00AC41E0">
        <w:t xml:space="preserve"> optimisation and repeatability </w:t>
      </w:r>
      <w:r w:rsidR="00C643FA" w:rsidRPr="00AC41E0">
        <w:t>are</w:t>
      </w:r>
      <w:r w:rsidRPr="00AC41E0">
        <w:t xml:space="preserve"> vital for quick results. </w:t>
      </w:r>
      <w:r w:rsidR="00BE6C2C" w:rsidRPr="00AC41E0">
        <w:t>However</w:t>
      </w:r>
      <w:r w:rsidR="00375AA8" w:rsidRPr="00AC41E0">
        <w:t>,</w:t>
      </w:r>
      <w:r w:rsidRPr="00AC41E0">
        <w:t xml:space="preserve"> more data does not always result in better outputs</w:t>
      </w:r>
      <w:r w:rsidR="001E1BA3" w:rsidRPr="00AC41E0">
        <w:t xml:space="preserve">. </w:t>
      </w:r>
      <w:r w:rsidR="00586ABE" w:rsidRPr="00AC41E0">
        <w:t>A</w:t>
      </w:r>
      <w:r w:rsidRPr="00AC41E0">
        <w:t>ccess</w:t>
      </w:r>
      <w:r w:rsidR="00BE6C2C" w:rsidRPr="00AC41E0">
        <w:t>ing</w:t>
      </w:r>
      <w:r w:rsidRPr="00AC41E0">
        <w:t xml:space="preserve"> the right data is </w:t>
      </w:r>
      <w:r w:rsidR="004249A8" w:rsidRPr="00AC41E0">
        <w:t xml:space="preserve">a bigger </w:t>
      </w:r>
      <w:r w:rsidRPr="00AC41E0">
        <w:t>priority.</w:t>
      </w:r>
    </w:p>
    <w:p w14:paraId="1347D3F9" w14:textId="2A66CD46" w:rsidR="00AE31EA" w:rsidRPr="00AC41E0" w:rsidRDefault="00AE31EA" w:rsidP="00003096">
      <w:pPr>
        <w:pStyle w:val="DCSbodytext"/>
        <w:numPr>
          <w:ilvl w:val="0"/>
          <w:numId w:val="112"/>
        </w:numPr>
        <w:ind w:left="1154"/>
      </w:pPr>
      <w:r w:rsidRPr="00AC41E0">
        <w:rPr>
          <w:b/>
        </w:rPr>
        <w:t xml:space="preserve">Visualisation </w:t>
      </w:r>
      <w:r w:rsidR="002959B1" w:rsidRPr="00AC41E0">
        <w:rPr>
          <w:b/>
        </w:rPr>
        <w:t xml:space="preserve">and communication </w:t>
      </w:r>
      <w:r w:rsidRPr="00AC41E0">
        <w:rPr>
          <w:b/>
        </w:rPr>
        <w:t xml:space="preserve">of </w:t>
      </w:r>
      <w:r w:rsidR="00D13E06" w:rsidRPr="00AC41E0">
        <w:rPr>
          <w:b/>
        </w:rPr>
        <w:t>d</w:t>
      </w:r>
      <w:r w:rsidRPr="00AC41E0">
        <w:rPr>
          <w:b/>
        </w:rPr>
        <w:t xml:space="preserve">ata </w:t>
      </w:r>
    </w:p>
    <w:p w14:paraId="65D66C3B" w14:textId="0DA39CDB" w:rsidR="007D3A9D" w:rsidRPr="00AC41E0" w:rsidRDefault="00AE31EA" w:rsidP="00364B52">
      <w:pPr>
        <w:pStyle w:val="DCSbodytext"/>
      </w:pPr>
      <w:r w:rsidRPr="00AC41E0">
        <w:t>Communication is the last step of the data analytics process and</w:t>
      </w:r>
      <w:r w:rsidR="000B2B63" w:rsidRPr="00AC41E0">
        <w:t xml:space="preserve"> is</w:t>
      </w:r>
      <w:r w:rsidRPr="00AC41E0">
        <w:t xml:space="preserve"> often overlooked. </w:t>
      </w:r>
      <w:r w:rsidR="00B2018D" w:rsidRPr="00AC41E0">
        <w:t>D</w:t>
      </w:r>
      <w:r w:rsidRPr="00AC41E0">
        <w:t xml:space="preserve">ata needs to be delivered to the </w:t>
      </w:r>
      <w:r w:rsidR="00101813" w:rsidRPr="00AC41E0">
        <w:t>organisation</w:t>
      </w:r>
      <w:r w:rsidRPr="00AC41E0">
        <w:t xml:space="preserve"> in a meaningful way to support decision</w:t>
      </w:r>
      <w:r w:rsidR="00681E9B" w:rsidRPr="00AC41E0">
        <w:t xml:space="preserve"> making.</w:t>
      </w:r>
      <w:r w:rsidRPr="00AC41E0">
        <w:t xml:space="preserve"> </w:t>
      </w:r>
      <w:r w:rsidR="00D81871" w:rsidRPr="00AC41E0">
        <w:t>Data visu</w:t>
      </w:r>
      <w:r w:rsidR="000D5FF7" w:rsidRPr="00AC41E0">
        <w:t xml:space="preserve">alisation </w:t>
      </w:r>
      <w:r w:rsidR="0004411E" w:rsidRPr="00AC41E0">
        <w:t>is about the visual representation of data as a means of communication.</w:t>
      </w:r>
      <w:r w:rsidR="00D07777" w:rsidRPr="00AC41E0">
        <w:t xml:space="preserve"> Note that licences are required for most visualisation tools. </w:t>
      </w:r>
    </w:p>
    <w:p w14:paraId="482E0C70" w14:textId="2BB7A480" w:rsidR="00BE0146" w:rsidRPr="00AC41E0" w:rsidRDefault="00F23ADE" w:rsidP="00364B52">
      <w:pPr>
        <w:pStyle w:val="DCSbodytext"/>
      </w:pPr>
      <w:r w:rsidRPr="00AC41E0">
        <w:t>There are a range of different</w:t>
      </w:r>
      <w:r w:rsidR="00EF731E" w:rsidRPr="00AC41E0">
        <w:t xml:space="preserve"> data visualisation offerings </w:t>
      </w:r>
      <w:r w:rsidR="00BE0146" w:rsidRPr="00AC41E0">
        <w:t xml:space="preserve">ranging from smart-dashboards, 3D Visualisations and even </w:t>
      </w:r>
      <w:r w:rsidR="003739D8" w:rsidRPr="00AC41E0">
        <w:t>a</w:t>
      </w:r>
      <w:r w:rsidR="00BE0146" w:rsidRPr="00AC41E0">
        <w:t xml:space="preserve">ugmented </w:t>
      </w:r>
      <w:r w:rsidR="003739D8" w:rsidRPr="00AC41E0">
        <w:t>r</w:t>
      </w:r>
      <w:r w:rsidR="00BE0146" w:rsidRPr="00AC41E0">
        <w:t xml:space="preserve">eality capabilities. Each offer differing capabilities and vary significantly in cost, so more time must be spent evaluating the best and most </w:t>
      </w:r>
      <w:r w:rsidR="00BE0146" w:rsidRPr="00AC41E0">
        <w:lastRenderedPageBreak/>
        <w:t xml:space="preserve">effective way data will be consumed by the intended users of data. The interfaces need to be intuitive and informative without being complex  </w:t>
      </w:r>
    </w:p>
    <w:p w14:paraId="459BC1A3" w14:textId="2866CAF7" w:rsidR="00AE31EA" w:rsidRPr="00AC41E0" w:rsidRDefault="00AE31EA" w:rsidP="0022369F">
      <w:pPr>
        <w:pStyle w:val="DCSbodytext"/>
      </w:pPr>
      <w:r w:rsidRPr="00AC41E0">
        <w:t xml:space="preserve">There are </w:t>
      </w:r>
      <w:r w:rsidR="00962E3E" w:rsidRPr="00AC41E0">
        <w:t>various</w:t>
      </w:r>
      <w:r w:rsidRPr="00AC41E0">
        <w:t xml:space="preserve"> dashboarding tools </w:t>
      </w:r>
      <w:r w:rsidR="00E25048" w:rsidRPr="00AC41E0">
        <w:t>that can be</w:t>
      </w:r>
      <w:r w:rsidRPr="00AC41E0">
        <w:t xml:space="preserve"> used to </w:t>
      </w:r>
      <w:r w:rsidR="00E448F7" w:rsidRPr="00AC41E0">
        <w:t xml:space="preserve">present </w:t>
      </w:r>
      <w:r w:rsidRPr="00AC41E0">
        <w:t xml:space="preserve">IoT data </w:t>
      </w:r>
      <w:r w:rsidR="00671F51" w:rsidRPr="00AC41E0">
        <w:t xml:space="preserve">visually </w:t>
      </w:r>
      <w:r w:rsidRPr="00AC41E0">
        <w:t>to stakeholders. For IoT devices that are o</w:t>
      </w:r>
      <w:r w:rsidR="009E3AC7" w:rsidRPr="00AC41E0">
        <w:t>ften near real-time, these can</w:t>
      </w:r>
      <w:r w:rsidRPr="00AC41E0">
        <w:t xml:space="preserve"> be dashboards whe</w:t>
      </w:r>
      <w:r w:rsidR="00CA3C21" w:rsidRPr="00AC41E0">
        <w:t>re</w:t>
      </w:r>
      <w:r w:rsidRPr="00AC41E0">
        <w:t xml:space="preserve"> a user is monitoring the data for any outliers and alerts triggered for data above certain thresholds or outliers detected. These are common in industrial production uses of IoT. </w:t>
      </w:r>
    </w:p>
    <w:p w14:paraId="03605D50" w14:textId="27FA43BF" w:rsidR="00AE31EA" w:rsidRPr="00AC41E0" w:rsidRDefault="00AE31EA" w:rsidP="0022369F">
      <w:pPr>
        <w:pStyle w:val="DCSbodytext"/>
      </w:pPr>
      <w:r w:rsidRPr="00AC41E0">
        <w:t xml:space="preserve">The type of dashboard and alert system built for a streaming analytics user will be different to </w:t>
      </w:r>
      <w:r w:rsidR="00F63988" w:rsidRPr="00AC41E0">
        <w:t xml:space="preserve">that built for </w:t>
      </w:r>
      <w:r w:rsidRPr="00AC41E0">
        <w:t xml:space="preserve">a user </w:t>
      </w:r>
      <w:r w:rsidR="00F63988" w:rsidRPr="00AC41E0">
        <w:t>who</w:t>
      </w:r>
      <w:r w:rsidRPr="00AC41E0">
        <w:t xml:space="preserve"> is more interested in time</w:t>
      </w:r>
      <w:r w:rsidR="00E5438A" w:rsidRPr="00AC41E0">
        <w:t>-</w:t>
      </w:r>
      <w:r w:rsidRPr="00AC41E0">
        <w:t xml:space="preserve">series and trend analysis and make overall business improvement outcomes. These requirements </w:t>
      </w:r>
      <w:r w:rsidR="00E17D2A" w:rsidRPr="00AC41E0">
        <w:t xml:space="preserve">can </w:t>
      </w:r>
      <w:r w:rsidRPr="00AC41E0">
        <w:t xml:space="preserve">still ingest real-time data, but the </w:t>
      </w:r>
      <w:r w:rsidR="007940A8" w:rsidRPr="00AC41E0">
        <w:t xml:space="preserve">dashboard </w:t>
      </w:r>
      <w:r w:rsidRPr="00AC41E0">
        <w:t xml:space="preserve">display </w:t>
      </w:r>
      <w:r w:rsidR="00014A58" w:rsidRPr="00AC41E0">
        <w:t xml:space="preserve">will </w:t>
      </w:r>
      <w:r w:rsidRPr="00AC41E0">
        <w:t>be focused on data models and insights from machine learning algorithms around their outcomes and areas of identified opportunities.</w:t>
      </w:r>
    </w:p>
    <w:p w14:paraId="107CC68E" w14:textId="4E047660" w:rsidR="007D3A9D" w:rsidRPr="00AC41E0" w:rsidRDefault="00AE31EA">
      <w:pPr>
        <w:pStyle w:val="DCSbodytext"/>
      </w:pPr>
      <w:r w:rsidRPr="00AC41E0">
        <w:t xml:space="preserve">Another common way to visualise data is via spatial systems, including the emergence of enhanced 3D spatial platforms and digital twins. It is important that these systems </w:t>
      </w:r>
      <w:r w:rsidR="00ED291E" w:rsidRPr="00AC41E0">
        <w:t>can</w:t>
      </w:r>
      <w:r w:rsidRPr="00AC41E0">
        <w:t xml:space="preserve"> seamlessly show real</w:t>
      </w:r>
      <w:r w:rsidR="00E5438A" w:rsidRPr="00AC41E0">
        <w:t>-</w:t>
      </w:r>
      <w:r w:rsidRPr="00AC41E0">
        <w:t xml:space="preserve">time ingested data with existing spatial data (including mixing 2D and 3D data) and support a range of traditional 2D and emerging 3D spatial analytics operations. </w:t>
      </w:r>
    </w:p>
    <w:p w14:paraId="4E1237B5" w14:textId="2901B55A" w:rsidR="00AE31EA" w:rsidRPr="00AC41E0" w:rsidRDefault="00AE31EA" w:rsidP="0022369F">
      <w:pPr>
        <w:pStyle w:val="Heading4"/>
        <w:rPr>
          <w:rFonts w:ascii="Arial" w:hAnsi="Arial"/>
        </w:rPr>
      </w:pPr>
      <w:bookmarkStart w:id="1654" w:name="_Next_steps_after"/>
      <w:bookmarkEnd w:id="1654"/>
      <w:r w:rsidRPr="00AC41E0">
        <w:rPr>
          <w:rFonts w:ascii="Arial" w:hAnsi="Arial"/>
        </w:rPr>
        <w:t xml:space="preserve">Next </w:t>
      </w:r>
      <w:r w:rsidR="009C6A24" w:rsidRPr="00AC41E0">
        <w:rPr>
          <w:rFonts w:ascii="Arial" w:hAnsi="Arial"/>
        </w:rPr>
        <w:t>s</w:t>
      </w:r>
      <w:r w:rsidRPr="00AC41E0">
        <w:rPr>
          <w:rFonts w:ascii="Arial" w:hAnsi="Arial"/>
        </w:rPr>
        <w:t>teps</w:t>
      </w:r>
      <w:r w:rsidR="00E3442D" w:rsidRPr="00AC41E0">
        <w:rPr>
          <w:rFonts w:ascii="Arial" w:hAnsi="Arial"/>
        </w:rPr>
        <w:t xml:space="preserve"> after the data ana</w:t>
      </w:r>
      <w:r w:rsidR="00963C9D" w:rsidRPr="00AC41E0">
        <w:rPr>
          <w:rFonts w:ascii="Arial" w:hAnsi="Arial"/>
        </w:rPr>
        <w:t>lytics process</w:t>
      </w:r>
    </w:p>
    <w:p w14:paraId="2F0C85A9" w14:textId="77777777" w:rsidR="001C552C" w:rsidRPr="00AC41E0" w:rsidRDefault="00AE31EA" w:rsidP="00F70AEB">
      <w:pPr>
        <w:pStyle w:val="DCSbodytext"/>
      </w:pPr>
      <w:r w:rsidRPr="00AC41E0">
        <w:t xml:space="preserve">Analytics can help </w:t>
      </w:r>
      <w:r w:rsidR="006E4EE6" w:rsidRPr="00AC41E0">
        <w:t xml:space="preserve">you </w:t>
      </w:r>
      <w:r w:rsidRPr="00AC41E0">
        <w:t xml:space="preserve">solve a question and machine learning is often used to help understand what data attributes may be affecting </w:t>
      </w:r>
      <w:r w:rsidR="009D3D9A" w:rsidRPr="00AC41E0">
        <w:t xml:space="preserve">a </w:t>
      </w:r>
      <w:r w:rsidRPr="00AC41E0">
        <w:t xml:space="preserve">result. By combining various datasets and learning from previous events, </w:t>
      </w:r>
      <w:r w:rsidR="009C623C" w:rsidRPr="00AC41E0">
        <w:t>you can</w:t>
      </w:r>
      <w:r w:rsidRPr="00AC41E0">
        <w:t xml:space="preserve"> leverage knowledge and make insights and outcomes smarter through analytics.</w:t>
      </w:r>
    </w:p>
    <w:p w14:paraId="42754E20" w14:textId="0E0902E8" w:rsidR="00117D07" w:rsidRPr="00AC41E0" w:rsidRDefault="001C552C">
      <w:pPr>
        <w:pStyle w:val="DCSbodytext"/>
      </w:pPr>
      <w:r w:rsidRPr="00AC41E0">
        <w:t>Once the business outcomes are delivered, leveraging the data to identify new ways of operating and new service innovations can be explored. The new data you are generating can be used to develop insights and innovations across your organisation or potentially to offer value more broadly.</w:t>
      </w:r>
    </w:p>
    <w:bookmarkStart w:id="1655" w:name="_Toc17110283"/>
    <w:bookmarkStart w:id="1656" w:name="_Toc17111410"/>
    <w:bookmarkStart w:id="1657" w:name="_Toc17111610"/>
    <w:bookmarkStart w:id="1658" w:name="_Toc17112010"/>
    <w:bookmarkStart w:id="1659" w:name="_Toc17112210"/>
    <w:bookmarkStart w:id="1660" w:name="_Toc17112411"/>
    <w:bookmarkStart w:id="1661" w:name="_Toc17112610"/>
    <w:bookmarkStart w:id="1662" w:name="_Toc17112808"/>
    <w:bookmarkStart w:id="1663" w:name="_Toc17113006"/>
    <w:bookmarkStart w:id="1664" w:name="_Toc17114505"/>
    <w:bookmarkStart w:id="1665" w:name="_Toc17114702"/>
    <w:bookmarkStart w:id="1666" w:name="_Toc17121259"/>
    <w:bookmarkStart w:id="1667" w:name="_Toc17121456"/>
    <w:bookmarkStart w:id="1668" w:name="_Toc17121651"/>
    <w:bookmarkStart w:id="1669" w:name="_Toc17121846"/>
    <w:bookmarkStart w:id="1670" w:name="_Toc17970672"/>
    <w:bookmarkStart w:id="1671" w:name="_Toc17975465"/>
    <w:bookmarkStart w:id="1672" w:name="_Toc17975671"/>
    <w:bookmarkStart w:id="1673" w:name="_Toc17982736"/>
    <w:bookmarkStart w:id="1674" w:name="_Toc17988051"/>
    <w:bookmarkStart w:id="1675" w:name="_Toc17989461"/>
    <w:bookmarkStart w:id="1676" w:name="_Toc17990523"/>
    <w:bookmarkStart w:id="1677" w:name="_Using_data_for"/>
    <w:bookmarkStart w:id="1678" w:name="_Toc65571502"/>
    <w:bookmarkStart w:id="1679" w:name="_Toc65760589"/>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14:paraId="6A0345F6" w14:textId="2D6A2CE4" w:rsidR="00CE783B" w:rsidRPr="00E46FB0" w:rsidRDefault="005C46D6" w:rsidP="00CE783B">
      <w:pPr>
        <w:pStyle w:val="Heading3"/>
        <w:numPr>
          <w:ilvl w:val="0"/>
          <w:numId w:val="0"/>
        </w:numPr>
        <w:ind w:left="794"/>
        <w:rPr>
          <w:rFonts w:ascii="Arial" w:hAnsi="Arial"/>
        </w:rPr>
      </w:pPr>
      <w:r w:rsidRPr="00E46FB0">
        <w:rPr>
          <w:noProof/>
        </w:rPr>
        <w:lastRenderedPageBreak/>
        <mc:AlternateContent>
          <mc:Choice Requires="wps">
            <w:drawing>
              <wp:inline distT="0" distB="0" distL="0" distR="0" wp14:anchorId="5D48F9D9" wp14:editId="53A5DD90">
                <wp:extent cx="5608320" cy="2857500"/>
                <wp:effectExtent l="0" t="0" r="11430" b="19050"/>
                <wp:docPr id="531754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2857500"/>
                        </a:xfrm>
                        <a:prstGeom prst="rect">
                          <a:avLst/>
                        </a:prstGeom>
                        <a:solidFill>
                          <a:schemeClr val="accent1">
                            <a:lumMod val="20000"/>
                            <a:lumOff val="80000"/>
                          </a:schemeClr>
                        </a:solidFill>
                        <a:ln w="9525">
                          <a:solidFill>
                            <a:srgbClr val="000000"/>
                          </a:solidFill>
                          <a:miter lim="800000"/>
                          <a:headEnd/>
                          <a:tailEnd/>
                        </a:ln>
                      </wps:spPr>
                      <wps:txbx>
                        <w:txbxContent>
                          <w:p w14:paraId="12DAB9C7" w14:textId="77777777" w:rsidR="004A5EF4" w:rsidRPr="00163252" w:rsidRDefault="004A5EF4" w:rsidP="005C46D6">
                            <w:pPr>
                              <w:pStyle w:val="DCSbodytext"/>
                              <w:ind w:left="0"/>
                              <w:jc w:val="center"/>
                              <w:rPr>
                                <w:b/>
                              </w:rPr>
                            </w:pPr>
                            <w:r>
                              <w:rPr>
                                <w:b/>
                              </w:rPr>
                              <w:t xml:space="preserve">Case study </w:t>
                            </w:r>
                            <w:r w:rsidRPr="00D8377B">
                              <w:rPr>
                                <w:b/>
                              </w:rPr>
                              <w:t>–</w:t>
                            </w:r>
                            <w:r>
                              <w:rPr>
                                <w:b/>
                              </w:rPr>
                              <w:t xml:space="preserve"> An example of the a</w:t>
                            </w:r>
                            <w:r w:rsidRPr="00163252">
                              <w:rPr>
                                <w:b/>
                              </w:rPr>
                              <w:t>pplication of mode</w:t>
                            </w:r>
                            <w:r>
                              <w:rPr>
                                <w:b/>
                              </w:rPr>
                              <w:t>l</w:t>
                            </w:r>
                            <w:r w:rsidRPr="00163252">
                              <w:rPr>
                                <w:b/>
                              </w:rPr>
                              <w:t>ling and analytics</w:t>
                            </w:r>
                          </w:p>
                          <w:p w14:paraId="6C15B359" w14:textId="77777777" w:rsidR="004A5EF4" w:rsidRDefault="004A5EF4" w:rsidP="005C46D6">
                            <w:pPr>
                              <w:pStyle w:val="DCSbodytext"/>
                              <w:ind w:left="0"/>
                            </w:pPr>
                            <w:r>
                              <w:t xml:space="preserve">IoT water sensors may be used to determine flood levels. While it is useful to read an individual water meter, the real value of the analysis is in the ability to read the whole network at once. This allows you to build and see a holistic model of the water situation, identify patterns and develop alerts to determine when a system is at risk of flooding. </w:t>
                            </w:r>
                          </w:p>
                          <w:p w14:paraId="178E560B" w14:textId="77777777" w:rsidR="004A5EF4" w:rsidRDefault="004A5EF4" w:rsidP="005C46D6">
                            <w:pPr>
                              <w:pStyle w:val="DCSbodytext"/>
                              <w:ind w:left="0"/>
                            </w:pPr>
                            <w:r>
                              <w:t xml:space="preserve">The next step is to start using the IoT data and build analytics to learn and make data models smarter, which can be done by implementing machine learning and artificial intelligence. This is a step change from visualising the data, to building algorithms, to start learning from the data and linking this to outcomes. </w:t>
                            </w:r>
                          </w:p>
                          <w:p w14:paraId="4A87AF73" w14:textId="050CC514" w:rsidR="004A5EF4" w:rsidRDefault="004A5EF4" w:rsidP="005C46D6">
                            <w:pPr>
                              <w:pStyle w:val="DCSbodytext"/>
                              <w:ind w:left="0"/>
                            </w:pPr>
                            <w:r>
                              <w:t>Predictive analytics is valuable as it allows you to leverage the alert systems, and identified anomalies from the data and historical data from the last flood to learn how to improve the predictive flood analysis model.</w:t>
                            </w:r>
                          </w:p>
                        </w:txbxContent>
                      </wps:txbx>
                      <wps:bodyPr rot="0" vert="horz" wrap="square" lIns="91440" tIns="45720" rIns="91440" bIns="45720" anchor="t" anchorCtr="0">
                        <a:noAutofit/>
                      </wps:bodyPr>
                    </wps:wsp>
                  </a:graphicData>
                </a:graphic>
              </wp:inline>
            </w:drawing>
          </mc:Choice>
          <mc:Fallback>
            <w:pict>
              <v:shape w14:anchorId="5D48F9D9" id="_x0000_s1043" type="#_x0000_t202" style="width:441.6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" fillcolor="#dbe5f1 [660]">
                <v:textbox>
                  <w:txbxContent>
                    <w:p w14:paraId="12DAB9C7" w14:textId="77777777" w:rsidR="004A5EF4" w:rsidRPr="00163252" w:rsidRDefault="004A5EF4" w:rsidP="005C46D6">
                      <w:pPr>
                        <w:pStyle w:val="DCSbodytext"/>
                        <w:ind w:left="0"/>
                        <w:jc w:val="center"/>
                        <w:rPr>
                          <w:b/>
                        </w:rPr>
                      </w:pPr>
                      <w:r>
                        <w:rPr>
                          <w:b/>
                        </w:rPr>
                        <w:t xml:space="preserve">Case study </w:t>
                      </w:r>
                      <w:r w:rsidRPr="00D8377B">
                        <w:rPr>
                          <w:b/>
                        </w:rPr>
                        <w:t>–</w:t>
                      </w:r>
                      <w:r>
                        <w:rPr>
                          <w:b/>
                        </w:rPr>
                        <w:t xml:space="preserve"> An example of the a</w:t>
                      </w:r>
                      <w:r w:rsidRPr="00163252">
                        <w:rPr>
                          <w:b/>
                        </w:rPr>
                        <w:t>pplication of mode</w:t>
                      </w:r>
                      <w:r>
                        <w:rPr>
                          <w:b/>
                        </w:rPr>
                        <w:t>l</w:t>
                      </w:r>
                      <w:r w:rsidRPr="00163252">
                        <w:rPr>
                          <w:b/>
                        </w:rPr>
                        <w:t>ling and analytics</w:t>
                      </w:r>
                    </w:p>
                    <w:p w14:paraId="6C15B359" w14:textId="77777777" w:rsidR="004A5EF4" w:rsidRDefault="004A5EF4" w:rsidP="005C46D6">
                      <w:pPr>
                        <w:pStyle w:val="DCSbodytext"/>
                        <w:ind w:left="0"/>
                      </w:pPr>
                      <w:r>
                        <w:t xml:space="preserve">IoT water sensors may be used to determine flood levels. While it is useful to read an individual water meter, the real value of the analysis is in the ability to read the whole network at once. This allows you to build and see a holistic model of the water situation, identify patterns and develop alerts to determine when a system is at risk of flooding. </w:t>
                      </w:r>
                    </w:p>
                    <w:p w14:paraId="178E560B" w14:textId="77777777" w:rsidR="004A5EF4" w:rsidRDefault="004A5EF4" w:rsidP="005C46D6">
                      <w:pPr>
                        <w:pStyle w:val="DCSbodytext"/>
                        <w:ind w:left="0"/>
                      </w:pPr>
                      <w:r>
                        <w:t xml:space="preserve">The next step is to start using the IoT data and build analytics to learn and make data models smarter, which can be done by implementing machine learning and artificial intelligence. This is a step change from visualising the data, to building algorithms, to start learning from the data and linking this to outcomes. </w:t>
                      </w:r>
                    </w:p>
                    <w:p w14:paraId="4A87AF73" w14:textId="050CC514" w:rsidR="004A5EF4" w:rsidRDefault="004A5EF4" w:rsidP="005C46D6">
                      <w:pPr>
                        <w:pStyle w:val="DCSbodytext"/>
                        <w:ind w:left="0"/>
                      </w:pPr>
                      <w:r>
                        <w:t>Predictive analytics is valuable as it allows you to leverage the alert systems, and identified anomalies from the data and historical data from the last flood to learn how to improve the predictive flood analysis model.</w:t>
                      </w:r>
                    </w:p>
                  </w:txbxContent>
                </v:textbox>
                <w10:anchorlock/>
              </v:shape>
            </w:pict>
          </mc:Fallback>
        </mc:AlternateContent>
      </w:r>
      <w:bookmarkEnd w:id="1678"/>
      <w:bookmarkEnd w:id="1679"/>
    </w:p>
    <w:p w14:paraId="3FE618BA" w14:textId="6A951666" w:rsidR="00833A1B" w:rsidRPr="00AC41E0" w:rsidRDefault="005C46D6" w:rsidP="001C6786">
      <w:pPr>
        <w:rPr>
          <w:rFonts w:ascii="Arial" w:hAnsi="Arial"/>
          <w:sz w:val="22"/>
        </w:rPr>
      </w:pPr>
      <w:r w:rsidRPr="00E46FB0">
        <w:br w:type="page"/>
      </w:r>
    </w:p>
    <w:tbl>
      <w:tblPr>
        <w:tblStyle w:val="TableGrid"/>
        <w:tblpPr w:leftFromText="180" w:rightFromText="180" w:vertAnchor="text" w:horzAnchor="margin" w:tblpXSpec="right" w:tblpY="189"/>
        <w:tblW w:w="8798" w:type="dxa"/>
        <w:shd w:val="clear" w:color="auto" w:fill="D9D9D9" w:themeFill="background1" w:themeFillShade="D9"/>
        <w:tblLook w:val="04A0" w:firstRow="1" w:lastRow="0" w:firstColumn="1" w:lastColumn="0" w:noHBand="0" w:noVBand="1"/>
      </w:tblPr>
      <w:tblGrid>
        <w:gridCol w:w="8798"/>
      </w:tblGrid>
      <w:tr w:rsidR="00833A1B" w:rsidRPr="00AC41E0" w14:paraId="263E7558" w14:textId="77777777" w:rsidTr="00110CB8">
        <w:tc>
          <w:tcPr>
            <w:tcW w:w="879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E2F475" w14:textId="459F1923" w:rsidR="00BB2EEA" w:rsidRPr="00AC41E0" w:rsidRDefault="00833A1B" w:rsidP="00110CB8">
            <w:pPr>
              <w:pStyle w:val="DCSbodytext"/>
              <w:ind w:left="0"/>
              <w:jc w:val="center"/>
              <w:rPr>
                <w:rFonts w:cs="Arial"/>
              </w:rPr>
            </w:pPr>
            <w:r w:rsidRPr="00AC41E0">
              <w:rPr>
                <w:b/>
              </w:rPr>
              <w:lastRenderedPageBreak/>
              <w:t>Case Study – NSW Health’s Proactive Sepsis Management project</w:t>
            </w:r>
          </w:p>
          <w:p w14:paraId="34269F17" w14:textId="07869734" w:rsidR="00BB2EEA" w:rsidRPr="00AC41E0" w:rsidRDefault="00BB2EEA" w:rsidP="00110CB8">
            <w:pPr>
              <w:spacing w:after="240" w:line="300" w:lineRule="exact"/>
              <w:rPr>
                <w:rFonts w:ascii="Arial" w:hAnsi="Arial" w:cs="Arial"/>
                <w:sz w:val="22"/>
                <w:lang w:eastAsia="en-US"/>
              </w:rPr>
            </w:pPr>
            <w:r w:rsidRPr="00AC41E0">
              <w:rPr>
                <w:rFonts w:ascii="Arial" w:hAnsi="Arial" w:cs="Arial"/>
                <w:sz w:val="22"/>
                <w:lang w:eastAsia="en-US"/>
              </w:rPr>
              <w:t xml:space="preserve">Every year more than 60,000 Australians are diagnosed with sepsis. 15,700 of those patients are admitted to Intensive Care Unit at an estimated cost of $39,300 per episode, equating to $617m annually. The annual death toll from sepsis is more than 5,000, which is greater than the annual national road toll and sepsis causes more deaths than breast, prostate or colo-rectal cancer. </w:t>
            </w:r>
          </w:p>
          <w:p w14:paraId="48B1F904" w14:textId="77777777" w:rsidR="00BB2EEA" w:rsidRPr="00AC41E0" w:rsidRDefault="00BB2EEA" w:rsidP="00110CB8">
            <w:pPr>
              <w:spacing w:after="240" w:line="300" w:lineRule="exact"/>
              <w:rPr>
                <w:rFonts w:ascii="Arial" w:hAnsi="Arial" w:cs="Arial"/>
                <w:sz w:val="22"/>
                <w:lang w:eastAsia="en-US"/>
              </w:rPr>
            </w:pPr>
            <w:r w:rsidRPr="00AC41E0">
              <w:rPr>
                <w:rFonts w:ascii="Arial" w:hAnsi="Arial" w:cs="Arial"/>
                <w:sz w:val="22"/>
                <w:lang w:eastAsia="en-US"/>
              </w:rPr>
              <w:t>The Proactive Sepsis Management project is first of its kind to provide real-time integration of medical devices using IoT in the world. It is a partnership between NSW Health Pathology (NSWHP), eHealth NSW and Western Sydney Local Health District (WSLHD) to significantly reduce sepsis deaths and negative patient outcomes. The project will:</w:t>
            </w:r>
          </w:p>
          <w:p w14:paraId="6EAAE91D" w14:textId="1259347F" w:rsidR="00BB2EEA" w:rsidRPr="00AC41E0" w:rsidRDefault="00BB2EEA" w:rsidP="00110CB8">
            <w:pPr>
              <w:numPr>
                <w:ilvl w:val="0"/>
                <w:numId w:val="195"/>
              </w:numPr>
              <w:spacing w:after="240" w:line="300" w:lineRule="exact"/>
              <w:rPr>
                <w:rFonts w:ascii="Arial" w:hAnsi="Arial" w:cs="Arial"/>
                <w:sz w:val="22"/>
                <w:lang w:eastAsia="en-US"/>
              </w:rPr>
            </w:pPr>
            <w:r w:rsidRPr="00AC41E0">
              <w:rPr>
                <w:rFonts w:ascii="Arial" w:hAnsi="Arial" w:cs="Arial"/>
                <w:sz w:val="22"/>
                <w:lang w:eastAsia="en-US"/>
              </w:rPr>
              <w:t>develop an IoT Diagnostics Pipeline for the transmission of data from medical devices not directly connected to existing electronic Medical Records</w:t>
            </w:r>
          </w:p>
          <w:p w14:paraId="6B7FDBA1" w14:textId="14CD0BCD" w:rsidR="00BB2EEA" w:rsidRPr="00AC41E0" w:rsidRDefault="00BB2EEA" w:rsidP="00110CB8">
            <w:pPr>
              <w:numPr>
                <w:ilvl w:val="0"/>
                <w:numId w:val="195"/>
              </w:numPr>
              <w:spacing w:after="240" w:line="300" w:lineRule="exact"/>
              <w:rPr>
                <w:rFonts w:ascii="Arial" w:hAnsi="Arial" w:cs="Arial"/>
                <w:sz w:val="22"/>
                <w:lang w:eastAsia="en-US"/>
              </w:rPr>
            </w:pPr>
            <w:r w:rsidRPr="00AC41E0">
              <w:rPr>
                <w:rFonts w:ascii="Arial" w:hAnsi="Arial" w:cs="Arial"/>
                <w:sz w:val="22"/>
                <w:lang w:eastAsia="en-US"/>
              </w:rPr>
              <w:t>leverage artificial intelligence and real-time analytics to produce a real-time dynamic risk stratified list of at-risk sepsis patients in the emergency department waiting room for action by clinicians</w:t>
            </w:r>
          </w:p>
          <w:p w14:paraId="2B61CBE1" w14:textId="3BAEA2BA" w:rsidR="00BB2EEA" w:rsidRPr="00AC41E0" w:rsidRDefault="00BB2EEA" w:rsidP="00110CB8">
            <w:pPr>
              <w:spacing w:after="240" w:line="300" w:lineRule="exact"/>
              <w:rPr>
                <w:rFonts w:ascii="Arial" w:hAnsi="Arial" w:cs="Arial"/>
                <w:sz w:val="22"/>
                <w:lang w:eastAsia="en-US"/>
              </w:rPr>
            </w:pPr>
            <w:r w:rsidRPr="00AC41E0">
              <w:rPr>
                <w:rFonts w:ascii="Arial" w:hAnsi="Arial" w:cs="Arial"/>
                <w:sz w:val="22"/>
                <w:lang w:eastAsia="en-US"/>
              </w:rPr>
              <w:t xml:space="preserve">By providing a real-time clinical support tool, the project aims to see a reduction in time to </w:t>
            </w:r>
            <w:r w:rsidR="00E802B8" w:rsidRPr="00AC41E0">
              <w:rPr>
                <w:rFonts w:ascii="Arial" w:hAnsi="Arial" w:cs="Arial"/>
                <w:sz w:val="22"/>
                <w:lang w:eastAsia="en-US"/>
              </w:rPr>
              <w:t xml:space="preserve">administration of </w:t>
            </w:r>
            <w:r w:rsidRPr="00AC41E0">
              <w:rPr>
                <w:rFonts w:ascii="Arial" w:hAnsi="Arial" w:cs="Arial"/>
                <w:sz w:val="22"/>
                <w:lang w:eastAsia="en-US"/>
              </w:rPr>
              <w:t>antibiotics, resulting in a significant reduction in patient deaths and improved preventative measures. Once a patient has antibiotics administered, their probability of death reduces by 7.6% per hour.</w:t>
            </w:r>
          </w:p>
          <w:p w14:paraId="1ABCC0A4" w14:textId="32F5D599" w:rsidR="00BB2EEA" w:rsidRPr="00AC41E0" w:rsidRDefault="00BB2EEA" w:rsidP="00110CB8">
            <w:pPr>
              <w:spacing w:after="240" w:line="300" w:lineRule="exact"/>
              <w:rPr>
                <w:rFonts w:ascii="Arial" w:hAnsi="Arial" w:cs="Arial"/>
                <w:sz w:val="22"/>
                <w:lang w:eastAsia="en-US"/>
              </w:rPr>
            </w:pPr>
            <w:r w:rsidRPr="00AC41E0">
              <w:rPr>
                <w:rFonts w:ascii="Arial" w:hAnsi="Arial" w:cs="Arial"/>
                <w:sz w:val="22"/>
                <w:lang w:eastAsia="en-US"/>
              </w:rPr>
              <w:t xml:space="preserve">The </w:t>
            </w:r>
            <w:r w:rsidRPr="00AC41E0">
              <w:rPr>
                <w:rFonts w:ascii="Arial" w:hAnsi="Arial" w:cs="Arial"/>
                <w:i/>
                <w:sz w:val="22"/>
                <w:lang w:eastAsia="en-US"/>
              </w:rPr>
              <w:t>IoT Diagnostics Pipeline</w:t>
            </w:r>
            <w:r w:rsidRPr="00AC41E0">
              <w:rPr>
                <w:rFonts w:ascii="Arial" w:hAnsi="Arial" w:cs="Arial"/>
                <w:sz w:val="22"/>
                <w:lang w:eastAsia="en-US"/>
              </w:rPr>
              <w:t xml:space="preserve"> will consume, digitise and automate the collection, transmission and storage of a patient’s vital signs data in real-time. With the use of mobile connectivity technologies (LTE, </w:t>
            </w:r>
            <w:r w:rsidR="00D632A2" w:rsidRPr="00AC41E0">
              <w:rPr>
                <w:rFonts w:ascii="Arial" w:hAnsi="Arial" w:cs="Arial"/>
                <w:sz w:val="22"/>
                <w:lang w:eastAsia="en-US"/>
              </w:rPr>
              <w:t>Wi-Fi</w:t>
            </w:r>
            <w:r w:rsidRPr="00AC41E0">
              <w:rPr>
                <w:rFonts w:ascii="Arial" w:hAnsi="Arial" w:cs="Arial"/>
                <w:sz w:val="22"/>
                <w:lang w:eastAsia="en-US"/>
              </w:rPr>
              <w:t xml:space="preserve"> and Bluetooth), the IoT Diagnostic Pipeline can connect medical devices directly to IoT gateways without requiring fixed hospital IT infrastructure. </w:t>
            </w:r>
          </w:p>
          <w:p w14:paraId="5637119E" w14:textId="77777777" w:rsidR="00BB2EEA" w:rsidRPr="00AC41E0" w:rsidRDefault="00BB2EEA" w:rsidP="00110CB8">
            <w:pPr>
              <w:spacing w:after="240" w:line="300" w:lineRule="exact"/>
              <w:rPr>
                <w:rFonts w:ascii="Arial" w:hAnsi="Arial" w:cs="Arial"/>
                <w:sz w:val="22"/>
                <w:lang w:eastAsia="en-US"/>
              </w:rPr>
            </w:pPr>
            <w:r w:rsidRPr="00AC41E0">
              <w:rPr>
                <w:rFonts w:ascii="Arial" w:hAnsi="Arial" w:cs="Arial"/>
                <w:sz w:val="22"/>
                <w:lang w:eastAsia="en-US"/>
              </w:rPr>
              <w:t>The benefits of the project across stakeholder groups include:</w:t>
            </w:r>
          </w:p>
          <w:p w14:paraId="19ABC387" w14:textId="77777777" w:rsidR="00BB2EEA" w:rsidRPr="00AC41E0" w:rsidRDefault="00BB2EEA" w:rsidP="00110CB8">
            <w:pPr>
              <w:numPr>
                <w:ilvl w:val="0"/>
                <w:numId w:val="196"/>
              </w:numPr>
              <w:spacing w:after="240" w:line="300" w:lineRule="exact"/>
              <w:rPr>
                <w:rFonts w:ascii="Arial" w:hAnsi="Arial" w:cs="Arial"/>
                <w:sz w:val="22"/>
                <w:lang w:eastAsia="en-US"/>
              </w:rPr>
            </w:pPr>
            <w:r w:rsidRPr="00AC41E0">
              <w:rPr>
                <w:rFonts w:ascii="Arial" w:hAnsi="Arial" w:cs="Arial"/>
                <w:sz w:val="22"/>
                <w:lang w:eastAsia="en-US"/>
              </w:rPr>
              <w:t>for clinical staff, automating patient observations data reduces workload while the analytics will deliver a tool providing real-time risk stratification of patients in the Emergency Department to support their clinical decision-making</w:t>
            </w:r>
          </w:p>
          <w:p w14:paraId="6D78BF72" w14:textId="77777777" w:rsidR="00BB2EEA" w:rsidRPr="00AC41E0" w:rsidRDefault="00BB2EEA" w:rsidP="00110CB8">
            <w:pPr>
              <w:numPr>
                <w:ilvl w:val="0"/>
                <w:numId w:val="196"/>
              </w:numPr>
              <w:spacing w:after="240" w:line="300" w:lineRule="exact"/>
              <w:rPr>
                <w:rFonts w:ascii="Arial" w:hAnsi="Arial" w:cs="Arial"/>
                <w:sz w:val="22"/>
                <w:lang w:eastAsia="en-US"/>
              </w:rPr>
            </w:pPr>
            <w:r w:rsidRPr="00AC41E0">
              <w:rPr>
                <w:rFonts w:ascii="Arial" w:hAnsi="Arial" w:cs="Arial"/>
                <w:sz w:val="22"/>
                <w:lang w:eastAsia="en-US"/>
              </w:rPr>
              <w:t>for clinical staff, by removing the need for manual transcription of patient vital signs from device into FirstNet. Current practice does not include having another staff member co-check result entry, leaving room for risks associated with transcription errors</w:t>
            </w:r>
          </w:p>
          <w:p w14:paraId="4C557B77" w14:textId="77777777" w:rsidR="00BB2EEA" w:rsidRPr="00AC41E0" w:rsidRDefault="00BB2EEA" w:rsidP="00110CB8">
            <w:pPr>
              <w:numPr>
                <w:ilvl w:val="0"/>
                <w:numId w:val="196"/>
              </w:numPr>
              <w:spacing w:after="240" w:line="300" w:lineRule="exact"/>
              <w:rPr>
                <w:rFonts w:ascii="Arial" w:hAnsi="Arial" w:cs="Arial"/>
                <w:sz w:val="22"/>
                <w:lang w:eastAsia="en-US"/>
              </w:rPr>
            </w:pPr>
            <w:r w:rsidRPr="00AC41E0">
              <w:rPr>
                <w:rFonts w:ascii="Arial" w:hAnsi="Arial" w:cs="Arial"/>
                <w:sz w:val="22"/>
                <w:lang w:eastAsia="en-US"/>
              </w:rPr>
              <w:t xml:space="preserve">patient outcomes will improve with faster clinical decision-making and treatment resulting from real-time clinical results, even in settings where it was not previously possible </w:t>
            </w:r>
          </w:p>
          <w:p w14:paraId="51557EA5" w14:textId="7501D8E1" w:rsidR="00BB2EEA" w:rsidRPr="00AC41E0" w:rsidRDefault="00BB2EEA" w:rsidP="00110CB8">
            <w:pPr>
              <w:numPr>
                <w:ilvl w:val="0"/>
                <w:numId w:val="196"/>
              </w:numPr>
              <w:spacing w:after="240" w:line="300" w:lineRule="exact"/>
              <w:rPr>
                <w:rFonts w:ascii="Arial" w:hAnsi="Arial" w:cs="Arial"/>
                <w:sz w:val="22"/>
                <w:lang w:eastAsia="en-US"/>
              </w:rPr>
            </w:pPr>
            <w:r w:rsidRPr="00AC41E0">
              <w:rPr>
                <w:rFonts w:ascii="Arial" w:hAnsi="Arial" w:cs="Arial"/>
                <w:sz w:val="22"/>
                <w:lang w:eastAsia="en-US"/>
              </w:rPr>
              <w:lastRenderedPageBreak/>
              <w:t>for the health system, the tools will provide opportunities to manage patients in and out of hospitals more efficiently. By proactively treating patients, inpatient visit times will be reduced and hospital resources better utilised</w:t>
            </w:r>
          </w:p>
          <w:p w14:paraId="57E85848" w14:textId="77777777" w:rsidR="00BB2EEA" w:rsidRPr="00AC41E0" w:rsidRDefault="00BB2EEA" w:rsidP="00110CB8">
            <w:pPr>
              <w:spacing w:after="240" w:line="300" w:lineRule="exact"/>
              <w:rPr>
                <w:rFonts w:ascii="Arial" w:hAnsi="Arial" w:cs="Arial"/>
                <w:sz w:val="22"/>
                <w:lang w:eastAsia="en-US"/>
              </w:rPr>
            </w:pPr>
            <w:r w:rsidRPr="00AC41E0">
              <w:rPr>
                <w:rFonts w:ascii="Arial" w:hAnsi="Arial" w:cs="Arial"/>
                <w:sz w:val="22"/>
                <w:lang w:eastAsia="en-US"/>
              </w:rPr>
              <w:t>The Proactive Sepsis Management Project has made the following achievements since commencing in April 2019:</w:t>
            </w:r>
          </w:p>
          <w:p w14:paraId="078FA1EB" w14:textId="77777777" w:rsidR="00BB2EEA" w:rsidRPr="00AC41E0" w:rsidRDefault="00BB2EEA" w:rsidP="00110CB8">
            <w:pPr>
              <w:numPr>
                <w:ilvl w:val="0"/>
                <w:numId w:val="197"/>
              </w:numPr>
              <w:spacing w:after="240" w:line="300" w:lineRule="exact"/>
              <w:rPr>
                <w:rFonts w:ascii="Arial" w:hAnsi="Arial" w:cs="Arial"/>
                <w:sz w:val="22"/>
                <w:lang w:eastAsia="en-US"/>
              </w:rPr>
            </w:pPr>
            <w:r w:rsidRPr="00AC41E0">
              <w:rPr>
                <w:rFonts w:ascii="Arial" w:hAnsi="Arial" w:cs="Arial"/>
                <w:sz w:val="22"/>
                <w:lang w:eastAsia="en-US"/>
              </w:rPr>
              <w:t>IoT Device Provisioning time reduced from two days to 40 minutes</w:t>
            </w:r>
          </w:p>
          <w:p w14:paraId="2C436D18" w14:textId="77777777" w:rsidR="00BB2EEA" w:rsidRPr="00AC41E0" w:rsidRDefault="00BB2EEA" w:rsidP="00110CB8">
            <w:pPr>
              <w:numPr>
                <w:ilvl w:val="0"/>
                <w:numId w:val="197"/>
              </w:numPr>
              <w:spacing w:after="240" w:line="300" w:lineRule="exact"/>
              <w:rPr>
                <w:rFonts w:ascii="Arial" w:hAnsi="Arial" w:cs="Arial"/>
                <w:sz w:val="22"/>
                <w:lang w:eastAsia="en-US"/>
              </w:rPr>
            </w:pPr>
            <w:r w:rsidRPr="00AC41E0">
              <w:rPr>
                <w:rFonts w:ascii="Arial" w:hAnsi="Arial" w:cs="Arial"/>
                <w:sz w:val="22"/>
                <w:lang w:eastAsia="en-US"/>
              </w:rPr>
              <w:t>Result transmission down from hours to minutes to sub 20 seconds</w:t>
            </w:r>
          </w:p>
          <w:p w14:paraId="31BCF874" w14:textId="77777777" w:rsidR="00BB2EEA" w:rsidRPr="00AC41E0" w:rsidRDefault="00BB2EEA" w:rsidP="00110CB8">
            <w:pPr>
              <w:numPr>
                <w:ilvl w:val="0"/>
                <w:numId w:val="197"/>
              </w:numPr>
              <w:spacing w:after="240" w:line="300" w:lineRule="exact"/>
              <w:rPr>
                <w:rFonts w:ascii="Arial" w:hAnsi="Arial" w:cs="Arial"/>
                <w:sz w:val="22"/>
                <w:lang w:eastAsia="en-US"/>
              </w:rPr>
            </w:pPr>
            <w:r w:rsidRPr="00AC41E0">
              <w:rPr>
                <w:rFonts w:ascii="Arial" w:hAnsi="Arial" w:cs="Arial"/>
                <w:sz w:val="22"/>
                <w:lang w:eastAsia="en-US"/>
              </w:rPr>
              <w:t>Multiple pathology PoCT devices implemented</w:t>
            </w:r>
          </w:p>
          <w:p w14:paraId="39943F9A" w14:textId="77777777" w:rsidR="00BB2EEA" w:rsidRPr="00AC41E0" w:rsidRDefault="00BB2EEA" w:rsidP="00110CB8">
            <w:pPr>
              <w:numPr>
                <w:ilvl w:val="0"/>
                <w:numId w:val="197"/>
              </w:numPr>
              <w:spacing w:after="240" w:line="300" w:lineRule="exact"/>
              <w:rPr>
                <w:rFonts w:ascii="Arial" w:hAnsi="Arial" w:cs="Arial"/>
                <w:sz w:val="22"/>
                <w:lang w:eastAsia="en-US"/>
              </w:rPr>
            </w:pPr>
            <w:r w:rsidRPr="00AC41E0">
              <w:rPr>
                <w:rFonts w:ascii="Arial" w:hAnsi="Arial" w:cs="Arial"/>
                <w:sz w:val="22"/>
                <w:lang w:eastAsia="en-US"/>
              </w:rPr>
              <w:t>First non-pathology device (vital signs) integrated</w:t>
            </w:r>
          </w:p>
          <w:p w14:paraId="0758B909" w14:textId="77777777" w:rsidR="00BB2EEA" w:rsidRPr="00AC41E0" w:rsidRDefault="00BB2EEA" w:rsidP="00110CB8">
            <w:pPr>
              <w:numPr>
                <w:ilvl w:val="0"/>
                <w:numId w:val="197"/>
              </w:numPr>
              <w:spacing w:after="240" w:line="300" w:lineRule="exact"/>
              <w:rPr>
                <w:rFonts w:ascii="Arial" w:hAnsi="Arial" w:cs="Arial"/>
                <w:sz w:val="22"/>
                <w:lang w:eastAsia="en-US"/>
              </w:rPr>
            </w:pPr>
            <w:r w:rsidRPr="00AC41E0">
              <w:rPr>
                <w:rFonts w:ascii="Arial" w:hAnsi="Arial" w:cs="Arial"/>
                <w:sz w:val="22"/>
                <w:lang w:eastAsia="en-US"/>
              </w:rPr>
              <w:t>Robust and extensive testing using IoT Diagnostics Pipeline, with automated testing solutions</w:t>
            </w:r>
          </w:p>
          <w:p w14:paraId="71BF49AF" w14:textId="77777777" w:rsidR="00BB2EEA" w:rsidRPr="00AC41E0" w:rsidRDefault="00BB2EEA" w:rsidP="00110CB8">
            <w:pPr>
              <w:numPr>
                <w:ilvl w:val="0"/>
                <w:numId w:val="197"/>
              </w:numPr>
              <w:spacing w:after="240" w:line="300" w:lineRule="exact"/>
              <w:rPr>
                <w:rFonts w:ascii="Arial" w:hAnsi="Arial" w:cs="Arial"/>
                <w:sz w:val="22"/>
                <w:lang w:eastAsia="en-US"/>
              </w:rPr>
            </w:pPr>
            <w:r w:rsidRPr="00AC41E0">
              <w:rPr>
                <w:rFonts w:ascii="Arial" w:hAnsi="Arial" w:cs="Arial"/>
                <w:sz w:val="22"/>
                <w:lang w:eastAsia="en-US"/>
              </w:rPr>
              <w:t>IoT Pilot production testing and evaluation in seven metropolitan and regional locations</w:t>
            </w:r>
          </w:p>
          <w:p w14:paraId="527AC059" w14:textId="77777777" w:rsidR="00BB2EEA" w:rsidRPr="00AC41E0" w:rsidRDefault="00BB2EEA" w:rsidP="00110CB8">
            <w:pPr>
              <w:numPr>
                <w:ilvl w:val="0"/>
                <w:numId w:val="197"/>
              </w:numPr>
              <w:spacing w:after="240" w:line="300" w:lineRule="exact"/>
              <w:rPr>
                <w:rFonts w:ascii="Arial" w:hAnsi="Arial" w:cs="Arial"/>
                <w:sz w:val="22"/>
                <w:lang w:eastAsia="en-US"/>
              </w:rPr>
            </w:pPr>
            <w:r w:rsidRPr="00AC41E0">
              <w:rPr>
                <w:rFonts w:ascii="Arial" w:hAnsi="Arial" w:cs="Arial"/>
                <w:sz w:val="22"/>
                <w:lang w:eastAsia="en-US"/>
              </w:rPr>
              <w:t>IoT remote monitoring and management solution</w:t>
            </w:r>
          </w:p>
          <w:p w14:paraId="4A320740" w14:textId="77777777" w:rsidR="00BB2EEA" w:rsidRPr="00AC41E0" w:rsidRDefault="00BB2EEA" w:rsidP="00110CB8">
            <w:pPr>
              <w:numPr>
                <w:ilvl w:val="0"/>
                <w:numId w:val="197"/>
              </w:numPr>
              <w:spacing w:after="240" w:line="300" w:lineRule="exact"/>
              <w:rPr>
                <w:rFonts w:ascii="Arial" w:hAnsi="Arial" w:cs="Arial"/>
                <w:sz w:val="22"/>
                <w:lang w:eastAsia="en-US"/>
              </w:rPr>
            </w:pPr>
            <w:r w:rsidRPr="00AC41E0">
              <w:rPr>
                <w:rFonts w:ascii="Arial" w:hAnsi="Arial" w:cs="Arial"/>
                <w:sz w:val="22"/>
                <w:lang w:eastAsia="en-US"/>
              </w:rPr>
              <w:t>IoT Gateway manufacturer evaluations</w:t>
            </w:r>
          </w:p>
          <w:p w14:paraId="037E7AED" w14:textId="4D235672" w:rsidR="00BB2EEA" w:rsidRPr="00AC41E0" w:rsidRDefault="00BB2EEA" w:rsidP="0001742D">
            <w:pPr>
              <w:numPr>
                <w:ilvl w:val="0"/>
                <w:numId w:val="197"/>
              </w:numPr>
              <w:spacing w:after="240" w:line="300" w:lineRule="exact"/>
              <w:rPr>
                <w:rFonts w:ascii="Arial" w:hAnsi="Arial" w:cs="Arial"/>
                <w:sz w:val="22"/>
                <w:lang w:eastAsia="en-US"/>
              </w:rPr>
            </w:pPr>
            <w:r w:rsidRPr="00AC41E0">
              <w:rPr>
                <w:rFonts w:ascii="Arial" w:hAnsi="Arial" w:cs="Arial"/>
                <w:sz w:val="22"/>
                <w:lang w:eastAsia="en-US"/>
              </w:rPr>
              <w:t>Development of front-end decision support tool, for risk stratification off all patients within ED</w:t>
            </w:r>
          </w:p>
        </w:tc>
      </w:tr>
    </w:tbl>
    <w:p w14:paraId="3DE969D0" w14:textId="77777777" w:rsidR="00833A1B" w:rsidRPr="00AC41E0" w:rsidRDefault="00833A1B" w:rsidP="00833A1B">
      <w:pPr>
        <w:pStyle w:val="Heading3"/>
        <w:numPr>
          <w:ilvl w:val="0"/>
          <w:numId w:val="0"/>
        </w:numPr>
        <w:spacing w:before="0" w:after="0"/>
        <w:ind w:left="794"/>
        <w:rPr>
          <w:rFonts w:ascii="Arial" w:hAnsi="Arial"/>
        </w:rPr>
      </w:pPr>
    </w:p>
    <w:p w14:paraId="2F829FB7" w14:textId="452880FE" w:rsidR="00AE31EA" w:rsidRPr="00AC41E0" w:rsidRDefault="00B7421C" w:rsidP="00CE783B">
      <w:pPr>
        <w:pStyle w:val="Heading3"/>
        <w:rPr>
          <w:rFonts w:ascii="Arial" w:hAnsi="Arial"/>
        </w:rPr>
      </w:pPr>
      <w:bookmarkStart w:id="1680" w:name="_Toc65760590"/>
      <w:r w:rsidRPr="00AC41E0">
        <w:rPr>
          <w:rFonts w:ascii="Arial" w:hAnsi="Arial"/>
        </w:rPr>
        <w:t>Using data</w:t>
      </w:r>
      <w:r w:rsidR="003B202D" w:rsidRPr="00AC41E0">
        <w:rPr>
          <w:rFonts w:ascii="Arial" w:hAnsi="Arial"/>
        </w:rPr>
        <w:t xml:space="preserve"> for your business </w:t>
      </w:r>
      <w:r w:rsidR="00D012CD" w:rsidRPr="00AC41E0">
        <w:rPr>
          <w:rFonts w:ascii="Arial" w:hAnsi="Arial"/>
        </w:rPr>
        <w:t>outcomes</w:t>
      </w:r>
      <w:bookmarkEnd w:id="1680"/>
    </w:p>
    <w:p w14:paraId="0446B711" w14:textId="611FCB57" w:rsidR="00AA792E" w:rsidRPr="00AC41E0" w:rsidRDefault="00AB3D18" w:rsidP="0022369F">
      <w:pPr>
        <w:pStyle w:val="DCSbodytext"/>
        <w:ind w:left="851"/>
      </w:pPr>
      <w:r w:rsidRPr="00AC41E0">
        <w:t>You can u</w:t>
      </w:r>
      <w:r w:rsidR="00386DEB" w:rsidRPr="00AC41E0">
        <w:t xml:space="preserve">se data to continuously track and measure </w:t>
      </w:r>
      <w:r w:rsidRPr="00AC41E0">
        <w:t xml:space="preserve">the </w:t>
      </w:r>
      <w:r w:rsidR="00386DEB" w:rsidRPr="00AC41E0">
        <w:t>business outcomes</w:t>
      </w:r>
      <w:r w:rsidRPr="00AC41E0">
        <w:t xml:space="preserve"> you defined at the start of your project. </w:t>
      </w:r>
      <w:r w:rsidR="00AE31EA" w:rsidRPr="00AC41E0">
        <w:rPr>
          <w:shd w:val="clear" w:color="auto" w:fill="FFFFFF"/>
        </w:rPr>
        <w:t>Without clear definitions of what constitutes success at every stage, progress can lag, data collection and use can become costly and untargeted</w:t>
      </w:r>
      <w:r w:rsidR="00090544" w:rsidRPr="00AC41E0">
        <w:rPr>
          <w:shd w:val="clear" w:color="auto" w:fill="FFFFFF"/>
        </w:rPr>
        <w:t>,</w:t>
      </w:r>
      <w:r w:rsidR="00AE31EA" w:rsidRPr="00AC41E0">
        <w:rPr>
          <w:shd w:val="clear" w:color="auto" w:fill="FFFFFF"/>
        </w:rPr>
        <w:t xml:space="preserve"> and the value of IoT initiatives can be diminished.</w:t>
      </w:r>
    </w:p>
    <w:p w14:paraId="2C8D9563" w14:textId="77777777" w:rsidR="00B70839" w:rsidRPr="00AC41E0" w:rsidRDefault="009C05CD" w:rsidP="00B70839">
      <w:pPr>
        <w:pStyle w:val="DCSbodytext"/>
        <w:spacing w:after="0"/>
        <w:ind w:left="851"/>
      </w:pPr>
      <w:r w:rsidRPr="00AC41E0">
        <w:t>Y</w:t>
      </w:r>
      <w:r w:rsidR="003D1BCF" w:rsidRPr="00AC41E0">
        <w:t>ou can</w:t>
      </w:r>
      <w:r w:rsidR="005D5583" w:rsidRPr="00AC41E0">
        <w:t xml:space="preserve"> also</w:t>
      </w:r>
      <w:r w:rsidR="003D1BCF" w:rsidRPr="00AC41E0">
        <w:t xml:space="preserve"> </w:t>
      </w:r>
      <w:r w:rsidR="00AE31EA" w:rsidRPr="00AC41E0">
        <w:t>leverag</w:t>
      </w:r>
      <w:r w:rsidR="003D1BCF" w:rsidRPr="00AC41E0">
        <w:t>e</w:t>
      </w:r>
      <w:r w:rsidR="00AE31EA" w:rsidRPr="00AC41E0">
        <w:t xml:space="preserve"> the data to identify new ways of operating and </w:t>
      </w:r>
      <w:r w:rsidR="003D1BCF" w:rsidRPr="00AC41E0">
        <w:t xml:space="preserve">explore </w:t>
      </w:r>
      <w:r w:rsidR="00AE31EA" w:rsidRPr="00AC41E0">
        <w:t>service innovations</w:t>
      </w:r>
      <w:r w:rsidR="001C552C" w:rsidRPr="00AC41E0">
        <w:t xml:space="preserve"> and improvements</w:t>
      </w:r>
      <w:r w:rsidRPr="00AC41E0">
        <w:t xml:space="preserve"> once your business outcomes are delivered</w:t>
      </w:r>
      <w:r w:rsidR="00AE31EA" w:rsidRPr="00AC41E0">
        <w:t xml:space="preserve">. Consider how your data can be leveraged more effectively across your business or be made available </w:t>
      </w:r>
    </w:p>
    <w:p w14:paraId="26BC2AFF" w14:textId="77777777" w:rsidR="00B70839" w:rsidRPr="00AC41E0" w:rsidRDefault="00B70839" w:rsidP="00B70839">
      <w:pPr>
        <w:pStyle w:val="DCSbodytext"/>
        <w:spacing w:after="0"/>
        <w:ind w:left="851"/>
      </w:pPr>
    </w:p>
    <w:p w14:paraId="486D637F" w14:textId="77777777" w:rsidR="00445167" w:rsidRPr="00AC41E0" w:rsidRDefault="00B70839" w:rsidP="00B70839">
      <w:pPr>
        <w:pStyle w:val="DCSbodytext"/>
        <w:spacing w:after="0"/>
        <w:ind w:left="851"/>
      </w:pPr>
      <w:r w:rsidRPr="00AC41E0">
        <w:t xml:space="preserve">If your organisation is planning to (or is) commissioning new infrastructure assets, a data and IoT strategy for each new government asset should be created. </w:t>
      </w:r>
    </w:p>
    <w:p w14:paraId="2D748883" w14:textId="77777777" w:rsidR="00445167" w:rsidRPr="00AC41E0" w:rsidRDefault="00445167" w:rsidP="00B70839">
      <w:pPr>
        <w:pStyle w:val="DCSbodytext"/>
        <w:spacing w:after="0"/>
        <w:ind w:left="851"/>
      </w:pPr>
    </w:p>
    <w:p w14:paraId="770D5BE9" w14:textId="77777777" w:rsidR="00445167" w:rsidRPr="00AC41E0" w:rsidRDefault="00B70839" w:rsidP="00B70839">
      <w:pPr>
        <w:pStyle w:val="DCSbodytext"/>
        <w:spacing w:after="0"/>
        <w:ind w:left="851"/>
      </w:pPr>
      <w:r w:rsidRPr="00AC41E0">
        <w:t xml:space="preserve">The </w:t>
      </w:r>
      <w:hyperlink r:id="rId270" w:history="1">
        <w:r w:rsidRPr="00AC41E0">
          <w:rPr>
            <w:rStyle w:val="Hyperlink"/>
          </w:rPr>
          <w:t>Smart Infrastructure Policy</w:t>
        </w:r>
      </w:hyperlink>
      <w:r w:rsidRPr="00AC41E0">
        <w:t xml:space="preserve"> </w:t>
      </w:r>
      <w:r w:rsidR="00200B17" w:rsidRPr="00AC41E0">
        <w:t>sets out the minimum</w:t>
      </w:r>
      <w:r w:rsidR="00F93C67" w:rsidRPr="00AC41E0">
        <w:t xml:space="preserve"> requirements for smart technology</w:t>
      </w:r>
      <w:r w:rsidR="00BA46D4" w:rsidRPr="00AC41E0">
        <w:t xml:space="preserve"> (including IoT) to be embedded</w:t>
      </w:r>
      <w:r w:rsidR="00873F77" w:rsidRPr="00AC41E0">
        <w:t xml:space="preserve"> in all new and upgraded infrastructure from 2020</w:t>
      </w:r>
      <w:r w:rsidRPr="00AC41E0">
        <w:t xml:space="preserve">. </w:t>
      </w:r>
    </w:p>
    <w:p w14:paraId="4F1A3853" w14:textId="77777777" w:rsidR="00445167" w:rsidRPr="00AC41E0" w:rsidRDefault="00445167" w:rsidP="00B70839">
      <w:pPr>
        <w:pStyle w:val="DCSbodytext"/>
        <w:spacing w:after="0"/>
        <w:ind w:left="851"/>
      </w:pPr>
    </w:p>
    <w:p w14:paraId="47E2077B" w14:textId="568BDFEC" w:rsidR="00B70839" w:rsidRPr="00AC41E0" w:rsidRDefault="00B70839" w:rsidP="00B70839">
      <w:pPr>
        <w:pStyle w:val="DCSbodytext"/>
        <w:spacing w:after="0"/>
        <w:ind w:left="851"/>
      </w:pPr>
      <w:r w:rsidRPr="00AC41E0">
        <w:lastRenderedPageBreak/>
        <w:t xml:space="preserve">The </w:t>
      </w:r>
      <w:hyperlink r:id="rId271" w:history="1">
        <w:r w:rsidRPr="00AC41E0">
          <w:rPr>
            <w:rStyle w:val="Hyperlink"/>
          </w:rPr>
          <w:t>Infrastructure Data Management Framework</w:t>
        </w:r>
      </w:hyperlink>
      <w:r w:rsidRPr="00AC41E0">
        <w:t xml:space="preserve"> provides guidance on implementation and management specific to government infrastructure. This will assist with ensuring the benefits from IoT, and the IoT foundations you have developed can be leveraged.</w:t>
      </w:r>
      <w:r w:rsidRPr="00E46FB0">
        <w:t xml:space="preserve"> </w:t>
      </w:r>
    </w:p>
    <w:p w14:paraId="63D5824B" w14:textId="5C41352C" w:rsidR="00C26E24" w:rsidRPr="00AC41E0" w:rsidRDefault="00C35FA2" w:rsidP="0001742D">
      <w:pPr>
        <w:pStyle w:val="Heading2"/>
        <w:ind w:left="794"/>
        <w:rPr>
          <w:rFonts w:ascii="Arial" w:hAnsi="Arial"/>
        </w:rPr>
      </w:pPr>
      <w:bookmarkStart w:id="1681" w:name="_Data_sharing"/>
      <w:bookmarkStart w:id="1682" w:name="_Open_data_and"/>
      <w:bookmarkStart w:id="1683" w:name="_Toc65760591"/>
      <w:bookmarkEnd w:id="1681"/>
      <w:bookmarkEnd w:id="1682"/>
      <w:r w:rsidRPr="00AC41E0">
        <w:rPr>
          <w:rFonts w:ascii="Arial" w:hAnsi="Arial"/>
        </w:rPr>
        <w:t>D</w:t>
      </w:r>
      <w:r w:rsidR="00C26E24" w:rsidRPr="00AC41E0">
        <w:rPr>
          <w:rFonts w:ascii="Arial" w:hAnsi="Arial"/>
        </w:rPr>
        <w:t>ata sharing</w:t>
      </w:r>
      <w:bookmarkEnd w:id="1683"/>
    </w:p>
    <w:p w14:paraId="3CCE53E4" w14:textId="3773F16F" w:rsidR="008D21B5" w:rsidRPr="00AC41E0" w:rsidRDefault="000F6383" w:rsidP="00C02205">
      <w:pPr>
        <w:pStyle w:val="Heading3"/>
        <w:rPr>
          <w:rFonts w:ascii="Arial" w:hAnsi="Arial"/>
        </w:rPr>
      </w:pPr>
      <w:bookmarkStart w:id="1684" w:name="_Toc65760592"/>
      <w:r w:rsidRPr="00AC41E0">
        <w:rPr>
          <w:rFonts w:ascii="Arial" w:hAnsi="Arial"/>
        </w:rPr>
        <w:t>Why and how to share data</w:t>
      </w:r>
      <w:bookmarkEnd w:id="1684"/>
    </w:p>
    <w:p w14:paraId="64BB57DC" w14:textId="27CB8EDA" w:rsidR="003D15BE" w:rsidRPr="00AC41E0" w:rsidRDefault="00A37121">
      <w:pPr>
        <w:pStyle w:val="DCSbodytext"/>
        <w:rPr>
          <w:shd w:val="clear" w:color="auto" w:fill="FFFFFF"/>
        </w:rPr>
      </w:pPr>
      <w:r w:rsidRPr="00AC41E0">
        <w:rPr>
          <w:rFonts w:eastAsia="Calibri"/>
        </w:rPr>
        <w:t xml:space="preserve">A fundamental requirement and key enabler of IoT systems is the ability to access, share and use data that has been collected. </w:t>
      </w:r>
      <w:r w:rsidR="00CA5EBD" w:rsidRPr="00AC41E0">
        <w:rPr>
          <w:rFonts w:eastAsia="Calibri"/>
        </w:rPr>
        <w:t>Y</w:t>
      </w:r>
      <w:r w:rsidR="00E87679" w:rsidRPr="00AC41E0">
        <w:rPr>
          <w:rFonts w:eastAsia="Calibri"/>
        </w:rPr>
        <w:t>ou can ensure that you own the IoT-generated data and that you can share it</w:t>
      </w:r>
      <w:r w:rsidR="00CA5EBD" w:rsidRPr="00AC41E0">
        <w:rPr>
          <w:rFonts w:eastAsia="Calibri"/>
        </w:rPr>
        <w:t xml:space="preserve"> by addressing </w:t>
      </w:r>
      <w:hyperlink w:anchor="_Data_ownership_and" w:history="1">
        <w:r w:rsidR="00CA5EBD" w:rsidRPr="00AC41E0">
          <w:rPr>
            <w:rStyle w:val="Hyperlink"/>
            <w:rFonts w:eastAsia="Calibri"/>
          </w:rPr>
          <w:t>data ownership in your contract arrangements</w:t>
        </w:r>
      </w:hyperlink>
      <w:r w:rsidR="00E87679" w:rsidRPr="00E46FB0">
        <w:rPr>
          <w:rFonts w:eastAsia="Calibri"/>
        </w:rPr>
        <w:t>.</w:t>
      </w:r>
      <w:r w:rsidR="00C13D3B" w:rsidRPr="00AC41E0">
        <w:rPr>
          <w:rFonts w:eastAsia="Calibri"/>
        </w:rPr>
        <w:t xml:space="preserve"> </w:t>
      </w:r>
    </w:p>
    <w:p w14:paraId="5CF40673" w14:textId="7EA2C446" w:rsidR="0044721D" w:rsidRPr="00AC41E0" w:rsidRDefault="001124C3" w:rsidP="0042728A">
      <w:pPr>
        <w:pStyle w:val="DCSbodytext"/>
        <w:spacing w:after="120"/>
        <w:rPr>
          <w:rFonts w:eastAsia="Calibri"/>
        </w:rPr>
      </w:pPr>
      <w:r w:rsidRPr="00AC41E0">
        <w:rPr>
          <w:rFonts w:eastAsia="Calibri"/>
        </w:rPr>
        <w:t>T</w:t>
      </w:r>
      <w:r w:rsidR="008041DC" w:rsidRPr="00AC41E0">
        <w:rPr>
          <w:rFonts w:eastAsia="Calibri"/>
        </w:rPr>
        <w:t xml:space="preserve">here </w:t>
      </w:r>
      <w:r w:rsidR="00B71840" w:rsidRPr="00AC41E0">
        <w:rPr>
          <w:rFonts w:eastAsia="Calibri"/>
        </w:rPr>
        <w:t xml:space="preserve">is </w:t>
      </w:r>
      <w:r w:rsidR="008041DC" w:rsidRPr="00AC41E0">
        <w:rPr>
          <w:rFonts w:eastAsia="Calibri"/>
        </w:rPr>
        <w:t xml:space="preserve">value in sharing your data with another </w:t>
      </w:r>
      <w:r w:rsidR="00C67A18" w:rsidRPr="00AC41E0">
        <w:rPr>
          <w:rFonts w:eastAsia="Calibri"/>
        </w:rPr>
        <w:t xml:space="preserve">organisation </w:t>
      </w:r>
      <w:r w:rsidR="008041DC" w:rsidRPr="00AC41E0">
        <w:rPr>
          <w:rFonts w:eastAsia="Calibri"/>
        </w:rPr>
        <w:t>or third party</w:t>
      </w:r>
      <w:r w:rsidR="00B71840" w:rsidRPr="00AC41E0">
        <w:rPr>
          <w:rFonts w:eastAsia="Calibri"/>
        </w:rPr>
        <w:t>. In fact</w:t>
      </w:r>
      <w:r w:rsidR="00D53630" w:rsidRPr="00AC41E0">
        <w:rPr>
          <w:rFonts w:eastAsia="Calibri"/>
        </w:rPr>
        <w:t>,</w:t>
      </w:r>
      <w:r w:rsidR="00B71840" w:rsidRPr="00AC41E0">
        <w:rPr>
          <w:rFonts w:eastAsia="Calibri"/>
        </w:rPr>
        <w:t xml:space="preserve"> </w:t>
      </w:r>
      <w:r w:rsidR="008041DC" w:rsidRPr="00AC41E0">
        <w:rPr>
          <w:rFonts w:eastAsia="Calibri"/>
        </w:rPr>
        <w:t>your project may specifically require data sharing.</w:t>
      </w:r>
      <w:r w:rsidR="00166FC9" w:rsidRPr="00AC41E0">
        <w:rPr>
          <w:rFonts w:eastAsia="Calibri"/>
        </w:rPr>
        <w:t xml:space="preserve"> </w:t>
      </w:r>
      <w:r w:rsidR="008041DC" w:rsidRPr="00AC41E0">
        <w:rPr>
          <w:rFonts w:eastAsia="Calibri"/>
        </w:rPr>
        <w:t>For example</w:t>
      </w:r>
      <w:r w:rsidR="00852672" w:rsidRPr="00AC41E0">
        <w:rPr>
          <w:rFonts w:eastAsia="Calibri"/>
        </w:rPr>
        <w:t>,</w:t>
      </w:r>
      <w:r w:rsidR="008041DC" w:rsidRPr="00AC41E0">
        <w:rPr>
          <w:rFonts w:eastAsia="Calibri"/>
        </w:rPr>
        <w:t xml:space="preserve"> the creation of smart cities relies on sharing data collected by local and state governments as well as private organisations. </w:t>
      </w:r>
      <w:r w:rsidR="0044721D" w:rsidRPr="00AC41E0">
        <w:rPr>
          <w:rFonts w:eastAsia="Calibri Light"/>
        </w:rPr>
        <w:t xml:space="preserve">Data sharing can </w:t>
      </w:r>
      <w:r w:rsidR="0044721D" w:rsidRPr="00AC41E0">
        <w:rPr>
          <w:rFonts w:eastAsia="Calibri"/>
        </w:rPr>
        <w:t>lead to benefits such as:</w:t>
      </w:r>
    </w:p>
    <w:p w14:paraId="18A84844" w14:textId="77777777" w:rsidR="0044721D" w:rsidRPr="00AC41E0" w:rsidRDefault="0044721D" w:rsidP="00003096">
      <w:pPr>
        <w:pStyle w:val="DCSbullet"/>
        <w:numPr>
          <w:ilvl w:val="0"/>
          <w:numId w:val="130"/>
        </w:numPr>
        <w:ind w:left="1276" w:hanging="425"/>
        <w:rPr>
          <w:rFonts w:eastAsia="Calibri"/>
        </w:rPr>
      </w:pPr>
      <w:r w:rsidRPr="00AC41E0">
        <w:rPr>
          <w:rFonts w:eastAsia="Calibri"/>
        </w:rPr>
        <w:t xml:space="preserve">enhanced competition and innovation </w:t>
      </w:r>
    </w:p>
    <w:p w14:paraId="0AE90E0E" w14:textId="77777777" w:rsidR="0044721D" w:rsidRPr="00AC41E0" w:rsidRDefault="0044721D" w:rsidP="00003096">
      <w:pPr>
        <w:pStyle w:val="DCSbullet"/>
        <w:numPr>
          <w:ilvl w:val="0"/>
          <w:numId w:val="130"/>
        </w:numPr>
        <w:ind w:left="1276" w:hanging="425"/>
        <w:rPr>
          <w:rFonts w:eastAsia="Calibri"/>
        </w:rPr>
      </w:pPr>
      <w:r w:rsidRPr="00AC41E0">
        <w:rPr>
          <w:rFonts w:eastAsia="Calibri"/>
        </w:rPr>
        <w:t xml:space="preserve">greater system-wide resilience and capacity </w:t>
      </w:r>
    </w:p>
    <w:p w14:paraId="29CCEF27" w14:textId="77777777" w:rsidR="0044721D" w:rsidRPr="00AC41E0" w:rsidRDefault="0044721D" w:rsidP="00003096">
      <w:pPr>
        <w:pStyle w:val="DCSbullet"/>
        <w:numPr>
          <w:ilvl w:val="0"/>
          <w:numId w:val="130"/>
        </w:numPr>
        <w:spacing w:after="240"/>
        <w:ind w:left="1276" w:hanging="425"/>
        <w:rPr>
          <w:rFonts w:eastAsia="Calibri"/>
        </w:rPr>
      </w:pPr>
      <w:r w:rsidRPr="00AC41E0">
        <w:rPr>
          <w:rFonts w:eastAsia="Calibri"/>
        </w:rPr>
        <w:t>opportunities to share insights and increase the scope and value of collected data.</w:t>
      </w:r>
    </w:p>
    <w:p w14:paraId="07EB4A20" w14:textId="4550AEB6" w:rsidR="0044721D" w:rsidRPr="00AC41E0" w:rsidRDefault="00893D16" w:rsidP="00652BC5">
      <w:pPr>
        <w:pStyle w:val="DCSbodytext"/>
        <w:rPr>
          <w:rFonts w:eastAsia="Calibri Light"/>
        </w:rPr>
      </w:pPr>
      <w:r w:rsidRPr="00AC41E0">
        <w:rPr>
          <w:rFonts w:eastAsia="Calibri Light"/>
        </w:rPr>
        <w:t>Sharing of IoT data and other data across NSW Government is encouraged, provided appropriate protections are in place.</w:t>
      </w:r>
      <w:r w:rsidRPr="00AC41E0">
        <w:rPr>
          <w:rFonts w:cs="Arial"/>
        </w:rPr>
        <w:t xml:space="preserve"> </w:t>
      </w:r>
      <w:r w:rsidR="004271EB" w:rsidRPr="00AC41E0">
        <w:rPr>
          <w:rFonts w:eastAsia="Calibri Light"/>
        </w:rPr>
        <w:t xml:space="preserve">The </w:t>
      </w:r>
      <w:hyperlink r:id="rId272" w:anchor="/view/act/2015/60" w:history="1">
        <w:r w:rsidR="004271EB" w:rsidRPr="00AC41E0">
          <w:rPr>
            <w:rStyle w:val="Hyperlink"/>
            <w:rFonts w:eastAsia="Calibri Light"/>
            <w:i/>
          </w:rPr>
          <w:t xml:space="preserve">Data Sharing </w:t>
        </w:r>
        <w:r w:rsidR="00FA3EA8" w:rsidRPr="00AC41E0">
          <w:rPr>
            <w:rStyle w:val="Hyperlink"/>
            <w:rFonts w:eastAsia="Calibri Light"/>
            <w:i/>
          </w:rPr>
          <w:t xml:space="preserve">(Government Sector) </w:t>
        </w:r>
        <w:r w:rsidR="004271EB" w:rsidRPr="00AC41E0">
          <w:rPr>
            <w:rStyle w:val="Hyperlink"/>
            <w:rFonts w:eastAsia="Calibri Light"/>
            <w:i/>
          </w:rPr>
          <w:t xml:space="preserve">Act 2015 </w:t>
        </w:r>
        <w:r w:rsidR="00CD3F59" w:rsidRPr="00AC41E0">
          <w:rPr>
            <w:rStyle w:val="Hyperlink"/>
            <w:rFonts w:eastAsia="Calibri Light"/>
          </w:rPr>
          <w:t>(N</w:t>
        </w:r>
        <w:r w:rsidR="004271EB" w:rsidRPr="00AC41E0">
          <w:rPr>
            <w:rStyle w:val="Hyperlink"/>
            <w:rFonts w:eastAsia="Calibri Light"/>
          </w:rPr>
          <w:t>SW</w:t>
        </w:r>
        <w:r w:rsidR="00CD3F59" w:rsidRPr="00AC41E0">
          <w:rPr>
            <w:rStyle w:val="Hyperlink"/>
            <w:rFonts w:eastAsia="Calibri Light"/>
          </w:rPr>
          <w:t>)</w:t>
        </w:r>
      </w:hyperlink>
      <w:r w:rsidR="004271EB" w:rsidRPr="00E46FB0">
        <w:rPr>
          <w:rFonts w:eastAsia="Calibri Light"/>
        </w:rPr>
        <w:t xml:space="preserve"> aims to remove barriers to data sharing within NSW Government and to facilitate and improve government data sharing. </w:t>
      </w:r>
    </w:p>
    <w:p w14:paraId="5415F287" w14:textId="77777777" w:rsidR="000C14E6" w:rsidRPr="00AC41E0" w:rsidRDefault="000C14E6" w:rsidP="0042728A">
      <w:pPr>
        <w:pStyle w:val="DCSbodytext"/>
        <w:spacing w:after="120"/>
      </w:pPr>
      <w:bookmarkStart w:id="1685" w:name="_Toc14686355"/>
      <w:bookmarkStart w:id="1686" w:name="_Toc14690094"/>
      <w:bookmarkStart w:id="1687" w:name="_Toc14692059"/>
      <w:bookmarkStart w:id="1688" w:name="_Toc14694132"/>
      <w:bookmarkStart w:id="1689" w:name="_Toc14694279"/>
      <w:bookmarkStart w:id="1690" w:name="_Toc14695851"/>
      <w:bookmarkStart w:id="1691" w:name="_Toc14701069"/>
      <w:bookmarkStart w:id="1692" w:name="_Toc14703045"/>
      <w:bookmarkStart w:id="1693" w:name="_Toc14709920"/>
      <w:bookmarkStart w:id="1694" w:name="_Toc14768787"/>
      <w:bookmarkStart w:id="1695" w:name="_Toc14771243"/>
      <w:bookmarkStart w:id="1696" w:name="_Toc14771426"/>
      <w:bookmarkStart w:id="1697" w:name="_Toc14771810"/>
      <w:bookmarkStart w:id="1698" w:name="_Toc14772020"/>
      <w:bookmarkStart w:id="1699" w:name="_Toc14774605"/>
      <w:bookmarkStart w:id="1700" w:name="_Toc14775669"/>
      <w:bookmarkStart w:id="1701" w:name="_Toc14775832"/>
      <w:bookmarkStart w:id="1702" w:name="_Toc14776426"/>
      <w:bookmarkStart w:id="1703" w:name="_Toc14778027"/>
      <w:bookmarkStart w:id="1704" w:name="_Toc14778173"/>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r w:rsidRPr="00AC41E0">
        <w:t>To share data in more controlled ways with trusted third parties, you can:</w:t>
      </w:r>
    </w:p>
    <w:p w14:paraId="69061057" w14:textId="2286764E" w:rsidR="000C14E6" w:rsidRPr="00AC41E0" w:rsidRDefault="000C14E6" w:rsidP="00F33137">
      <w:pPr>
        <w:pStyle w:val="DCSbodytext"/>
        <w:numPr>
          <w:ilvl w:val="0"/>
          <w:numId w:val="95"/>
        </w:numPr>
        <w:spacing w:after="120"/>
        <w:ind w:left="1151" w:hanging="357"/>
      </w:pPr>
      <w:r w:rsidRPr="00AC41E0">
        <w:t>make data available to third parties for them to process and use, potentially via an API</w:t>
      </w:r>
    </w:p>
    <w:p w14:paraId="28ADB7A4" w14:textId="6B20E76E" w:rsidR="000C14E6" w:rsidRPr="00AC41E0" w:rsidRDefault="000C14E6" w:rsidP="00D978A4">
      <w:pPr>
        <w:pStyle w:val="DCSbodytext"/>
        <w:numPr>
          <w:ilvl w:val="0"/>
          <w:numId w:val="95"/>
        </w:numPr>
        <w:ind w:left="1151" w:hanging="357"/>
      </w:pPr>
      <w:r w:rsidRPr="00AC41E0">
        <w:t xml:space="preserve">control data access but allow trusted third parties to submit analysis algorithms to the data, to derive insights from it. </w:t>
      </w:r>
    </w:p>
    <w:p w14:paraId="623BFD4B" w14:textId="77777777" w:rsidR="00B24015" w:rsidRPr="00AC41E0" w:rsidRDefault="001156CD" w:rsidP="0022369F">
      <w:pPr>
        <w:pStyle w:val="DCSbodytext"/>
        <w:rPr>
          <w:shd w:val="clear" w:color="auto" w:fill="FFFFFF"/>
        </w:rPr>
      </w:pPr>
      <w:r w:rsidRPr="00AC41E0">
        <w:rPr>
          <w:shd w:val="clear" w:color="auto" w:fill="FFFFFF"/>
        </w:rPr>
        <w:t xml:space="preserve">Sharing data or the insights generated from your IoT-enabled project with trusted third parties will require you to specify the necessary data standards and data quality to enable </w:t>
      </w:r>
      <w:hyperlink w:anchor="_Useful_International_Standards" w:history="1">
        <w:r w:rsidRPr="00AC41E0">
          <w:rPr>
            <w:rStyle w:val="Hyperlink"/>
            <w:shd w:val="clear" w:color="auto" w:fill="FFFFFF"/>
          </w:rPr>
          <w:t>interoperability</w:t>
        </w:r>
      </w:hyperlink>
      <w:r w:rsidRPr="00E46FB0">
        <w:rPr>
          <w:shd w:val="clear" w:color="auto" w:fill="FFFFFF"/>
        </w:rPr>
        <w:t>.</w:t>
      </w:r>
      <w:r w:rsidR="00B24015" w:rsidRPr="00AC41E0">
        <w:rPr>
          <w:shd w:val="clear" w:color="auto" w:fill="FFFFFF"/>
        </w:rPr>
        <w:t xml:space="preserve"> </w:t>
      </w:r>
    </w:p>
    <w:p w14:paraId="4A8DDCEF" w14:textId="3074A5F0" w:rsidR="00D4137E" w:rsidRPr="00AC41E0" w:rsidRDefault="00B24015" w:rsidP="0022369F">
      <w:pPr>
        <w:pStyle w:val="DCSbodytext"/>
        <w:rPr>
          <w:shd w:val="clear" w:color="auto" w:fill="FFFFFF"/>
        </w:rPr>
      </w:pPr>
      <w:r w:rsidRPr="00AC41E0">
        <w:rPr>
          <w:shd w:val="clear" w:color="auto" w:fill="FFFFFF"/>
        </w:rPr>
        <w:t>Data sharing can be facilitated by use of common platforms, including open data platforms such as data.nsw.gov.au for the sharing of publicly available open data, or shared data platforms or federated networks for sharing of more sensitive data. A secure federated data access model enables permission</w:t>
      </w:r>
      <w:r w:rsidR="008B6997" w:rsidRPr="00AC41E0">
        <w:rPr>
          <w:shd w:val="clear" w:color="auto" w:fill="FFFFFF"/>
        </w:rPr>
        <w:t>-</w:t>
      </w:r>
      <w:r w:rsidRPr="00AC41E0">
        <w:rPr>
          <w:shd w:val="clear" w:color="auto" w:fill="FFFFFF"/>
        </w:rPr>
        <w:t>based access to available data for trusted parties.</w:t>
      </w:r>
    </w:p>
    <w:p w14:paraId="6EC507D9" w14:textId="0A3B5331" w:rsidR="00D65F53" w:rsidRPr="00AC41E0" w:rsidRDefault="00D65F53" w:rsidP="00D65F53">
      <w:pPr>
        <w:pStyle w:val="DCSbodytext"/>
        <w:rPr>
          <w:shd w:val="clear" w:color="auto" w:fill="FFFFFF"/>
        </w:rPr>
      </w:pPr>
      <w:r w:rsidRPr="00AC41E0">
        <w:rPr>
          <w:shd w:val="clear" w:color="auto" w:fill="FFFFFF"/>
        </w:rPr>
        <w:t xml:space="preserve">Additional guidance on the benefits and purposes of data sharing is available at Data.NSW, including the following at: </w:t>
      </w:r>
      <w:hyperlink r:id="rId273" w:history="1">
        <w:r w:rsidRPr="00AC41E0">
          <w:rPr>
            <w:rStyle w:val="Hyperlink"/>
            <w:shd w:val="clear" w:color="auto" w:fill="FFFFFF"/>
          </w:rPr>
          <w:t>https://data.nsw.gov.au/developing-business-case-data-sharing</w:t>
        </w:r>
      </w:hyperlink>
      <w:r w:rsidRPr="00AC41E0">
        <w:rPr>
          <w:shd w:val="clear" w:color="auto" w:fill="FFFFFF"/>
        </w:rPr>
        <w:t xml:space="preserve"> </w:t>
      </w:r>
    </w:p>
    <w:p w14:paraId="17CAF48A" w14:textId="77777777" w:rsidR="00D65F53" w:rsidRPr="00AC41E0" w:rsidRDefault="00D65F53" w:rsidP="00D65F53">
      <w:pPr>
        <w:pStyle w:val="DCSbodytext"/>
        <w:rPr>
          <w:shd w:val="clear" w:color="auto" w:fill="FFFFFF"/>
        </w:rPr>
      </w:pPr>
      <w:r w:rsidRPr="00AC41E0">
        <w:rPr>
          <w:shd w:val="clear" w:color="auto" w:fill="FFFFFF"/>
        </w:rPr>
        <w:t>Better access to data leads to better customer service and a more efficient government</w:t>
      </w:r>
    </w:p>
    <w:p w14:paraId="60140A67" w14:textId="17B202A5" w:rsidR="00D65F53" w:rsidRPr="00AC41E0" w:rsidRDefault="00D65F53" w:rsidP="0001742D">
      <w:pPr>
        <w:pStyle w:val="DCSbullet"/>
        <w:numPr>
          <w:ilvl w:val="0"/>
          <w:numId w:val="130"/>
        </w:numPr>
        <w:ind w:left="1276" w:hanging="425"/>
        <w:rPr>
          <w:rFonts w:eastAsia="Calibri"/>
        </w:rPr>
      </w:pPr>
      <w:r w:rsidRPr="00AC41E0">
        <w:rPr>
          <w:shd w:val="clear" w:color="auto" w:fill="FFFFFF"/>
        </w:rPr>
        <w:t>Da</w:t>
      </w:r>
      <w:r w:rsidRPr="00AC41E0">
        <w:rPr>
          <w:rFonts w:eastAsia="Calibri"/>
        </w:rPr>
        <w:t>ta is a key element of the digital transformation of NSW government</w:t>
      </w:r>
    </w:p>
    <w:p w14:paraId="7BDFFB10" w14:textId="0A54C338" w:rsidR="00D65F53" w:rsidRPr="00AC41E0" w:rsidRDefault="00D65F53" w:rsidP="0001742D">
      <w:pPr>
        <w:pStyle w:val="DCSbullet"/>
        <w:numPr>
          <w:ilvl w:val="0"/>
          <w:numId w:val="130"/>
        </w:numPr>
        <w:ind w:left="1276" w:hanging="425"/>
        <w:rPr>
          <w:rFonts w:eastAsia="Calibri"/>
        </w:rPr>
      </w:pPr>
      <w:r w:rsidRPr="00AC41E0">
        <w:rPr>
          <w:rFonts w:eastAsia="Calibri"/>
        </w:rPr>
        <w:lastRenderedPageBreak/>
        <w:t>NSW government is moving to responsive models for decision making, which are aided by access to data</w:t>
      </w:r>
    </w:p>
    <w:p w14:paraId="5AAF995C" w14:textId="41143C57" w:rsidR="00D65F53" w:rsidRPr="00AC41E0" w:rsidRDefault="00D65F53" w:rsidP="0001742D">
      <w:pPr>
        <w:pStyle w:val="DCSbullet"/>
        <w:numPr>
          <w:ilvl w:val="0"/>
          <w:numId w:val="130"/>
        </w:numPr>
        <w:ind w:left="1276" w:hanging="425"/>
        <w:rPr>
          <w:rFonts w:eastAsia="Calibri"/>
        </w:rPr>
      </w:pPr>
      <w:r w:rsidRPr="00AC41E0">
        <w:rPr>
          <w:rFonts w:eastAsia="Calibri"/>
        </w:rPr>
        <w:t xml:space="preserve">Access to more data allows agencies to more rapidly measure their approaches, and adapt based on evidence </w:t>
      </w:r>
    </w:p>
    <w:p w14:paraId="1D9B44B4" w14:textId="184F7B20" w:rsidR="00D65F53" w:rsidRPr="00AC41E0" w:rsidRDefault="00D65F53" w:rsidP="0001742D">
      <w:pPr>
        <w:pStyle w:val="DCSbullet"/>
        <w:numPr>
          <w:ilvl w:val="0"/>
          <w:numId w:val="130"/>
        </w:numPr>
        <w:ind w:left="1276" w:hanging="425"/>
        <w:rPr>
          <w:rFonts w:eastAsia="Calibri"/>
        </w:rPr>
      </w:pPr>
      <w:r w:rsidRPr="00AC41E0">
        <w:rPr>
          <w:rFonts w:eastAsia="Calibri"/>
        </w:rPr>
        <w:t>Access to more data can lead to better informed investments and more comprehensive planning</w:t>
      </w:r>
    </w:p>
    <w:p w14:paraId="5EC14431" w14:textId="119C3735" w:rsidR="00657A69" w:rsidRPr="00AC41E0" w:rsidRDefault="00D65F53" w:rsidP="0001742D">
      <w:pPr>
        <w:pStyle w:val="DCSbullet"/>
        <w:numPr>
          <w:ilvl w:val="0"/>
          <w:numId w:val="130"/>
        </w:numPr>
        <w:ind w:left="1276" w:hanging="425"/>
        <w:rPr>
          <w:shd w:val="clear" w:color="auto" w:fill="FFFFFF"/>
        </w:rPr>
      </w:pPr>
      <w:r w:rsidRPr="00AC41E0">
        <w:rPr>
          <w:rFonts w:eastAsia="Calibri"/>
        </w:rPr>
        <w:t xml:space="preserve">Data sharing can enable better collaboration across all levels of government, to develop coordinated </w:t>
      </w:r>
      <w:r w:rsidRPr="00AC41E0">
        <w:rPr>
          <w:shd w:val="clear" w:color="auto" w:fill="FFFFFF"/>
        </w:rPr>
        <w:t>and evidence-based approaches.</w:t>
      </w:r>
    </w:p>
    <w:p w14:paraId="3F61897A" w14:textId="12D1B0F6" w:rsidR="00D4137E" w:rsidRPr="00AC41E0" w:rsidRDefault="008D21B5" w:rsidP="0022369F">
      <w:pPr>
        <w:pStyle w:val="Heading3"/>
        <w:ind w:left="709" w:hanging="709"/>
        <w:rPr>
          <w:rFonts w:ascii="Arial" w:hAnsi="Arial"/>
        </w:rPr>
      </w:pPr>
      <w:bookmarkStart w:id="1705" w:name="_Toc65760593"/>
      <w:r w:rsidRPr="00E46FB0">
        <w:rPr>
          <w:rFonts w:ascii="Arial" w:hAnsi="Arial"/>
        </w:rPr>
        <w:t>Responding to requests for data sharing</w:t>
      </w:r>
      <w:bookmarkEnd w:id="1705"/>
    </w:p>
    <w:p w14:paraId="12829BDE" w14:textId="1B755E49" w:rsidR="005D1A38" w:rsidRPr="00AC41E0" w:rsidRDefault="005D1A38" w:rsidP="00A74C40">
      <w:pPr>
        <w:pStyle w:val="DCSbodytext"/>
        <w:ind w:left="720"/>
        <w:rPr>
          <w:rFonts w:eastAsia="Calibri"/>
        </w:rPr>
      </w:pPr>
      <w:r w:rsidRPr="00AC41E0">
        <w:rPr>
          <w:rFonts w:eastAsia="Calibri"/>
        </w:rPr>
        <w:t xml:space="preserve">Data sharing may be initiated by the owner or </w:t>
      </w:r>
      <w:r w:rsidR="000C7B57" w:rsidRPr="00AC41E0">
        <w:rPr>
          <w:rFonts w:eastAsia="Calibri"/>
        </w:rPr>
        <w:t xml:space="preserve">producer </w:t>
      </w:r>
      <w:r w:rsidRPr="00AC41E0">
        <w:rPr>
          <w:rFonts w:eastAsia="Calibri"/>
        </w:rPr>
        <w:t xml:space="preserve">of data </w:t>
      </w:r>
      <w:r w:rsidR="00813883" w:rsidRPr="00AC41E0">
        <w:rPr>
          <w:rFonts w:eastAsia="Calibri"/>
        </w:rPr>
        <w:t xml:space="preserve">but </w:t>
      </w:r>
      <w:r w:rsidRPr="00AC41E0">
        <w:rPr>
          <w:rFonts w:eastAsia="Calibri"/>
        </w:rPr>
        <w:t xml:space="preserve">is generally initiated by a request to a data owner. </w:t>
      </w:r>
    </w:p>
    <w:p w14:paraId="619F90B1" w14:textId="3B6D0BDB" w:rsidR="008D21B5" w:rsidRPr="00AC41E0" w:rsidRDefault="008D21B5" w:rsidP="0022369F">
      <w:pPr>
        <w:pStyle w:val="DCSbodytext"/>
        <w:tabs>
          <w:tab w:val="left" w:pos="720"/>
        </w:tabs>
        <w:ind w:left="720"/>
        <w:rPr>
          <w:rFonts w:eastAsia="Calibri"/>
        </w:rPr>
      </w:pPr>
      <w:r w:rsidRPr="00AC41E0">
        <w:rPr>
          <w:rFonts w:eastAsia="Calibri"/>
        </w:rPr>
        <w:t xml:space="preserve">It is best practice to follow the steps in the </w:t>
      </w:r>
      <w:r w:rsidR="00870A22" w:rsidRPr="00AC41E0">
        <w:rPr>
          <w:rFonts w:eastAsia="Calibri"/>
        </w:rPr>
        <w:t xml:space="preserve">following </w:t>
      </w:r>
      <w:r w:rsidRPr="00AC41E0">
        <w:rPr>
          <w:rFonts w:eastAsia="Calibri"/>
        </w:rPr>
        <w:t>table when you are looking to share IoT data. This information is a guide only. You should seek detailed advice from your privacy contact officers, legal officers</w:t>
      </w:r>
      <w:r w:rsidR="00852672" w:rsidRPr="00AC41E0">
        <w:rPr>
          <w:rFonts w:eastAsia="Calibri"/>
        </w:rPr>
        <w:t>,</w:t>
      </w:r>
      <w:r w:rsidRPr="00AC41E0">
        <w:rPr>
          <w:rFonts w:eastAsia="Calibri"/>
        </w:rPr>
        <w:t xml:space="preserve"> and the </w:t>
      </w:r>
      <w:hyperlink r:id="rId274" w:history="1">
        <w:r w:rsidRPr="00AC41E0">
          <w:rPr>
            <w:rStyle w:val="Hyperlink"/>
            <w:rFonts w:eastAsia="Calibri" w:cs="Arial"/>
          </w:rPr>
          <w:t>Information and Privacy Commission NSW</w:t>
        </w:r>
      </w:hyperlink>
      <w:r w:rsidRPr="00E46FB0">
        <w:rPr>
          <w:rFonts w:eastAsia="Calibri"/>
        </w:rPr>
        <w:t xml:space="preserve"> to </w:t>
      </w:r>
      <w:r w:rsidR="00E9281C" w:rsidRPr="00AC41E0">
        <w:rPr>
          <w:rFonts w:eastAsia="Calibri"/>
        </w:rPr>
        <w:t xml:space="preserve">confirm </w:t>
      </w:r>
      <w:r w:rsidRPr="00AC41E0">
        <w:rPr>
          <w:rFonts w:eastAsia="Calibri"/>
        </w:rPr>
        <w:t>your data</w:t>
      </w:r>
      <w:r w:rsidR="00852672" w:rsidRPr="00AC41E0">
        <w:rPr>
          <w:rFonts w:eastAsia="Calibri"/>
        </w:rPr>
        <w:t>-</w:t>
      </w:r>
      <w:r w:rsidRPr="00AC41E0">
        <w:rPr>
          <w:rFonts w:eastAsia="Calibri"/>
        </w:rPr>
        <w:t xml:space="preserve">sharing arrangement is lawful, ethical and safe. </w:t>
      </w:r>
    </w:p>
    <w:p w14:paraId="29C227BA" w14:textId="77777777" w:rsidR="00306F4F" w:rsidRPr="00AC41E0" w:rsidRDefault="00306F4F">
      <w:pPr>
        <w:rPr>
          <w:rFonts w:ascii="Arial" w:eastAsia="Calibri" w:hAnsi="Arial"/>
          <w:sz w:val="22"/>
          <w:lang w:eastAsia="en-US"/>
        </w:rPr>
        <w:sectPr w:rsidR="00306F4F" w:rsidRPr="00AC41E0" w:rsidSect="005778EB">
          <w:pgSz w:w="11906" w:h="16838"/>
          <w:pgMar w:top="1418" w:right="1134" w:bottom="1134" w:left="1134" w:header="851" w:footer="425" w:gutter="0"/>
          <w:cols w:space="708"/>
          <w:titlePg/>
          <w:docGrid w:linePitch="360"/>
        </w:sectPr>
      </w:pPr>
    </w:p>
    <w:p w14:paraId="417EB7EF" w14:textId="3665E965" w:rsidR="008D21B5" w:rsidRPr="00AC41E0" w:rsidRDefault="0008371A" w:rsidP="00D55F6B">
      <w:pPr>
        <w:pStyle w:val="DCSbodytext"/>
        <w:ind w:left="0"/>
        <w:jc w:val="center"/>
        <w:rPr>
          <w:rFonts w:eastAsia="Calibri Light"/>
          <w:b/>
        </w:rPr>
      </w:pPr>
      <w:r w:rsidRPr="00E46FB0">
        <w:rPr>
          <w:rFonts w:eastAsia="Calibri Light"/>
          <w:b/>
        </w:rPr>
        <w:lastRenderedPageBreak/>
        <w:t>S</w:t>
      </w:r>
      <w:r w:rsidR="008D21B5" w:rsidRPr="00AC41E0">
        <w:rPr>
          <w:rFonts w:eastAsia="Calibri Light"/>
          <w:b/>
        </w:rPr>
        <w:t xml:space="preserve">teps </w:t>
      </w:r>
      <w:r w:rsidRPr="00AC41E0">
        <w:rPr>
          <w:rFonts w:eastAsia="Calibri Light"/>
          <w:b/>
        </w:rPr>
        <w:t xml:space="preserve">for </w:t>
      </w:r>
      <w:r w:rsidR="008D21B5" w:rsidRPr="00AC41E0">
        <w:rPr>
          <w:rFonts w:eastAsia="Calibri Light"/>
          <w:b/>
        </w:rPr>
        <w:t>data sharing</w:t>
      </w:r>
    </w:p>
    <w:tbl>
      <w:tblPr>
        <w:tblStyle w:val="GridTable4-Accent1"/>
        <w:tblW w:w="14175" w:type="dxa"/>
        <w:tblInd w:w="279" w:type="dxa"/>
        <w:tblLook w:val="04A0" w:firstRow="1" w:lastRow="0" w:firstColumn="1" w:lastColumn="0" w:noHBand="0" w:noVBand="1"/>
      </w:tblPr>
      <w:tblGrid>
        <w:gridCol w:w="1843"/>
        <w:gridCol w:w="12332"/>
      </w:tblGrid>
      <w:tr w:rsidR="008D21B5" w:rsidRPr="00AC41E0" w14:paraId="4BEF6164" w14:textId="77777777" w:rsidTr="001C67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1F497D" w:themeFill="text2"/>
          </w:tcPr>
          <w:p w14:paraId="3563194D" w14:textId="77777777" w:rsidR="008D21B5" w:rsidRPr="00AC41E0" w:rsidRDefault="008D21B5" w:rsidP="0022369F">
            <w:pPr>
              <w:pStyle w:val="DCSbodytext"/>
              <w:ind w:left="0"/>
              <w:jc w:val="center"/>
              <w:rPr>
                <w:rFonts w:eastAsia="Calibri Light"/>
              </w:rPr>
            </w:pPr>
            <w:r w:rsidRPr="00AC41E0">
              <w:rPr>
                <w:rFonts w:eastAsia="Calibri Light"/>
              </w:rPr>
              <w:t>Step</w:t>
            </w:r>
          </w:p>
        </w:tc>
        <w:tc>
          <w:tcPr>
            <w:tcW w:w="12332" w:type="dxa"/>
            <w:tcBorders>
              <w:top w:val="single" w:sz="4" w:space="0" w:color="auto"/>
              <w:left w:val="single" w:sz="4" w:space="0" w:color="auto"/>
              <w:bottom w:val="single" w:sz="4" w:space="0" w:color="auto"/>
              <w:right w:val="single" w:sz="4" w:space="0" w:color="auto"/>
            </w:tcBorders>
            <w:shd w:val="clear" w:color="auto" w:fill="1F497D" w:themeFill="text2"/>
          </w:tcPr>
          <w:p w14:paraId="35CE71C5" w14:textId="77777777" w:rsidR="008D21B5" w:rsidRPr="00AC41E0" w:rsidRDefault="008D21B5" w:rsidP="0022369F">
            <w:pPr>
              <w:pStyle w:val="DCSbodytext"/>
              <w:ind w:left="0"/>
              <w:jc w:val="center"/>
              <w:cnfStyle w:val="100000000000" w:firstRow="1" w:lastRow="0" w:firstColumn="0" w:lastColumn="0" w:oddVBand="0" w:evenVBand="0" w:oddHBand="0" w:evenHBand="0" w:firstRowFirstColumn="0" w:firstRowLastColumn="0" w:lastRowFirstColumn="0" w:lastRowLastColumn="0"/>
              <w:rPr>
                <w:rFonts w:eastAsia="Calibri Light"/>
              </w:rPr>
            </w:pPr>
            <w:r w:rsidRPr="00AC41E0">
              <w:rPr>
                <w:rFonts w:eastAsia="Calibri Light"/>
              </w:rPr>
              <w:t>Description</w:t>
            </w:r>
          </w:p>
        </w:tc>
      </w:tr>
      <w:tr w:rsidR="008D21B5" w:rsidRPr="00AC41E0" w14:paraId="2B50F88C" w14:textId="77777777" w:rsidTr="001C6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tcPr>
          <w:p w14:paraId="39781677" w14:textId="77777777" w:rsidR="008D21B5" w:rsidRPr="00AC41E0" w:rsidRDefault="008D21B5" w:rsidP="00D978A4">
            <w:pPr>
              <w:pStyle w:val="DCSbodytext"/>
              <w:numPr>
                <w:ilvl w:val="0"/>
                <w:numId w:val="62"/>
              </w:numPr>
              <w:spacing w:after="120"/>
              <w:rPr>
                <w:rFonts w:eastAsia="Calibri Light"/>
              </w:rPr>
            </w:pPr>
            <w:r w:rsidRPr="00AC41E0">
              <w:rPr>
                <w:rFonts w:eastAsia="Calibri Light"/>
              </w:rPr>
              <w:t>Can the data be shared legally and under what conditions?</w:t>
            </w:r>
          </w:p>
        </w:tc>
        <w:tc>
          <w:tcPr>
            <w:tcW w:w="12332" w:type="dxa"/>
            <w:tcBorders>
              <w:top w:val="single" w:sz="4" w:space="0" w:color="auto"/>
            </w:tcBorders>
          </w:tcPr>
          <w:p w14:paraId="4F02A49A" w14:textId="77777777" w:rsidR="008D21B5" w:rsidRPr="00AC41E0" w:rsidRDefault="008D21B5" w:rsidP="00D978A4">
            <w:pPr>
              <w:pStyle w:val="DCSbodytext"/>
              <w:numPr>
                <w:ilvl w:val="0"/>
                <w:numId w:val="74"/>
              </w:numPr>
              <w:ind w:left="357" w:hanging="357"/>
              <w:cnfStyle w:val="000000100000" w:firstRow="0" w:lastRow="0" w:firstColumn="0" w:lastColumn="0" w:oddVBand="0" w:evenVBand="0" w:oddHBand="1" w:evenHBand="0" w:firstRowFirstColumn="0" w:firstRowLastColumn="0" w:lastRowFirstColumn="0" w:lastRowLastColumn="0"/>
              <w:rPr>
                <w:rFonts w:eastAsia="Calibri"/>
              </w:rPr>
            </w:pPr>
            <w:r w:rsidRPr="00AC41E0">
              <w:rPr>
                <w:rFonts w:eastAsia="Calibri"/>
              </w:rPr>
              <w:t xml:space="preserve">Certain laws and regulations prevent or limit the scope of sharing some forms of data. You must consider your legal and compliance obligations with respect to whether you can share the data and under what conditions. </w:t>
            </w:r>
          </w:p>
          <w:p w14:paraId="33718BD3" w14:textId="77777777" w:rsidR="008D21B5" w:rsidRPr="00AC41E0" w:rsidRDefault="008D21B5" w:rsidP="00D978A4">
            <w:pPr>
              <w:pStyle w:val="DCSbodytext"/>
              <w:numPr>
                <w:ilvl w:val="0"/>
                <w:numId w:val="74"/>
              </w:numPr>
              <w:spacing w:after="120"/>
              <w:cnfStyle w:val="000000100000" w:firstRow="0" w:lastRow="0" w:firstColumn="0" w:lastColumn="0" w:oddVBand="0" w:evenVBand="0" w:oddHBand="1" w:evenHBand="0" w:firstRowFirstColumn="0" w:firstRowLastColumn="0" w:lastRowFirstColumn="0" w:lastRowLastColumn="0"/>
              <w:rPr>
                <w:rFonts w:eastAsia="Calibri"/>
                <w:i/>
              </w:rPr>
            </w:pPr>
            <w:r w:rsidRPr="00AC41E0">
              <w:rPr>
                <w:rFonts w:eastAsia="Calibri"/>
                <w:i/>
              </w:rPr>
              <w:t>Does the data requested contain personal information?</w:t>
            </w:r>
          </w:p>
          <w:p w14:paraId="260DFC5D" w14:textId="6D62F8B9" w:rsidR="008D21B5" w:rsidRPr="00AC41E0" w:rsidRDefault="008D21B5" w:rsidP="00C346B6">
            <w:pPr>
              <w:pStyle w:val="DCSbodytext"/>
              <w:spacing w:after="120"/>
              <w:ind w:left="360"/>
              <w:cnfStyle w:val="000000100000" w:firstRow="0" w:lastRow="0" w:firstColumn="0" w:lastColumn="0" w:oddVBand="0" w:evenVBand="0" w:oddHBand="1" w:evenHBand="0" w:firstRowFirstColumn="0" w:firstRowLastColumn="0" w:lastRowFirstColumn="0" w:lastRowLastColumn="0"/>
              <w:rPr>
                <w:rFonts w:eastAsia="Calibri"/>
              </w:rPr>
            </w:pPr>
            <w:r w:rsidRPr="00AC41E0">
              <w:rPr>
                <w:rFonts w:eastAsia="Calibri"/>
              </w:rPr>
              <w:t xml:space="preserve">Under the </w:t>
            </w:r>
            <w:hyperlink r:id="rId275" w:anchor="/view/act/1998/133" w:history="1">
              <w:r w:rsidRPr="00AC41E0">
                <w:rPr>
                  <w:rStyle w:val="Hyperlink"/>
                  <w:rFonts w:eastAsia="Calibri"/>
                  <w:i/>
                </w:rPr>
                <w:t>Privacy and Personal Information Protection Act (1998)</w:t>
              </w:r>
              <w:r w:rsidRPr="00AC41E0">
                <w:rPr>
                  <w:rStyle w:val="Hyperlink"/>
                  <w:rFonts w:eastAsia="Calibri"/>
                </w:rPr>
                <w:t xml:space="preserve"> (NSW)</w:t>
              </w:r>
            </w:hyperlink>
            <w:r w:rsidRPr="00E46FB0">
              <w:rPr>
                <w:rFonts w:eastAsia="Calibri" w:cs="Times New Roman"/>
                <w:i/>
              </w:rPr>
              <w:t>,</w:t>
            </w:r>
            <w:r w:rsidRPr="00AC41E0">
              <w:rPr>
                <w:rFonts w:eastAsia="Calibri" w:cs="Times New Roman"/>
              </w:rPr>
              <w:t xml:space="preserve"> </w:t>
            </w:r>
            <w:hyperlink w:anchor="_The_privacy_regulatory" w:history="1">
              <w:r w:rsidRPr="00AC41E0">
                <w:rPr>
                  <w:rStyle w:val="Hyperlink"/>
                  <w:rFonts w:eastAsia="Calibri" w:cs="Times New Roman"/>
                </w:rPr>
                <w:t>personal information</w:t>
              </w:r>
            </w:hyperlink>
            <w:r w:rsidRPr="00E46FB0">
              <w:rPr>
                <w:rFonts w:eastAsia="Calibri"/>
              </w:rPr>
              <w:t xml:space="preserve"> may only be used or shared for the purpose for which it was collected, or for a secondary purpose if an exception applies. You must determine whether the sharing of personal information with a third party is compatible with the original purpose it was col</w:t>
            </w:r>
            <w:r w:rsidRPr="00AC41E0">
              <w:rPr>
                <w:rFonts w:eastAsia="Calibri"/>
              </w:rPr>
              <w:t xml:space="preserve">lected for and the privacy policy and/or notice given to the individual. </w:t>
            </w:r>
          </w:p>
          <w:p w14:paraId="0197460B" w14:textId="77777777" w:rsidR="008D21B5" w:rsidRPr="00AC41E0" w:rsidRDefault="008D21B5" w:rsidP="00D1097A">
            <w:pPr>
              <w:pStyle w:val="DCSbodytext"/>
              <w:ind w:left="360"/>
              <w:cnfStyle w:val="000000100000" w:firstRow="0" w:lastRow="0" w:firstColumn="0" w:lastColumn="0" w:oddVBand="0" w:evenVBand="0" w:oddHBand="1" w:evenHBand="0" w:firstRowFirstColumn="0" w:firstRowLastColumn="0" w:lastRowFirstColumn="0" w:lastRowLastColumn="0"/>
              <w:rPr>
                <w:rFonts w:eastAsia="Calibri"/>
              </w:rPr>
            </w:pPr>
            <w:r w:rsidRPr="00AC41E0">
              <w:rPr>
                <w:rFonts w:eastAsia="Calibri"/>
              </w:rPr>
              <w:t xml:space="preserve">If it is not compatible, the data that contains personal information must be de-identified. If the data is successfully de-identified, the modified data will no longer trigger privacy legislation. Step 3 explains how to de-identify data. </w:t>
            </w:r>
          </w:p>
          <w:p w14:paraId="2366C7B3" w14:textId="77777777" w:rsidR="008D21B5" w:rsidRPr="00AC41E0" w:rsidRDefault="008D21B5" w:rsidP="00D978A4">
            <w:pPr>
              <w:pStyle w:val="DCSbodytext"/>
              <w:numPr>
                <w:ilvl w:val="0"/>
                <w:numId w:val="80"/>
              </w:numPr>
              <w:spacing w:after="120"/>
              <w:cnfStyle w:val="000000100000" w:firstRow="0" w:lastRow="0" w:firstColumn="0" w:lastColumn="0" w:oddVBand="0" w:evenVBand="0" w:oddHBand="1" w:evenHBand="0" w:firstRowFirstColumn="0" w:firstRowLastColumn="0" w:lastRowFirstColumn="0" w:lastRowLastColumn="0"/>
              <w:rPr>
                <w:rFonts w:eastAsia="Calibri"/>
              </w:rPr>
            </w:pPr>
            <w:r w:rsidRPr="00AC41E0">
              <w:rPr>
                <w:rFonts w:eastAsia="Calibri"/>
                <w:i/>
              </w:rPr>
              <w:t xml:space="preserve">Does the requested data contain other sensitive information? </w:t>
            </w:r>
          </w:p>
          <w:p w14:paraId="3907DE3E" w14:textId="77777777" w:rsidR="008D21B5" w:rsidRPr="00AC41E0" w:rsidRDefault="008D21B5" w:rsidP="00C346B6">
            <w:pPr>
              <w:pStyle w:val="DCSbodytext"/>
              <w:spacing w:after="120"/>
              <w:ind w:left="360"/>
              <w:cnfStyle w:val="000000100000" w:firstRow="0" w:lastRow="0" w:firstColumn="0" w:lastColumn="0" w:oddVBand="0" w:evenVBand="0" w:oddHBand="1" w:evenHBand="0" w:firstRowFirstColumn="0" w:firstRowLastColumn="0" w:lastRowFirstColumn="0" w:lastRowLastColumn="0"/>
              <w:rPr>
                <w:rFonts w:eastAsia="Calibri"/>
              </w:rPr>
            </w:pPr>
            <w:r w:rsidRPr="00AC41E0">
              <w:rPr>
                <w:rFonts w:eastAsia="Calibri"/>
              </w:rPr>
              <w:t xml:space="preserve">Legal restrictions prohibit the sharing of some forms of sensitive information, such as data protected by intellectual property rights, data considered confidential (including trade secrets), financial data, etc. This data cannot be shared in its raw format, except in exceptional circumstances. </w:t>
            </w:r>
          </w:p>
          <w:p w14:paraId="7DE5C90C" w14:textId="66E61C33" w:rsidR="008D21B5" w:rsidRPr="00AC41E0" w:rsidRDefault="008D21B5" w:rsidP="00B54B82">
            <w:pPr>
              <w:pStyle w:val="DCSbodytext"/>
              <w:ind w:left="360"/>
              <w:cnfStyle w:val="000000100000" w:firstRow="0" w:lastRow="0" w:firstColumn="0" w:lastColumn="0" w:oddVBand="0" w:evenVBand="0" w:oddHBand="1" w:evenHBand="0" w:firstRowFirstColumn="0" w:firstRowLastColumn="0" w:lastRowFirstColumn="0" w:lastRowLastColumn="0"/>
              <w:rPr>
                <w:rFonts w:eastAsia="Calibri"/>
              </w:rPr>
            </w:pPr>
            <w:r w:rsidRPr="00AC41E0">
              <w:rPr>
                <w:rFonts w:eastAsia="Calibri"/>
              </w:rPr>
              <w:t xml:space="preserve">A decision not to share data should only be made after consultation with your </w:t>
            </w:r>
            <w:r w:rsidR="00CD00BB" w:rsidRPr="00AC41E0">
              <w:rPr>
                <w:rFonts w:eastAsia="Calibri"/>
              </w:rPr>
              <w:t xml:space="preserve">organisation’s </w:t>
            </w:r>
            <w:r w:rsidRPr="00AC41E0">
              <w:rPr>
                <w:rFonts w:eastAsia="Calibri"/>
              </w:rPr>
              <w:t xml:space="preserve">legal officers and after all attempts have been made to protect the sensitivity of the data. </w:t>
            </w:r>
          </w:p>
          <w:p w14:paraId="735ED5AE" w14:textId="77777777" w:rsidR="008D21B5" w:rsidRPr="00AC41E0" w:rsidRDefault="008D21B5" w:rsidP="00D978A4">
            <w:pPr>
              <w:pStyle w:val="DCSbodytext"/>
              <w:numPr>
                <w:ilvl w:val="0"/>
                <w:numId w:val="75"/>
              </w:numPr>
              <w:spacing w:after="120"/>
              <w:cnfStyle w:val="000000100000" w:firstRow="0" w:lastRow="0" w:firstColumn="0" w:lastColumn="0" w:oddVBand="0" w:evenVBand="0" w:oddHBand="1" w:evenHBand="0" w:firstRowFirstColumn="0" w:firstRowLastColumn="0" w:lastRowFirstColumn="0" w:lastRowLastColumn="0"/>
              <w:rPr>
                <w:rFonts w:eastAsia="Calibri"/>
                <w:i/>
              </w:rPr>
            </w:pPr>
            <w:r w:rsidRPr="00AC41E0">
              <w:rPr>
                <w:rFonts w:eastAsia="Calibri"/>
                <w:i/>
              </w:rPr>
              <w:t>Exceptions?</w:t>
            </w:r>
          </w:p>
          <w:p w14:paraId="18386C06" w14:textId="2CF5E557" w:rsidR="008D21B5" w:rsidRPr="00AC41E0" w:rsidRDefault="008D21B5" w:rsidP="00C346B6">
            <w:pPr>
              <w:pStyle w:val="DCSbodytext"/>
              <w:spacing w:after="120"/>
              <w:ind w:left="360"/>
              <w:cnfStyle w:val="000000100000" w:firstRow="0" w:lastRow="0" w:firstColumn="0" w:lastColumn="0" w:oddVBand="0" w:evenVBand="0" w:oddHBand="1" w:evenHBand="0" w:firstRowFirstColumn="0" w:firstRowLastColumn="0" w:lastRowFirstColumn="0" w:lastRowLastColumn="0"/>
              <w:rPr>
                <w:rFonts w:eastAsia="Calibri"/>
              </w:rPr>
            </w:pPr>
            <w:r w:rsidRPr="00AC41E0">
              <w:rPr>
                <w:rFonts w:eastAsia="Calibri"/>
              </w:rPr>
              <w:t>In some instances, the sharing of sensitive and personal information in its raw form is legally permitted</w:t>
            </w:r>
            <w:r w:rsidR="00CE13B0" w:rsidRPr="00AC41E0">
              <w:rPr>
                <w:rFonts w:eastAsia="Calibri"/>
              </w:rPr>
              <w:t>, such as</w:t>
            </w:r>
            <w:r w:rsidRPr="00AC41E0">
              <w:rPr>
                <w:rFonts w:eastAsia="Calibri"/>
              </w:rPr>
              <w:t>:</w:t>
            </w:r>
          </w:p>
          <w:p w14:paraId="4794E6BD" w14:textId="24D4C545" w:rsidR="008D21B5" w:rsidRPr="00AC41E0" w:rsidRDefault="00B7200A" w:rsidP="00D978A4">
            <w:pPr>
              <w:pStyle w:val="DCSbodytext"/>
              <w:numPr>
                <w:ilvl w:val="0"/>
                <w:numId w:val="73"/>
              </w:numPr>
              <w:spacing w:after="120"/>
              <w:cnfStyle w:val="000000100000" w:firstRow="0" w:lastRow="0" w:firstColumn="0" w:lastColumn="0" w:oddVBand="0" w:evenVBand="0" w:oddHBand="1" w:evenHBand="0" w:firstRowFirstColumn="0" w:firstRowLastColumn="0" w:lastRowFirstColumn="0" w:lastRowLastColumn="0"/>
              <w:rPr>
                <w:rFonts w:eastAsia="Calibri"/>
              </w:rPr>
            </w:pPr>
            <w:r w:rsidRPr="00AC41E0">
              <w:rPr>
                <w:rFonts w:eastAsia="Calibri"/>
              </w:rPr>
              <w:t>w</w:t>
            </w:r>
            <w:r w:rsidR="008D21B5" w:rsidRPr="00AC41E0">
              <w:rPr>
                <w:rFonts w:eastAsia="Calibri"/>
              </w:rPr>
              <w:t>here the data subjects have given consent</w:t>
            </w:r>
          </w:p>
          <w:p w14:paraId="3664C238" w14:textId="11A09B65" w:rsidR="008D21B5" w:rsidRPr="00AC41E0" w:rsidRDefault="00B7200A" w:rsidP="00D978A4">
            <w:pPr>
              <w:pStyle w:val="DCSbodytext"/>
              <w:numPr>
                <w:ilvl w:val="0"/>
                <w:numId w:val="73"/>
              </w:numPr>
              <w:spacing w:after="120"/>
              <w:cnfStyle w:val="000000100000" w:firstRow="0" w:lastRow="0" w:firstColumn="0" w:lastColumn="0" w:oddVBand="0" w:evenVBand="0" w:oddHBand="1" w:evenHBand="0" w:firstRowFirstColumn="0" w:firstRowLastColumn="0" w:lastRowFirstColumn="0" w:lastRowLastColumn="0"/>
              <w:rPr>
                <w:rFonts w:eastAsia="Calibri"/>
              </w:rPr>
            </w:pPr>
            <w:r w:rsidRPr="00AC41E0">
              <w:rPr>
                <w:rFonts w:eastAsia="Calibri"/>
              </w:rPr>
              <w:t>w</w:t>
            </w:r>
            <w:r w:rsidR="008D21B5" w:rsidRPr="00AC41E0">
              <w:rPr>
                <w:rFonts w:eastAsia="Calibri"/>
              </w:rPr>
              <w:t>here it is necessary for the performance of government duty that is in the public interest</w:t>
            </w:r>
          </w:p>
          <w:p w14:paraId="527BA4DA" w14:textId="26EC783B" w:rsidR="008D21B5" w:rsidRPr="00AC41E0" w:rsidRDefault="00B7200A" w:rsidP="00D978A4">
            <w:pPr>
              <w:pStyle w:val="DCSbodytext"/>
              <w:numPr>
                <w:ilvl w:val="0"/>
                <w:numId w:val="73"/>
              </w:numPr>
              <w:ind w:left="714" w:hanging="357"/>
              <w:cnfStyle w:val="000000100000" w:firstRow="0" w:lastRow="0" w:firstColumn="0" w:lastColumn="0" w:oddVBand="0" w:evenVBand="0" w:oddHBand="1" w:evenHBand="0" w:firstRowFirstColumn="0" w:firstRowLastColumn="0" w:lastRowFirstColumn="0" w:lastRowLastColumn="0"/>
              <w:rPr>
                <w:rFonts w:eastAsia="Calibri"/>
              </w:rPr>
            </w:pPr>
            <w:r w:rsidRPr="00AC41E0">
              <w:rPr>
                <w:rFonts w:eastAsia="Calibri"/>
              </w:rPr>
              <w:t>w</w:t>
            </w:r>
            <w:r w:rsidR="008D21B5" w:rsidRPr="00AC41E0">
              <w:rPr>
                <w:rFonts w:eastAsia="Calibri"/>
              </w:rPr>
              <w:t xml:space="preserve">here it is necessary for the purposes of the legitimate interests pursued by the </w:t>
            </w:r>
            <w:r w:rsidR="00C5751A" w:rsidRPr="00AC41E0">
              <w:rPr>
                <w:rFonts w:eastAsia="Calibri"/>
              </w:rPr>
              <w:t xml:space="preserve">organisation </w:t>
            </w:r>
            <w:r w:rsidR="008D21B5" w:rsidRPr="00AC41E0">
              <w:rPr>
                <w:rFonts w:eastAsia="Calibri"/>
              </w:rPr>
              <w:t>disclosing the data, or the party receiving it, as balanced against the rights and interests of the data subjects.</w:t>
            </w:r>
          </w:p>
          <w:p w14:paraId="6C70161C" w14:textId="77777777" w:rsidR="008D21B5" w:rsidRPr="00AC41E0" w:rsidRDefault="008D21B5" w:rsidP="00D978A4">
            <w:pPr>
              <w:pStyle w:val="DCSbodytext"/>
              <w:numPr>
                <w:ilvl w:val="0"/>
                <w:numId w:val="75"/>
              </w:numPr>
              <w:spacing w:after="120"/>
              <w:cnfStyle w:val="000000100000" w:firstRow="0" w:lastRow="0" w:firstColumn="0" w:lastColumn="0" w:oddVBand="0" w:evenVBand="0" w:oddHBand="1" w:evenHBand="0" w:firstRowFirstColumn="0" w:firstRowLastColumn="0" w:lastRowFirstColumn="0" w:lastRowLastColumn="0"/>
              <w:rPr>
                <w:rFonts w:eastAsia="Calibri"/>
                <w:i/>
              </w:rPr>
            </w:pPr>
            <w:r w:rsidRPr="00AC41E0">
              <w:rPr>
                <w:rFonts w:eastAsia="Calibri"/>
                <w:i/>
              </w:rPr>
              <w:lastRenderedPageBreak/>
              <w:t xml:space="preserve">Will the requested data be linked with one or more datasets? </w:t>
            </w:r>
          </w:p>
          <w:p w14:paraId="230D24FD" w14:textId="616CB290" w:rsidR="008D21B5" w:rsidRPr="00AC41E0" w:rsidRDefault="008D21B5" w:rsidP="0022369F">
            <w:pPr>
              <w:pStyle w:val="DCSbodytext"/>
              <w:ind w:left="357"/>
              <w:cnfStyle w:val="000000100000" w:firstRow="0" w:lastRow="0" w:firstColumn="0" w:lastColumn="0" w:oddVBand="0" w:evenVBand="0" w:oddHBand="1" w:evenHBand="0" w:firstRowFirstColumn="0" w:firstRowLastColumn="0" w:lastRowFirstColumn="0" w:lastRowLastColumn="0"/>
              <w:rPr>
                <w:rFonts w:eastAsia="Calibri"/>
              </w:rPr>
            </w:pPr>
            <w:r w:rsidRPr="00AC41E0">
              <w:rPr>
                <w:rFonts w:eastAsia="Calibri"/>
              </w:rPr>
              <w:t>Just because data does not contain sensitive information does not mean that it will not become sensitive once it is shared. Non-sensitive data may become sensitive when the data is linked with one or more datasets that include information about the same person or some subject. For example, location data, identification numbers or online identifiers, such as IP addresses, cookies</w:t>
            </w:r>
            <w:r w:rsidR="00852672" w:rsidRPr="00AC41E0">
              <w:rPr>
                <w:rFonts w:eastAsia="Calibri"/>
              </w:rPr>
              <w:t>,</w:t>
            </w:r>
            <w:r w:rsidRPr="00AC41E0">
              <w:rPr>
                <w:rFonts w:eastAsia="Calibri"/>
              </w:rPr>
              <w:t xml:space="preserve"> and RFID tags, can provide ways to make data personally identifiable. Talk to the data requestor about how they intend to use the data. </w:t>
            </w:r>
          </w:p>
          <w:p w14:paraId="4A50B847" w14:textId="77777777" w:rsidR="008D21B5" w:rsidRPr="00AC41E0" w:rsidRDefault="008D21B5" w:rsidP="00D978A4">
            <w:pPr>
              <w:pStyle w:val="DCSbodytext"/>
              <w:numPr>
                <w:ilvl w:val="0"/>
                <w:numId w:val="75"/>
              </w:numPr>
              <w:spacing w:after="120"/>
              <w:cnfStyle w:val="000000100000" w:firstRow="0" w:lastRow="0" w:firstColumn="0" w:lastColumn="0" w:oddVBand="0" w:evenVBand="0" w:oddHBand="1" w:evenHBand="0" w:firstRowFirstColumn="0" w:firstRowLastColumn="0" w:lastRowFirstColumn="0" w:lastRowLastColumn="0"/>
              <w:rPr>
                <w:rFonts w:eastAsia="Calibri"/>
                <w:i/>
              </w:rPr>
            </w:pPr>
            <w:r w:rsidRPr="00AC41E0">
              <w:rPr>
                <w:rFonts w:eastAsia="Calibri"/>
                <w:i/>
              </w:rPr>
              <w:t>No legal or compliance issues identified?</w:t>
            </w:r>
          </w:p>
          <w:p w14:paraId="15BA68BE" w14:textId="58CD3CE9" w:rsidR="008D21B5" w:rsidRPr="00AC41E0" w:rsidRDefault="00101E32" w:rsidP="00C346B6">
            <w:pPr>
              <w:pStyle w:val="DCSbodytext"/>
              <w:spacing w:after="120"/>
              <w:ind w:left="360"/>
              <w:cnfStyle w:val="000000100000" w:firstRow="0" w:lastRow="0" w:firstColumn="0" w:lastColumn="0" w:oddVBand="0" w:evenVBand="0" w:oddHBand="1" w:evenHBand="0" w:firstRowFirstColumn="0" w:firstRowLastColumn="0" w:lastRowFirstColumn="0" w:lastRowLastColumn="0"/>
              <w:rPr>
                <w:rFonts w:eastAsia="Calibri Light"/>
              </w:rPr>
            </w:pPr>
            <w:r w:rsidRPr="00AC41E0">
              <w:rPr>
                <w:rFonts w:eastAsia="Calibri"/>
              </w:rPr>
              <w:t>If there are no legal or compliance issues, y</w:t>
            </w:r>
            <w:r w:rsidR="008D21B5" w:rsidRPr="00AC41E0">
              <w:rPr>
                <w:rFonts w:eastAsia="Calibri"/>
              </w:rPr>
              <w:t xml:space="preserve">ou should consider making this data publicly available in accordance with the </w:t>
            </w:r>
            <w:hyperlink r:id="rId276" w:history="1">
              <w:r w:rsidR="008D21B5" w:rsidRPr="00AC41E0">
                <w:rPr>
                  <w:rStyle w:val="Hyperlink"/>
                  <w:rFonts w:eastAsia="Calibri"/>
                </w:rPr>
                <w:t>NSW Government Open Data Policy</w:t>
              </w:r>
            </w:hyperlink>
            <w:r w:rsidR="008D21B5" w:rsidRPr="00E46FB0">
              <w:rPr>
                <w:rFonts w:eastAsia="Calibri" w:cs="Times New Roman"/>
              </w:rPr>
              <w:t xml:space="preserve">. </w:t>
            </w:r>
          </w:p>
        </w:tc>
      </w:tr>
      <w:tr w:rsidR="008D21B5" w:rsidRPr="00AC41E0" w14:paraId="7F6D36A6" w14:textId="77777777" w:rsidTr="001C6786">
        <w:tc>
          <w:tcPr>
            <w:cnfStyle w:val="001000000000" w:firstRow="0" w:lastRow="0" w:firstColumn="1" w:lastColumn="0" w:oddVBand="0" w:evenVBand="0" w:oddHBand="0" w:evenHBand="0" w:firstRowFirstColumn="0" w:firstRowLastColumn="0" w:lastRowFirstColumn="0" w:lastRowLastColumn="0"/>
            <w:tcW w:w="1843" w:type="dxa"/>
          </w:tcPr>
          <w:p w14:paraId="5C5BDD30" w14:textId="77777777" w:rsidR="008D21B5" w:rsidRPr="00AC41E0" w:rsidRDefault="008D21B5" w:rsidP="00D978A4">
            <w:pPr>
              <w:pStyle w:val="DCSbodytext"/>
              <w:numPr>
                <w:ilvl w:val="0"/>
                <w:numId w:val="62"/>
              </w:numPr>
              <w:spacing w:after="120"/>
              <w:rPr>
                <w:rFonts w:eastAsia="Calibri Light"/>
              </w:rPr>
            </w:pPr>
            <w:r w:rsidRPr="00AC41E0">
              <w:rPr>
                <w:rFonts w:eastAsia="Calibri Light"/>
              </w:rPr>
              <w:lastRenderedPageBreak/>
              <w:t xml:space="preserve">Is the use of the data appropriate? </w:t>
            </w:r>
          </w:p>
          <w:p w14:paraId="4B415B78" w14:textId="77777777" w:rsidR="008D21B5" w:rsidRPr="00AC41E0" w:rsidRDefault="008D21B5" w:rsidP="00C346B6">
            <w:pPr>
              <w:pStyle w:val="DCSbodytext"/>
              <w:spacing w:after="120"/>
              <w:ind w:left="0"/>
              <w:rPr>
                <w:rFonts w:eastAsia="Calibri Light"/>
              </w:rPr>
            </w:pPr>
          </w:p>
        </w:tc>
        <w:tc>
          <w:tcPr>
            <w:tcW w:w="12332" w:type="dxa"/>
          </w:tcPr>
          <w:p w14:paraId="255EED0D" w14:textId="77777777" w:rsidR="008D21B5" w:rsidRPr="00AC41E0" w:rsidRDefault="008D21B5" w:rsidP="00D978A4">
            <w:pPr>
              <w:pStyle w:val="DCSbodytext"/>
              <w:numPr>
                <w:ilvl w:val="0"/>
                <w:numId w:val="65"/>
              </w:numPr>
              <w:spacing w:after="120"/>
              <w:cnfStyle w:val="000000000000" w:firstRow="0" w:lastRow="0" w:firstColumn="0" w:lastColumn="0" w:oddVBand="0" w:evenVBand="0" w:oddHBand="0" w:evenHBand="0" w:firstRowFirstColumn="0" w:firstRowLastColumn="0" w:lastRowFirstColumn="0" w:lastRowLastColumn="0"/>
              <w:rPr>
                <w:rFonts w:eastAsia="Calibri"/>
              </w:rPr>
            </w:pPr>
            <w:r w:rsidRPr="00AC41E0">
              <w:rPr>
                <w:rFonts w:eastAsia="Calibri"/>
              </w:rPr>
              <w:t>Use of data that is not appropriate may lead to poor or detrimental decisions. To determine whether the data is appropriate, consider:</w:t>
            </w:r>
          </w:p>
          <w:p w14:paraId="45B8D920" w14:textId="54A68970" w:rsidR="008D21B5" w:rsidRPr="00AC41E0" w:rsidRDefault="008E21B3" w:rsidP="00D978A4">
            <w:pPr>
              <w:pStyle w:val="DCSbodytext"/>
              <w:numPr>
                <w:ilvl w:val="1"/>
                <w:numId w:val="65"/>
              </w:numPr>
              <w:spacing w:after="120"/>
              <w:ind w:left="596" w:hanging="284"/>
              <w:cnfStyle w:val="000000000000" w:firstRow="0" w:lastRow="0" w:firstColumn="0" w:lastColumn="0" w:oddVBand="0" w:evenVBand="0" w:oddHBand="0" w:evenHBand="0" w:firstRowFirstColumn="0" w:firstRowLastColumn="0" w:lastRowFirstColumn="0" w:lastRowLastColumn="0"/>
              <w:rPr>
                <w:rFonts w:eastAsia="Calibri" w:cs="Arial"/>
              </w:rPr>
            </w:pPr>
            <w:r w:rsidRPr="00AC41E0">
              <w:rPr>
                <w:rFonts w:eastAsia="Calibri" w:cs="Arial"/>
              </w:rPr>
              <w:t>w</w:t>
            </w:r>
            <w:r w:rsidR="008D21B5" w:rsidRPr="00AC41E0">
              <w:rPr>
                <w:rFonts w:eastAsia="Calibri" w:cs="Arial"/>
              </w:rPr>
              <w:t xml:space="preserve">hether the data will be used to provide a public benefit </w:t>
            </w:r>
          </w:p>
          <w:p w14:paraId="5F6E6C73" w14:textId="13F382E1" w:rsidR="008D21B5" w:rsidRPr="00AC41E0" w:rsidRDefault="008E21B3" w:rsidP="00D978A4">
            <w:pPr>
              <w:pStyle w:val="DCSbodytext"/>
              <w:numPr>
                <w:ilvl w:val="1"/>
                <w:numId w:val="65"/>
              </w:numPr>
              <w:ind w:left="596" w:hanging="284"/>
              <w:cnfStyle w:val="000000000000" w:firstRow="0" w:lastRow="0" w:firstColumn="0" w:lastColumn="0" w:oddVBand="0" w:evenVBand="0" w:oddHBand="0" w:evenHBand="0" w:firstRowFirstColumn="0" w:firstRowLastColumn="0" w:lastRowFirstColumn="0" w:lastRowLastColumn="0"/>
              <w:rPr>
                <w:rFonts w:eastAsia="Calibri" w:cs="Arial"/>
              </w:rPr>
            </w:pPr>
            <w:r w:rsidRPr="00AC41E0">
              <w:rPr>
                <w:rFonts w:eastAsia="Calibri" w:cs="Arial"/>
              </w:rPr>
              <w:t>w</w:t>
            </w:r>
            <w:r w:rsidR="008D21B5" w:rsidRPr="00AC41E0">
              <w:rPr>
                <w:rFonts w:eastAsia="Calibri" w:cs="Arial"/>
              </w:rPr>
              <w:t>hether the data requested is fit for purpose.</w:t>
            </w:r>
          </w:p>
          <w:p w14:paraId="2A437117" w14:textId="77777777" w:rsidR="008D21B5" w:rsidRPr="00AC41E0" w:rsidRDefault="008D21B5" w:rsidP="00D978A4">
            <w:pPr>
              <w:pStyle w:val="DCSbodytext"/>
              <w:numPr>
                <w:ilvl w:val="0"/>
                <w:numId w:val="65"/>
              </w:numPr>
              <w:spacing w:after="120"/>
              <w:cnfStyle w:val="000000000000" w:firstRow="0" w:lastRow="0" w:firstColumn="0" w:lastColumn="0" w:oddVBand="0" w:evenVBand="0" w:oddHBand="0" w:evenHBand="0" w:firstRowFirstColumn="0" w:firstRowLastColumn="0" w:lastRowFirstColumn="0" w:lastRowLastColumn="0"/>
              <w:rPr>
                <w:rFonts w:eastAsia="Calibri" w:cs="Arial"/>
              </w:rPr>
            </w:pPr>
            <w:r w:rsidRPr="00AC41E0">
              <w:rPr>
                <w:rFonts w:eastAsia="Calibri" w:cs="Arial"/>
              </w:rPr>
              <w:t>NSW Government agencies have a legal and ethical requirement that data may only be shared if the data satisfies a public interest purpose test. Before sharing your data, you must check with the data requestor to see if the data will be used to inform:</w:t>
            </w:r>
          </w:p>
          <w:p w14:paraId="785635C0" w14:textId="7FF0A882" w:rsidR="008D21B5" w:rsidRPr="00AC41E0" w:rsidRDefault="008E21B3" w:rsidP="00D978A4">
            <w:pPr>
              <w:pStyle w:val="DCSbodytext"/>
              <w:numPr>
                <w:ilvl w:val="0"/>
                <w:numId w:val="66"/>
              </w:numPr>
              <w:spacing w:after="120"/>
              <w:cnfStyle w:val="000000000000" w:firstRow="0" w:lastRow="0" w:firstColumn="0" w:lastColumn="0" w:oddVBand="0" w:evenVBand="0" w:oddHBand="0" w:evenHBand="0" w:firstRowFirstColumn="0" w:firstRowLastColumn="0" w:lastRowFirstColumn="0" w:lastRowLastColumn="0"/>
              <w:rPr>
                <w:rFonts w:eastAsia="Calibri" w:cs="Arial"/>
              </w:rPr>
            </w:pPr>
            <w:r w:rsidRPr="00AC41E0">
              <w:rPr>
                <w:rFonts w:eastAsia="Calibri" w:cs="Arial"/>
              </w:rPr>
              <w:t>g</w:t>
            </w:r>
            <w:r w:rsidR="008D21B5" w:rsidRPr="00AC41E0">
              <w:rPr>
                <w:rFonts w:eastAsia="Calibri" w:cs="Arial"/>
              </w:rPr>
              <w:t>overnment policy</w:t>
            </w:r>
          </w:p>
          <w:p w14:paraId="1E590202" w14:textId="4E7D7AF6" w:rsidR="008D21B5" w:rsidRPr="00AC41E0" w:rsidRDefault="008E21B3" w:rsidP="00D978A4">
            <w:pPr>
              <w:pStyle w:val="DCSbodytext"/>
              <w:numPr>
                <w:ilvl w:val="0"/>
                <w:numId w:val="66"/>
              </w:numPr>
              <w:spacing w:after="120"/>
              <w:cnfStyle w:val="000000000000" w:firstRow="0" w:lastRow="0" w:firstColumn="0" w:lastColumn="0" w:oddVBand="0" w:evenVBand="0" w:oddHBand="0" w:evenHBand="0" w:firstRowFirstColumn="0" w:firstRowLastColumn="0" w:lastRowFirstColumn="0" w:lastRowLastColumn="0"/>
              <w:rPr>
                <w:rFonts w:eastAsia="Calibri" w:cs="Arial"/>
              </w:rPr>
            </w:pPr>
            <w:r w:rsidRPr="00AC41E0">
              <w:rPr>
                <w:rFonts w:eastAsia="Calibri" w:cs="Arial"/>
              </w:rPr>
              <w:t>r</w:t>
            </w:r>
            <w:r w:rsidR="008D21B5" w:rsidRPr="00AC41E0">
              <w:rPr>
                <w:rFonts w:eastAsia="Calibri" w:cs="Arial"/>
              </w:rPr>
              <w:t>esearch and development with a public benefit</w:t>
            </w:r>
          </w:p>
          <w:p w14:paraId="57AED8EC" w14:textId="3EE31366" w:rsidR="008D21B5" w:rsidRPr="00AC41E0" w:rsidRDefault="008E21B3" w:rsidP="00D978A4">
            <w:pPr>
              <w:pStyle w:val="DCSbodytext"/>
              <w:numPr>
                <w:ilvl w:val="0"/>
                <w:numId w:val="66"/>
              </w:numPr>
              <w:spacing w:after="120"/>
              <w:cnfStyle w:val="000000000000" w:firstRow="0" w:lastRow="0" w:firstColumn="0" w:lastColumn="0" w:oddVBand="0" w:evenVBand="0" w:oddHBand="0" w:evenHBand="0" w:firstRowFirstColumn="0" w:firstRowLastColumn="0" w:lastRowFirstColumn="0" w:lastRowLastColumn="0"/>
              <w:rPr>
                <w:rFonts w:eastAsia="Calibri" w:cs="Arial"/>
              </w:rPr>
            </w:pPr>
            <w:r w:rsidRPr="00AC41E0">
              <w:rPr>
                <w:rFonts w:eastAsia="Calibri" w:cs="Arial"/>
              </w:rPr>
              <w:t>p</w:t>
            </w:r>
            <w:r w:rsidR="008D21B5" w:rsidRPr="00AC41E0">
              <w:rPr>
                <w:rFonts w:eastAsia="Calibri" w:cs="Arial"/>
              </w:rPr>
              <w:t>rogram design, implementation, and evaluation</w:t>
            </w:r>
          </w:p>
          <w:p w14:paraId="69C4B989" w14:textId="286BF657" w:rsidR="008D21B5" w:rsidRPr="00AC41E0" w:rsidRDefault="008E21B3" w:rsidP="00D978A4">
            <w:pPr>
              <w:pStyle w:val="DCSbodytext"/>
              <w:numPr>
                <w:ilvl w:val="0"/>
                <w:numId w:val="66"/>
              </w:numPr>
              <w:ind w:left="714" w:hanging="357"/>
              <w:cnfStyle w:val="000000000000" w:firstRow="0" w:lastRow="0" w:firstColumn="0" w:lastColumn="0" w:oddVBand="0" w:evenVBand="0" w:oddHBand="0" w:evenHBand="0" w:firstRowFirstColumn="0" w:firstRowLastColumn="0" w:lastRowFirstColumn="0" w:lastRowLastColumn="0"/>
              <w:rPr>
                <w:rFonts w:eastAsia="Calibri" w:cs="Arial"/>
              </w:rPr>
            </w:pPr>
            <w:r w:rsidRPr="00AC41E0">
              <w:rPr>
                <w:rFonts w:eastAsia="Calibri" w:cs="Arial"/>
              </w:rPr>
              <w:t>d</w:t>
            </w:r>
            <w:r w:rsidR="008D21B5" w:rsidRPr="00AC41E0">
              <w:rPr>
                <w:rFonts w:eastAsia="Calibri" w:cs="Arial"/>
              </w:rPr>
              <w:t>elivery of government services.</w:t>
            </w:r>
          </w:p>
          <w:p w14:paraId="3B0EBAE0" w14:textId="2208BB0B" w:rsidR="008D21B5" w:rsidRPr="00AC41E0" w:rsidRDefault="008D21B5" w:rsidP="00D978A4">
            <w:pPr>
              <w:pStyle w:val="DCSbodytext"/>
              <w:numPr>
                <w:ilvl w:val="0"/>
                <w:numId w:val="67"/>
              </w:numPr>
              <w:ind w:left="357" w:hanging="357"/>
              <w:cnfStyle w:val="000000000000" w:firstRow="0" w:lastRow="0" w:firstColumn="0" w:lastColumn="0" w:oddVBand="0" w:evenVBand="0" w:oddHBand="0" w:evenHBand="0" w:firstRowFirstColumn="0" w:firstRowLastColumn="0" w:lastRowFirstColumn="0" w:lastRowLastColumn="0"/>
              <w:rPr>
                <w:rFonts w:eastAsia="Calibri" w:cs="Arial"/>
              </w:rPr>
            </w:pPr>
            <w:r w:rsidRPr="00AC41E0">
              <w:rPr>
                <w:rFonts w:eastAsia="Calibri" w:cs="Arial"/>
              </w:rPr>
              <w:t>Where appropriate, consult with relevant stakeholders on how to provide the data and ensure it is used appropriately. This means being transparent and creating opportunities for stakeholders and citizens to provide input on proposed data</w:t>
            </w:r>
            <w:r w:rsidR="00852672" w:rsidRPr="00AC41E0">
              <w:rPr>
                <w:rFonts w:eastAsia="Calibri" w:cs="Arial"/>
              </w:rPr>
              <w:t>-</w:t>
            </w:r>
            <w:r w:rsidRPr="00AC41E0">
              <w:rPr>
                <w:rFonts w:eastAsia="Calibri" w:cs="Arial"/>
              </w:rPr>
              <w:t>sharing agreements.</w:t>
            </w:r>
          </w:p>
          <w:p w14:paraId="3F23F1C0" w14:textId="77777777" w:rsidR="008D21B5" w:rsidRPr="00AC41E0" w:rsidRDefault="008D21B5" w:rsidP="00D978A4">
            <w:pPr>
              <w:pStyle w:val="DCSbodytext"/>
              <w:numPr>
                <w:ilvl w:val="0"/>
                <w:numId w:val="67"/>
              </w:numPr>
              <w:spacing w:after="120"/>
              <w:cnfStyle w:val="000000000000" w:firstRow="0" w:lastRow="0" w:firstColumn="0" w:lastColumn="0" w:oddVBand="0" w:evenVBand="0" w:oddHBand="0" w:evenHBand="0" w:firstRowFirstColumn="0" w:firstRowLastColumn="0" w:lastRowFirstColumn="0" w:lastRowLastColumn="0"/>
              <w:rPr>
                <w:rFonts w:eastAsia="Calibri" w:cs="Arial"/>
              </w:rPr>
            </w:pPr>
            <w:r w:rsidRPr="00AC41E0">
              <w:rPr>
                <w:rFonts w:eastAsia="Calibri" w:cs="Arial"/>
              </w:rPr>
              <w:lastRenderedPageBreak/>
              <w:t>You need to determine if the data requested is fit for purpose:</w:t>
            </w:r>
          </w:p>
          <w:p w14:paraId="60FE2C70" w14:textId="7B84A2C2" w:rsidR="008D21B5" w:rsidRPr="00AC41E0" w:rsidRDefault="008D21B5" w:rsidP="00D978A4">
            <w:pPr>
              <w:pStyle w:val="DCSbodytext"/>
              <w:numPr>
                <w:ilvl w:val="0"/>
                <w:numId w:val="68"/>
              </w:numPr>
              <w:spacing w:after="120"/>
              <w:cnfStyle w:val="000000000000" w:firstRow="0" w:lastRow="0" w:firstColumn="0" w:lastColumn="0" w:oddVBand="0" w:evenVBand="0" w:oddHBand="0" w:evenHBand="0" w:firstRowFirstColumn="0" w:firstRowLastColumn="0" w:lastRowFirstColumn="0" w:lastRowLastColumn="0"/>
              <w:rPr>
                <w:rFonts w:eastAsia="Calibri" w:cs="Arial"/>
              </w:rPr>
            </w:pPr>
            <w:r w:rsidRPr="00AC41E0">
              <w:rPr>
                <w:rFonts w:eastAsia="Calibri" w:cs="Arial"/>
              </w:rPr>
              <w:t xml:space="preserve">As </w:t>
            </w:r>
            <w:r w:rsidR="00852672" w:rsidRPr="00AC41E0">
              <w:rPr>
                <w:rFonts w:eastAsia="Calibri" w:cs="Arial"/>
              </w:rPr>
              <w:t xml:space="preserve">a </w:t>
            </w:r>
            <w:r w:rsidRPr="00AC41E0">
              <w:rPr>
                <w:rFonts w:eastAsia="Calibri" w:cs="Arial"/>
              </w:rPr>
              <w:t xml:space="preserve">data owner, you have the best understanding of what can and cannot be achieved with the data you hold. Speak to the data requestor about their purpose of the data use and if the data can support it. It is also best practice to attach a </w:t>
            </w:r>
            <w:hyperlink r:id="rId277">
              <w:r w:rsidRPr="00AC41E0">
                <w:rPr>
                  <w:rStyle w:val="Hyperlink"/>
                  <w:rFonts w:eastAsia="Calibri" w:cs="Arial"/>
                </w:rPr>
                <w:t>Data Quality Statement</w:t>
              </w:r>
            </w:hyperlink>
            <w:r w:rsidRPr="00E46FB0">
              <w:rPr>
                <w:rFonts w:eastAsia="Calibri" w:cs="Arial"/>
              </w:rPr>
              <w:t xml:space="preserve"> to the </w:t>
            </w:r>
            <w:r w:rsidR="000705E6" w:rsidRPr="00AC41E0">
              <w:rPr>
                <w:rFonts w:eastAsia="Calibri" w:cs="Arial"/>
              </w:rPr>
              <w:t>data-</w:t>
            </w:r>
            <w:r w:rsidRPr="00AC41E0">
              <w:rPr>
                <w:rFonts w:eastAsia="Calibri" w:cs="Arial"/>
              </w:rPr>
              <w:t xml:space="preserve">sharing agreement. </w:t>
            </w:r>
          </w:p>
          <w:p w14:paraId="11FBAECA" w14:textId="30D74F8F" w:rsidR="008D21B5" w:rsidRPr="00AC41E0" w:rsidRDefault="008D21B5" w:rsidP="00D978A4">
            <w:pPr>
              <w:pStyle w:val="DCSbodytext"/>
              <w:numPr>
                <w:ilvl w:val="0"/>
                <w:numId w:val="68"/>
              </w:numPr>
              <w:spacing w:after="120"/>
              <w:cnfStyle w:val="000000000000" w:firstRow="0" w:lastRow="0" w:firstColumn="0" w:lastColumn="0" w:oddVBand="0" w:evenVBand="0" w:oddHBand="0" w:evenHBand="0" w:firstRowFirstColumn="0" w:firstRowLastColumn="0" w:lastRowFirstColumn="0" w:lastRowLastColumn="0"/>
              <w:rPr>
                <w:rFonts w:eastAsia="Calibri Light"/>
              </w:rPr>
            </w:pPr>
            <w:r w:rsidRPr="00AC41E0">
              <w:rPr>
                <w:rFonts w:eastAsia="Calibri" w:cs="Arial"/>
              </w:rPr>
              <w:t xml:space="preserve">If machine learning was used, document the confidence level in the processed data and share this with the </w:t>
            </w:r>
            <w:r w:rsidR="000705E6" w:rsidRPr="00AC41E0">
              <w:rPr>
                <w:rFonts w:eastAsia="Calibri" w:cs="Arial"/>
              </w:rPr>
              <w:t>end-</w:t>
            </w:r>
            <w:r w:rsidRPr="00AC41E0">
              <w:rPr>
                <w:rFonts w:eastAsia="Calibri" w:cs="Arial"/>
              </w:rPr>
              <w:t xml:space="preserve">user. </w:t>
            </w:r>
          </w:p>
        </w:tc>
      </w:tr>
      <w:tr w:rsidR="008D21B5" w:rsidRPr="00AC41E0" w14:paraId="3EF2AAF4" w14:textId="77777777" w:rsidTr="001C6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BD67225" w14:textId="4F13FBC4" w:rsidR="008D21B5" w:rsidRPr="00AC41E0" w:rsidRDefault="000705E6" w:rsidP="00D978A4">
            <w:pPr>
              <w:pStyle w:val="DCSbodytext"/>
              <w:numPr>
                <w:ilvl w:val="0"/>
                <w:numId w:val="62"/>
              </w:numPr>
              <w:spacing w:after="120"/>
              <w:rPr>
                <w:rFonts w:eastAsia="Calibri Light"/>
              </w:rPr>
            </w:pPr>
            <w:r w:rsidRPr="00AC41E0">
              <w:rPr>
                <w:rFonts w:eastAsia="Calibri Light"/>
              </w:rPr>
              <w:lastRenderedPageBreak/>
              <w:t xml:space="preserve">Is </w:t>
            </w:r>
            <w:r w:rsidR="008D21B5" w:rsidRPr="00AC41E0">
              <w:rPr>
                <w:rFonts w:eastAsia="Calibri Light"/>
              </w:rPr>
              <w:t>there any privacy and/or security risks that need to be managed?</w:t>
            </w:r>
          </w:p>
        </w:tc>
        <w:tc>
          <w:tcPr>
            <w:tcW w:w="12332" w:type="dxa"/>
          </w:tcPr>
          <w:p w14:paraId="0CE5C864" w14:textId="4CAE5E60" w:rsidR="008D21B5" w:rsidRPr="00AC41E0" w:rsidRDefault="008D21B5" w:rsidP="00D978A4">
            <w:pPr>
              <w:pStyle w:val="DCSbodytext"/>
              <w:numPr>
                <w:ilvl w:val="0"/>
                <w:numId w:val="69"/>
              </w:numPr>
              <w:ind w:left="357" w:hanging="357"/>
              <w:cnfStyle w:val="000000100000" w:firstRow="0" w:lastRow="0" w:firstColumn="0" w:lastColumn="0" w:oddVBand="0" w:evenVBand="0" w:oddHBand="1" w:evenHBand="0" w:firstRowFirstColumn="0" w:firstRowLastColumn="0" w:lastRowFirstColumn="0" w:lastRowLastColumn="0"/>
              <w:rPr>
                <w:rFonts w:eastAsia="Calibri"/>
              </w:rPr>
            </w:pPr>
            <w:r w:rsidRPr="00AC41E0">
              <w:rPr>
                <w:rFonts w:eastAsia="Calibri"/>
              </w:rPr>
              <w:t xml:space="preserve">Data </w:t>
            </w:r>
            <w:r w:rsidR="000705E6" w:rsidRPr="00AC41E0">
              <w:rPr>
                <w:rFonts w:eastAsia="Calibri"/>
              </w:rPr>
              <w:t xml:space="preserve">that </w:t>
            </w:r>
            <w:r w:rsidRPr="00AC41E0">
              <w:rPr>
                <w:rFonts w:eastAsia="Calibri"/>
              </w:rPr>
              <w:t xml:space="preserve">does not contain sensitivities may not require extensive consideration of privacy and security risks. However, if the data contains personal information or other forms of sensitive information, the data should only be shared once privacy and security risks have been identified and managed. See </w:t>
            </w:r>
            <w:hyperlink w:anchor="_Privacy_1" w:history="1">
              <w:r w:rsidR="00E467FF" w:rsidRPr="00AC41E0">
                <w:rPr>
                  <w:rStyle w:val="Hyperlink"/>
                </w:rPr>
                <w:t>chapter 3.5 Privacy</w:t>
              </w:r>
            </w:hyperlink>
            <w:r w:rsidRPr="00E46FB0">
              <w:rPr>
                <w:rFonts w:eastAsia="Calibri"/>
              </w:rPr>
              <w:t xml:space="preserve"> for advice.</w:t>
            </w:r>
          </w:p>
          <w:p w14:paraId="66455AB9" w14:textId="77777777" w:rsidR="008D21B5" w:rsidRPr="00AC41E0" w:rsidRDefault="008D21B5" w:rsidP="00D978A4">
            <w:pPr>
              <w:pStyle w:val="DCSbodytext"/>
              <w:numPr>
                <w:ilvl w:val="0"/>
                <w:numId w:val="69"/>
              </w:numPr>
              <w:spacing w:after="120"/>
              <w:cnfStyle w:val="000000100000" w:firstRow="0" w:lastRow="0" w:firstColumn="0" w:lastColumn="0" w:oddVBand="0" w:evenVBand="0" w:oddHBand="1" w:evenHBand="0" w:firstRowFirstColumn="0" w:firstRowLastColumn="0" w:lastRowFirstColumn="0" w:lastRowLastColumn="0"/>
            </w:pPr>
            <w:r w:rsidRPr="00AC41E0">
              <w:t>Managing privacy and security risks can be managed with a range of risk-management controls, including:</w:t>
            </w:r>
          </w:p>
          <w:p w14:paraId="0DB66678" w14:textId="2C0985F9" w:rsidR="008D21B5" w:rsidRPr="00AC41E0" w:rsidRDefault="008D21B5" w:rsidP="00D978A4">
            <w:pPr>
              <w:pStyle w:val="DCSbodytext"/>
              <w:numPr>
                <w:ilvl w:val="0"/>
                <w:numId w:val="70"/>
              </w:numPr>
              <w:spacing w:after="120"/>
              <w:cnfStyle w:val="000000100000" w:firstRow="0" w:lastRow="0" w:firstColumn="0" w:lastColumn="0" w:oddVBand="0" w:evenVBand="0" w:oddHBand="1" w:evenHBand="0" w:firstRowFirstColumn="0" w:firstRowLastColumn="0" w:lastRowFirstColumn="0" w:lastRowLastColumn="0"/>
            </w:pPr>
            <w:r w:rsidRPr="00AC41E0">
              <w:t xml:space="preserve">Using the ‘Five Safes’ </w:t>
            </w:r>
            <w:r w:rsidR="00321EA8" w:rsidRPr="00AC41E0">
              <w:t>(</w:t>
            </w:r>
            <w:r w:rsidRPr="00AC41E0">
              <w:t>an internationally recognised risk management model</w:t>
            </w:r>
            <w:r w:rsidR="00321EA8" w:rsidRPr="00AC41E0">
              <w:t>)</w:t>
            </w:r>
            <w:r w:rsidRPr="00AC41E0">
              <w:t xml:space="preserve">. Control access to the data across the ‘five safe’ dimensions to ensure sensitive data is protected and only used by trusted staff for approved purposes. See </w:t>
            </w:r>
            <w:hyperlink w:anchor="_Appendix_E_–" w:history="1">
              <w:r w:rsidR="00611CDF" w:rsidRPr="00AC41E0">
                <w:rPr>
                  <w:rStyle w:val="Hyperlink"/>
                </w:rPr>
                <w:t>Appendix E</w:t>
              </w:r>
            </w:hyperlink>
            <w:r w:rsidR="00611CDF" w:rsidRPr="00E46FB0">
              <w:rPr>
                <w:rFonts w:eastAsia="Times New Roman" w:cs="Times New Roman"/>
              </w:rPr>
              <w:t xml:space="preserve"> for a description of the Five Safes.</w:t>
            </w:r>
          </w:p>
          <w:p w14:paraId="2985B55B" w14:textId="6A39E9B7" w:rsidR="008D21B5" w:rsidRPr="00AC41E0" w:rsidRDefault="008D21B5" w:rsidP="00D978A4">
            <w:pPr>
              <w:pStyle w:val="DCSbodytext"/>
              <w:numPr>
                <w:ilvl w:val="0"/>
                <w:numId w:val="70"/>
              </w:numPr>
              <w:spacing w:after="120"/>
              <w:cnfStyle w:val="000000100000" w:firstRow="0" w:lastRow="0" w:firstColumn="0" w:lastColumn="0" w:oddVBand="0" w:evenVBand="0" w:oddHBand="1" w:evenHBand="0" w:firstRowFirstColumn="0" w:firstRowLastColumn="0" w:lastRowFirstColumn="0" w:lastRowLastColumn="0"/>
            </w:pPr>
            <w:r w:rsidRPr="00AC41E0">
              <w:t>Applying disclosure control techniques to the data (e.g. removing direct identifiers or su</w:t>
            </w:r>
            <w:r w:rsidR="000705E6" w:rsidRPr="00AC41E0">
              <w:t>p</w:t>
            </w:r>
            <w:r w:rsidRPr="00AC41E0">
              <w:t>pressing individual records)</w:t>
            </w:r>
          </w:p>
          <w:p w14:paraId="098B1A89" w14:textId="15E79591" w:rsidR="008D21B5" w:rsidRPr="00AC41E0" w:rsidRDefault="008D21B5" w:rsidP="00D978A4">
            <w:pPr>
              <w:pStyle w:val="DCSbodytext"/>
              <w:numPr>
                <w:ilvl w:val="0"/>
                <w:numId w:val="70"/>
              </w:numPr>
              <w:ind w:left="714" w:hanging="357"/>
              <w:cnfStyle w:val="000000100000" w:firstRow="0" w:lastRow="0" w:firstColumn="0" w:lastColumn="0" w:oddVBand="0" w:evenVBand="0" w:oddHBand="1" w:evenHBand="0" w:firstRowFirstColumn="0" w:firstRowLastColumn="0" w:lastRowFirstColumn="0" w:lastRowLastColumn="0"/>
            </w:pPr>
            <w:r w:rsidRPr="00AC41E0">
              <w:t>Providing aggregated insights instead of sharing raw data</w:t>
            </w:r>
            <w:r w:rsidR="00C30A1F" w:rsidRPr="00AC41E0">
              <w:t>.</w:t>
            </w:r>
          </w:p>
          <w:p w14:paraId="3885AF45" w14:textId="134E009E" w:rsidR="008D21B5" w:rsidRPr="00AC41E0" w:rsidRDefault="002A6EAC" w:rsidP="00D978A4">
            <w:pPr>
              <w:pStyle w:val="DCSbodytext"/>
              <w:numPr>
                <w:ilvl w:val="0"/>
                <w:numId w:val="71"/>
              </w:numPr>
              <w:spacing w:after="120"/>
              <w:cnfStyle w:val="000000100000" w:firstRow="0" w:lastRow="0" w:firstColumn="0" w:lastColumn="0" w:oddVBand="0" w:evenVBand="0" w:oddHBand="1" w:evenHBand="0" w:firstRowFirstColumn="0" w:firstRowLastColumn="0" w:lastRowFirstColumn="0" w:lastRowLastColumn="0"/>
            </w:pPr>
            <w:r w:rsidRPr="00AC41E0">
              <w:t>It is best practice to apply a mix of risk-management controls w</w:t>
            </w:r>
            <w:r w:rsidR="008D21B5" w:rsidRPr="00AC41E0">
              <w:t xml:space="preserve">hen sharing sensitive data. For example, IoT data can be encrypted and then stored on a cloud server which only the data requestor can access. A </w:t>
            </w:r>
            <w:r w:rsidR="000705E6" w:rsidRPr="00AC41E0">
              <w:t>data-</w:t>
            </w:r>
            <w:r w:rsidR="008D21B5" w:rsidRPr="00AC41E0">
              <w:t>sharing agreement can also be developed to formalise the terms of access. Applying a combination of controls helps to ensure that:</w:t>
            </w:r>
          </w:p>
          <w:p w14:paraId="7BA1B810" w14:textId="43076D36" w:rsidR="008D21B5" w:rsidRPr="00AC41E0" w:rsidRDefault="000F14DA" w:rsidP="00D978A4">
            <w:pPr>
              <w:pStyle w:val="DCSbodytext"/>
              <w:numPr>
                <w:ilvl w:val="0"/>
                <w:numId w:val="72"/>
              </w:numPr>
              <w:spacing w:after="120"/>
              <w:cnfStyle w:val="000000100000" w:firstRow="0" w:lastRow="0" w:firstColumn="0" w:lastColumn="0" w:oddVBand="0" w:evenVBand="0" w:oddHBand="1" w:evenHBand="0" w:firstRowFirstColumn="0" w:firstRowLastColumn="0" w:lastRowFirstColumn="0" w:lastRowLastColumn="0"/>
            </w:pPr>
            <w:r w:rsidRPr="00AC41E0">
              <w:t>t</w:t>
            </w:r>
            <w:r w:rsidR="008D21B5" w:rsidRPr="00AC41E0">
              <w:t>he</w:t>
            </w:r>
            <w:r w:rsidRPr="00AC41E0">
              <w:t xml:space="preserve"> data</w:t>
            </w:r>
            <w:r w:rsidR="008D21B5" w:rsidRPr="00AC41E0">
              <w:t xml:space="preserve"> recipient is authorised and equipped to use and interpret the data</w:t>
            </w:r>
          </w:p>
          <w:p w14:paraId="061F4164" w14:textId="7DA7F258" w:rsidR="008D21B5" w:rsidRPr="00AC41E0" w:rsidRDefault="000F14DA" w:rsidP="00D978A4">
            <w:pPr>
              <w:pStyle w:val="DCSbodytext"/>
              <w:numPr>
                <w:ilvl w:val="0"/>
                <w:numId w:val="72"/>
              </w:numPr>
              <w:spacing w:after="120"/>
              <w:cnfStyle w:val="000000100000" w:firstRow="0" w:lastRow="0" w:firstColumn="0" w:lastColumn="0" w:oddVBand="0" w:evenVBand="0" w:oddHBand="1" w:evenHBand="0" w:firstRowFirstColumn="0" w:firstRowLastColumn="0" w:lastRowFirstColumn="0" w:lastRowLastColumn="0"/>
            </w:pPr>
            <w:r w:rsidRPr="00AC41E0">
              <w:t>t</w:t>
            </w:r>
            <w:r w:rsidR="008D21B5" w:rsidRPr="00AC41E0">
              <w:t xml:space="preserve">he </w:t>
            </w:r>
            <w:r w:rsidRPr="00AC41E0">
              <w:t xml:space="preserve">data </w:t>
            </w:r>
            <w:r w:rsidR="008D21B5" w:rsidRPr="00AC41E0">
              <w:t>recipient uses the data in an appropriate manner</w:t>
            </w:r>
          </w:p>
          <w:p w14:paraId="781C4B4D" w14:textId="327A71A9" w:rsidR="008D21B5" w:rsidRPr="00AC41E0" w:rsidRDefault="000F14DA" w:rsidP="00D978A4">
            <w:pPr>
              <w:pStyle w:val="DCSbodytext"/>
              <w:numPr>
                <w:ilvl w:val="0"/>
                <w:numId w:val="72"/>
              </w:numPr>
              <w:ind w:left="714" w:hanging="357"/>
              <w:cnfStyle w:val="000000100000" w:firstRow="0" w:lastRow="0" w:firstColumn="0" w:lastColumn="0" w:oddVBand="0" w:evenVBand="0" w:oddHBand="1" w:evenHBand="0" w:firstRowFirstColumn="0" w:firstRowLastColumn="0" w:lastRowFirstColumn="0" w:lastRowLastColumn="0"/>
            </w:pPr>
            <w:r w:rsidRPr="00AC41E0">
              <w:t>n</w:t>
            </w:r>
            <w:r w:rsidR="008D21B5" w:rsidRPr="00AC41E0">
              <w:t>either the environment the data will be stored in, nor the data output will pose risks.</w:t>
            </w:r>
          </w:p>
          <w:p w14:paraId="7081CF17" w14:textId="44061C5B" w:rsidR="008D21B5" w:rsidRPr="00AC41E0" w:rsidRDefault="008D21B5" w:rsidP="00D978A4">
            <w:pPr>
              <w:pStyle w:val="DCSbodytext"/>
              <w:numPr>
                <w:ilvl w:val="0"/>
                <w:numId w:val="82"/>
              </w:numPr>
              <w:spacing w:after="120"/>
              <w:cnfStyle w:val="000000100000" w:firstRow="0" w:lastRow="0" w:firstColumn="0" w:lastColumn="0" w:oddVBand="0" w:evenVBand="0" w:oddHBand="1" w:evenHBand="0" w:firstRowFirstColumn="0" w:firstRowLastColumn="0" w:lastRowFirstColumn="0" w:lastRowLastColumn="0"/>
              <w:rPr>
                <w:rFonts w:eastAsia="Calibri Light"/>
              </w:rPr>
            </w:pPr>
            <w:r w:rsidRPr="00AC41E0">
              <w:rPr>
                <w:rFonts w:eastAsia="Calibri Light"/>
              </w:rPr>
              <w:t>Safeguarding techniques should only be applied to data i</w:t>
            </w:r>
            <w:r w:rsidR="000F14DA" w:rsidRPr="00AC41E0">
              <w:rPr>
                <w:rFonts w:eastAsia="Calibri Light"/>
              </w:rPr>
              <w:t>f</w:t>
            </w:r>
            <w:r w:rsidRPr="00AC41E0">
              <w:rPr>
                <w:rFonts w:eastAsia="Calibri Light"/>
              </w:rPr>
              <w:t xml:space="preserve"> there is </w:t>
            </w:r>
            <w:r w:rsidR="000705E6" w:rsidRPr="00AC41E0">
              <w:rPr>
                <w:rFonts w:eastAsia="Calibri Light"/>
              </w:rPr>
              <w:t xml:space="preserve">a </w:t>
            </w:r>
            <w:r w:rsidRPr="00AC41E0">
              <w:rPr>
                <w:rFonts w:eastAsia="Calibri Light"/>
              </w:rPr>
              <w:t>good reason to do so. Too much tinkering with the data may result in safe but poor quality and ultimately useless information. For example, the provider of a predictive maintenance solution may want the serial number of devices, real</w:t>
            </w:r>
            <w:r w:rsidR="00070D63" w:rsidRPr="00AC41E0">
              <w:rPr>
                <w:rFonts w:eastAsia="Calibri Light"/>
              </w:rPr>
              <w:t>-</w:t>
            </w:r>
            <w:r w:rsidRPr="00AC41E0">
              <w:rPr>
                <w:rFonts w:eastAsia="Calibri Light"/>
              </w:rPr>
              <w:t>time error codes</w:t>
            </w:r>
            <w:r w:rsidR="000705E6" w:rsidRPr="00AC41E0">
              <w:rPr>
                <w:rFonts w:eastAsia="Calibri Light"/>
              </w:rPr>
              <w:t>,</w:t>
            </w:r>
            <w:r w:rsidRPr="00AC41E0">
              <w:rPr>
                <w:rFonts w:eastAsia="Calibri Light"/>
              </w:rPr>
              <w:t xml:space="preserve"> and maintenance schedule for the </w:t>
            </w:r>
            <w:r w:rsidRPr="00AC41E0">
              <w:rPr>
                <w:rFonts w:eastAsia="Calibri Light"/>
              </w:rPr>
              <w:lastRenderedPageBreak/>
              <w:t>plant. Any form of aggregation compromises the ability of the solution to function properly, Hence, de-identification and aggregation in this case are not fit for purpose.</w:t>
            </w:r>
          </w:p>
        </w:tc>
      </w:tr>
      <w:tr w:rsidR="008D21B5" w:rsidRPr="00AC41E0" w14:paraId="790B3174" w14:textId="77777777" w:rsidTr="001C6786">
        <w:tc>
          <w:tcPr>
            <w:cnfStyle w:val="001000000000" w:firstRow="0" w:lastRow="0" w:firstColumn="1" w:lastColumn="0" w:oddVBand="0" w:evenVBand="0" w:oddHBand="0" w:evenHBand="0" w:firstRowFirstColumn="0" w:firstRowLastColumn="0" w:lastRowFirstColumn="0" w:lastRowLastColumn="0"/>
            <w:tcW w:w="1843" w:type="dxa"/>
          </w:tcPr>
          <w:p w14:paraId="7E952762" w14:textId="1E672615" w:rsidR="008D21B5" w:rsidRPr="00AC41E0" w:rsidRDefault="008D21B5" w:rsidP="00D978A4">
            <w:pPr>
              <w:pStyle w:val="DCSbodytext"/>
              <w:numPr>
                <w:ilvl w:val="0"/>
                <w:numId w:val="62"/>
              </w:numPr>
              <w:spacing w:after="120"/>
              <w:rPr>
                <w:rFonts w:eastAsia="Calibri Light"/>
              </w:rPr>
            </w:pPr>
            <w:r w:rsidRPr="00AC41E0">
              <w:rPr>
                <w:rFonts w:eastAsia="Calibri Light"/>
              </w:rPr>
              <w:lastRenderedPageBreak/>
              <w:t xml:space="preserve">Formalise the arrangement through a </w:t>
            </w:r>
            <w:r w:rsidR="000705E6" w:rsidRPr="00AC41E0">
              <w:rPr>
                <w:rFonts w:eastAsia="Calibri Light"/>
              </w:rPr>
              <w:t>data-</w:t>
            </w:r>
            <w:r w:rsidRPr="00AC41E0">
              <w:rPr>
                <w:rFonts w:eastAsia="Calibri Light"/>
              </w:rPr>
              <w:t>sharing agreement</w:t>
            </w:r>
          </w:p>
        </w:tc>
        <w:tc>
          <w:tcPr>
            <w:tcW w:w="12332" w:type="dxa"/>
          </w:tcPr>
          <w:p w14:paraId="3B14C526" w14:textId="762CA441" w:rsidR="008D21B5" w:rsidRPr="00AC41E0" w:rsidRDefault="008D21B5" w:rsidP="00D978A4">
            <w:pPr>
              <w:pStyle w:val="DCSbodytext"/>
              <w:numPr>
                <w:ilvl w:val="0"/>
                <w:numId w:val="83"/>
              </w:numPr>
              <w:spacing w:after="120"/>
              <w:cnfStyle w:val="000000000000" w:firstRow="0" w:lastRow="0" w:firstColumn="0" w:lastColumn="0" w:oddVBand="0" w:evenVBand="0" w:oddHBand="0" w:evenHBand="0" w:firstRowFirstColumn="0" w:firstRowLastColumn="0" w:lastRowFirstColumn="0" w:lastRowLastColumn="0"/>
              <w:rPr>
                <w:rFonts w:eastAsia="Calibri"/>
              </w:rPr>
            </w:pPr>
            <w:r w:rsidRPr="00AC41E0">
              <w:rPr>
                <w:rFonts w:eastAsia="Calibri"/>
              </w:rPr>
              <w:t xml:space="preserve">A Data Sharing Agreement (DSA) is a document between the data owner and the data recipient/s that sets out the terms and conditions of the </w:t>
            </w:r>
            <w:r w:rsidR="000705E6" w:rsidRPr="00AC41E0">
              <w:rPr>
                <w:rFonts w:eastAsia="Calibri"/>
              </w:rPr>
              <w:t>data-</w:t>
            </w:r>
            <w:r w:rsidRPr="00AC41E0">
              <w:rPr>
                <w:rFonts w:eastAsia="Calibri"/>
              </w:rPr>
              <w:t xml:space="preserve">sharing arrangements. </w:t>
            </w:r>
          </w:p>
          <w:p w14:paraId="26DC2809" w14:textId="77777777" w:rsidR="008D21B5" w:rsidRPr="00AC41E0" w:rsidRDefault="008D21B5" w:rsidP="00D978A4">
            <w:pPr>
              <w:pStyle w:val="DCSbodytext"/>
              <w:numPr>
                <w:ilvl w:val="0"/>
                <w:numId w:val="84"/>
              </w:numPr>
              <w:spacing w:after="120"/>
              <w:cnfStyle w:val="000000000000" w:firstRow="0" w:lastRow="0" w:firstColumn="0" w:lastColumn="0" w:oddVBand="0" w:evenVBand="0" w:oddHBand="0" w:evenHBand="0" w:firstRowFirstColumn="0" w:firstRowLastColumn="0" w:lastRowFirstColumn="0" w:lastRowLastColumn="0"/>
              <w:rPr>
                <w:rFonts w:eastAsia="Calibri"/>
              </w:rPr>
            </w:pPr>
            <w:r w:rsidRPr="00AC41E0">
              <w:rPr>
                <w:rFonts w:eastAsia="Calibri"/>
              </w:rPr>
              <w:t xml:space="preserve">There are many forms of data sharing agreements, some are legally enforceable, and some are not (e.g. a Memorandum of Understanding (MoU)). </w:t>
            </w:r>
          </w:p>
          <w:p w14:paraId="66F8A3F4" w14:textId="26AFF86E" w:rsidR="008D21B5" w:rsidRPr="00AC41E0" w:rsidRDefault="008D21B5" w:rsidP="00D978A4">
            <w:pPr>
              <w:pStyle w:val="DCSbodytext"/>
              <w:numPr>
                <w:ilvl w:val="0"/>
                <w:numId w:val="84"/>
              </w:numPr>
              <w:spacing w:after="120"/>
              <w:cnfStyle w:val="000000000000" w:firstRow="0" w:lastRow="0" w:firstColumn="0" w:lastColumn="0" w:oddVBand="0" w:evenVBand="0" w:oddHBand="0" w:evenHBand="0" w:firstRowFirstColumn="0" w:firstRowLastColumn="0" w:lastRowFirstColumn="0" w:lastRowLastColumn="0"/>
              <w:rPr>
                <w:rFonts w:eastAsia="Calibri"/>
              </w:rPr>
            </w:pPr>
            <w:r w:rsidRPr="00AC41E0">
              <w:rPr>
                <w:rFonts w:eastAsia="Calibri"/>
              </w:rPr>
              <w:t xml:space="preserve">The NSW Government has an </w:t>
            </w:r>
            <w:hyperlink r:id="rId278" w:history="1">
              <w:r w:rsidRPr="00AC41E0">
                <w:rPr>
                  <w:rStyle w:val="Hyperlink"/>
                  <w:rFonts w:eastAsia="Calibri" w:cs="Arial"/>
                </w:rPr>
                <w:t>MoU template</w:t>
              </w:r>
            </w:hyperlink>
            <w:r w:rsidRPr="00E46FB0">
              <w:rPr>
                <w:rFonts w:eastAsia="Calibri" w:cs="Times New Roman"/>
              </w:rPr>
              <w:t>. It is best practice to make data sharing agreements publicly available to maximise transparency.</w:t>
            </w:r>
          </w:p>
          <w:p w14:paraId="6BB6BACE" w14:textId="77777777" w:rsidR="008D21B5" w:rsidRPr="00AC41E0" w:rsidRDefault="008D21B5" w:rsidP="00D978A4">
            <w:pPr>
              <w:pStyle w:val="DCSbodytext"/>
              <w:numPr>
                <w:ilvl w:val="0"/>
                <w:numId w:val="84"/>
              </w:numPr>
              <w:ind w:left="714" w:hanging="357"/>
              <w:cnfStyle w:val="000000000000" w:firstRow="0" w:lastRow="0" w:firstColumn="0" w:lastColumn="0" w:oddVBand="0" w:evenVBand="0" w:oddHBand="0" w:evenHBand="0" w:firstRowFirstColumn="0" w:firstRowLastColumn="0" w:lastRowFirstColumn="0" w:lastRowLastColumn="0"/>
              <w:rPr>
                <w:rFonts w:eastAsia="Calibri"/>
              </w:rPr>
            </w:pPr>
            <w:r w:rsidRPr="00AC41E0">
              <w:rPr>
                <w:rFonts w:eastAsia="Calibri"/>
              </w:rPr>
              <w:t xml:space="preserve">Formally documenting the details of your sharing arrangement is a useful governance mechanism that provides transparency and clarity for all parties involved. </w:t>
            </w:r>
          </w:p>
          <w:p w14:paraId="5C2951A4" w14:textId="77777777" w:rsidR="008D21B5" w:rsidRPr="00AC41E0" w:rsidRDefault="008D21B5" w:rsidP="00D978A4">
            <w:pPr>
              <w:pStyle w:val="DCSbodytext"/>
              <w:numPr>
                <w:ilvl w:val="0"/>
                <w:numId w:val="83"/>
              </w:numPr>
              <w:spacing w:after="120"/>
              <w:cnfStyle w:val="000000000000" w:firstRow="0" w:lastRow="0" w:firstColumn="0" w:lastColumn="0" w:oddVBand="0" w:evenVBand="0" w:oddHBand="0" w:evenHBand="0" w:firstRowFirstColumn="0" w:firstRowLastColumn="0" w:lastRowFirstColumn="0" w:lastRowLastColumn="0"/>
              <w:rPr>
                <w:rFonts w:eastAsia="Calibri"/>
              </w:rPr>
            </w:pPr>
            <w:r w:rsidRPr="00AC41E0">
              <w:rPr>
                <w:rFonts w:eastAsia="Calibri"/>
              </w:rPr>
              <w:t>DSAs typically cover:</w:t>
            </w:r>
          </w:p>
          <w:p w14:paraId="382DF47E" w14:textId="4583561A" w:rsidR="008D21B5" w:rsidRPr="00AC41E0" w:rsidRDefault="000F14DA" w:rsidP="00D978A4">
            <w:pPr>
              <w:pStyle w:val="DCSbodytext"/>
              <w:numPr>
                <w:ilvl w:val="0"/>
                <w:numId w:val="63"/>
              </w:numPr>
              <w:spacing w:after="120"/>
              <w:cnfStyle w:val="000000000000" w:firstRow="0" w:lastRow="0" w:firstColumn="0" w:lastColumn="0" w:oddVBand="0" w:evenVBand="0" w:oddHBand="0" w:evenHBand="0" w:firstRowFirstColumn="0" w:firstRowLastColumn="0" w:lastRowFirstColumn="0" w:lastRowLastColumn="0"/>
              <w:rPr>
                <w:rFonts w:eastAsia="Calibri"/>
              </w:rPr>
            </w:pPr>
            <w:r w:rsidRPr="00AC41E0">
              <w:rPr>
                <w:rFonts w:eastAsia="Calibri"/>
              </w:rPr>
              <w:t>w</w:t>
            </w:r>
            <w:r w:rsidR="008D21B5" w:rsidRPr="00AC41E0">
              <w:rPr>
                <w:rFonts w:eastAsia="Calibri"/>
              </w:rPr>
              <w:t>hat data should be made available</w:t>
            </w:r>
          </w:p>
          <w:p w14:paraId="56095F89" w14:textId="5A8AF99D" w:rsidR="008D21B5" w:rsidRPr="00AC41E0" w:rsidRDefault="000F14DA" w:rsidP="00D978A4">
            <w:pPr>
              <w:pStyle w:val="DCSbodytext"/>
              <w:numPr>
                <w:ilvl w:val="0"/>
                <w:numId w:val="63"/>
              </w:numPr>
              <w:spacing w:after="120"/>
              <w:cnfStyle w:val="000000000000" w:firstRow="0" w:lastRow="0" w:firstColumn="0" w:lastColumn="0" w:oddVBand="0" w:evenVBand="0" w:oddHBand="0" w:evenHBand="0" w:firstRowFirstColumn="0" w:firstRowLastColumn="0" w:lastRowFirstColumn="0" w:lastRowLastColumn="0"/>
              <w:rPr>
                <w:rFonts w:eastAsia="Calibri"/>
              </w:rPr>
            </w:pPr>
            <w:r w:rsidRPr="00AC41E0">
              <w:rPr>
                <w:rFonts w:eastAsia="Calibri"/>
              </w:rPr>
              <w:t>w</w:t>
            </w:r>
            <w:r w:rsidR="008D21B5" w:rsidRPr="00AC41E0">
              <w:rPr>
                <w:rFonts w:eastAsia="Calibri"/>
              </w:rPr>
              <w:t>ho can access and (re)use the data</w:t>
            </w:r>
          </w:p>
          <w:p w14:paraId="40A2FBD6" w14:textId="2096D188" w:rsidR="008D21B5" w:rsidRPr="00AC41E0" w:rsidRDefault="000F14DA" w:rsidP="00D978A4">
            <w:pPr>
              <w:pStyle w:val="DCSbodytext"/>
              <w:numPr>
                <w:ilvl w:val="0"/>
                <w:numId w:val="63"/>
              </w:numPr>
              <w:spacing w:after="120"/>
              <w:cnfStyle w:val="000000000000" w:firstRow="0" w:lastRow="0" w:firstColumn="0" w:lastColumn="0" w:oddVBand="0" w:evenVBand="0" w:oddHBand="0" w:evenHBand="0" w:firstRowFirstColumn="0" w:firstRowLastColumn="0" w:lastRowFirstColumn="0" w:lastRowLastColumn="0"/>
              <w:rPr>
                <w:rFonts w:eastAsia="Calibri"/>
              </w:rPr>
            </w:pPr>
            <w:r w:rsidRPr="00AC41E0">
              <w:rPr>
                <w:rFonts w:eastAsia="Calibri"/>
              </w:rPr>
              <w:t>w</w:t>
            </w:r>
            <w:r w:rsidR="008D21B5" w:rsidRPr="00AC41E0">
              <w:rPr>
                <w:rFonts w:eastAsia="Calibri"/>
              </w:rPr>
              <w:t>hat can the (re)user do with the data</w:t>
            </w:r>
          </w:p>
          <w:p w14:paraId="47A41E41" w14:textId="54F10B8C" w:rsidR="008D21B5" w:rsidRPr="00AC41E0" w:rsidRDefault="000F14DA" w:rsidP="00D978A4">
            <w:pPr>
              <w:pStyle w:val="DCSbodytext"/>
              <w:numPr>
                <w:ilvl w:val="0"/>
                <w:numId w:val="63"/>
              </w:numPr>
              <w:spacing w:after="120"/>
              <w:cnfStyle w:val="000000000000" w:firstRow="0" w:lastRow="0" w:firstColumn="0" w:lastColumn="0" w:oddVBand="0" w:evenVBand="0" w:oddHBand="0" w:evenHBand="0" w:firstRowFirstColumn="0" w:firstRowLastColumn="0" w:lastRowFirstColumn="0" w:lastRowLastColumn="0"/>
              <w:rPr>
                <w:rFonts w:eastAsia="Calibri"/>
              </w:rPr>
            </w:pPr>
            <w:r w:rsidRPr="00AC41E0">
              <w:rPr>
                <w:rFonts w:eastAsia="Calibri"/>
              </w:rPr>
              <w:t>w</w:t>
            </w:r>
            <w:r w:rsidR="008D21B5" w:rsidRPr="00AC41E0">
              <w:rPr>
                <w:rFonts w:eastAsia="Calibri"/>
              </w:rPr>
              <w:t>hether or not they have the right to distribute the data</w:t>
            </w:r>
          </w:p>
          <w:p w14:paraId="7E297176" w14:textId="3E54DC17" w:rsidR="008D21B5" w:rsidRPr="00AC41E0" w:rsidRDefault="000F14DA" w:rsidP="00D978A4">
            <w:pPr>
              <w:pStyle w:val="DCSbodytext"/>
              <w:numPr>
                <w:ilvl w:val="0"/>
                <w:numId w:val="63"/>
              </w:numPr>
              <w:spacing w:after="120"/>
              <w:cnfStyle w:val="000000000000" w:firstRow="0" w:lastRow="0" w:firstColumn="0" w:lastColumn="0" w:oddVBand="0" w:evenVBand="0" w:oddHBand="0" w:evenHBand="0" w:firstRowFirstColumn="0" w:firstRowLastColumn="0" w:lastRowFirstColumn="0" w:lastRowLastColumn="0"/>
              <w:rPr>
                <w:rFonts w:eastAsia="Calibri"/>
              </w:rPr>
            </w:pPr>
            <w:r w:rsidRPr="00AC41E0">
              <w:rPr>
                <w:rFonts w:eastAsia="Calibri"/>
              </w:rPr>
              <w:t>t</w:t>
            </w:r>
            <w:r w:rsidR="008D21B5" w:rsidRPr="00AC41E0">
              <w:rPr>
                <w:rFonts w:eastAsia="Calibri"/>
              </w:rPr>
              <w:t>echnical means of data access and transfer</w:t>
            </w:r>
          </w:p>
          <w:p w14:paraId="16F2B182" w14:textId="588C3D37" w:rsidR="008D21B5" w:rsidRPr="00AC41E0" w:rsidRDefault="000F14DA" w:rsidP="00D978A4">
            <w:pPr>
              <w:pStyle w:val="DCSbodytext"/>
              <w:numPr>
                <w:ilvl w:val="0"/>
                <w:numId w:val="63"/>
              </w:numPr>
              <w:spacing w:after="120"/>
              <w:cnfStyle w:val="000000000000" w:firstRow="0" w:lastRow="0" w:firstColumn="0" w:lastColumn="0" w:oddVBand="0" w:evenVBand="0" w:oddHBand="0" w:evenHBand="0" w:firstRowFirstColumn="0" w:firstRowLastColumn="0" w:lastRowFirstColumn="0" w:lastRowLastColumn="0"/>
              <w:rPr>
                <w:rFonts w:eastAsia="Calibri"/>
              </w:rPr>
            </w:pPr>
            <w:r w:rsidRPr="00AC41E0">
              <w:rPr>
                <w:rFonts w:eastAsia="Calibri"/>
              </w:rPr>
              <w:t>f</w:t>
            </w:r>
            <w:r w:rsidR="008D21B5" w:rsidRPr="00AC41E0">
              <w:rPr>
                <w:rFonts w:eastAsia="Calibri"/>
              </w:rPr>
              <w:t xml:space="preserve">requency of data access </w:t>
            </w:r>
          </w:p>
          <w:p w14:paraId="77908298" w14:textId="27303607" w:rsidR="008D21B5" w:rsidRPr="00AC41E0" w:rsidRDefault="000F14DA" w:rsidP="00D978A4">
            <w:pPr>
              <w:pStyle w:val="DCSbodytext"/>
              <w:numPr>
                <w:ilvl w:val="0"/>
                <w:numId w:val="63"/>
              </w:numPr>
              <w:spacing w:after="120"/>
              <w:cnfStyle w:val="000000000000" w:firstRow="0" w:lastRow="0" w:firstColumn="0" w:lastColumn="0" w:oddVBand="0" w:evenVBand="0" w:oddHBand="0" w:evenHBand="0" w:firstRowFirstColumn="0" w:firstRowLastColumn="0" w:lastRowFirstColumn="0" w:lastRowLastColumn="0"/>
              <w:rPr>
                <w:rFonts w:eastAsia="Calibri"/>
              </w:rPr>
            </w:pPr>
            <w:r w:rsidRPr="00AC41E0">
              <w:rPr>
                <w:rFonts w:eastAsia="Calibri"/>
              </w:rPr>
              <w:t>d</w:t>
            </w:r>
            <w:r w:rsidR="008D21B5" w:rsidRPr="00AC41E0">
              <w:rPr>
                <w:rFonts w:eastAsia="Calibri"/>
              </w:rPr>
              <w:t>ata protection/security/confidentiality obligations</w:t>
            </w:r>
          </w:p>
          <w:p w14:paraId="7DEEEE29" w14:textId="77777777" w:rsidR="008D21B5" w:rsidRPr="00AC41E0" w:rsidRDefault="008D21B5" w:rsidP="00D978A4">
            <w:pPr>
              <w:pStyle w:val="DCSbodytext"/>
              <w:numPr>
                <w:ilvl w:val="0"/>
                <w:numId w:val="63"/>
              </w:numPr>
              <w:spacing w:after="120"/>
              <w:cnfStyle w:val="000000000000" w:firstRow="0" w:lastRow="0" w:firstColumn="0" w:lastColumn="0" w:oddVBand="0" w:evenVBand="0" w:oddHBand="0" w:evenHBand="0" w:firstRowFirstColumn="0" w:firstRowLastColumn="0" w:lastRowFirstColumn="0" w:lastRowLastColumn="0"/>
              <w:rPr>
                <w:rFonts w:eastAsia="Calibri"/>
              </w:rPr>
            </w:pPr>
            <w:r w:rsidRPr="00AC41E0">
              <w:rPr>
                <w:rFonts w:eastAsia="Calibri"/>
              </w:rPr>
              <w:t>Data breach notification requirements</w:t>
            </w:r>
          </w:p>
          <w:p w14:paraId="52339F4B" w14:textId="77777777" w:rsidR="008D21B5" w:rsidRPr="00AC41E0" w:rsidRDefault="008D21B5" w:rsidP="00D978A4">
            <w:pPr>
              <w:pStyle w:val="DCSbodytext"/>
              <w:numPr>
                <w:ilvl w:val="0"/>
                <w:numId w:val="63"/>
              </w:numPr>
              <w:spacing w:after="120"/>
              <w:cnfStyle w:val="000000000000" w:firstRow="0" w:lastRow="0" w:firstColumn="0" w:lastColumn="0" w:oddVBand="0" w:evenVBand="0" w:oddHBand="0" w:evenHBand="0" w:firstRowFirstColumn="0" w:firstRowLastColumn="0" w:lastRowFirstColumn="0" w:lastRowLastColumn="0"/>
              <w:rPr>
                <w:rFonts w:eastAsia="Calibri"/>
              </w:rPr>
            </w:pPr>
            <w:r w:rsidRPr="00AC41E0">
              <w:rPr>
                <w:rFonts w:eastAsia="Calibri"/>
              </w:rPr>
              <w:t>Liability questions and audit rights for both parties</w:t>
            </w:r>
          </w:p>
          <w:p w14:paraId="2172D897" w14:textId="7F956F79" w:rsidR="008D21B5" w:rsidRPr="00AC41E0" w:rsidRDefault="000F14DA" w:rsidP="00D978A4">
            <w:pPr>
              <w:pStyle w:val="DCSbodytext"/>
              <w:numPr>
                <w:ilvl w:val="0"/>
                <w:numId w:val="63"/>
              </w:numPr>
              <w:spacing w:after="120"/>
              <w:cnfStyle w:val="000000000000" w:firstRow="0" w:lastRow="0" w:firstColumn="0" w:lastColumn="0" w:oddVBand="0" w:evenVBand="0" w:oddHBand="0" w:evenHBand="0" w:firstRowFirstColumn="0" w:firstRowLastColumn="0" w:lastRowFirstColumn="0" w:lastRowLastColumn="0"/>
              <w:rPr>
                <w:rFonts w:eastAsia="Calibri"/>
              </w:rPr>
            </w:pPr>
            <w:r w:rsidRPr="00AC41E0">
              <w:rPr>
                <w:rFonts w:eastAsia="Calibri"/>
              </w:rPr>
              <w:t>d</w:t>
            </w:r>
            <w:r w:rsidR="008D21B5" w:rsidRPr="00AC41E0">
              <w:rPr>
                <w:rFonts w:eastAsia="Calibri"/>
              </w:rPr>
              <w:t>uration of the agreement</w:t>
            </w:r>
          </w:p>
          <w:p w14:paraId="4DEBD240" w14:textId="22E2795C" w:rsidR="008D21B5" w:rsidRPr="00AC41E0" w:rsidRDefault="000F14DA" w:rsidP="00D978A4">
            <w:pPr>
              <w:pStyle w:val="DCSbodytext"/>
              <w:numPr>
                <w:ilvl w:val="0"/>
                <w:numId w:val="63"/>
              </w:numPr>
              <w:spacing w:after="120"/>
              <w:cnfStyle w:val="000000000000" w:firstRow="0" w:lastRow="0" w:firstColumn="0" w:lastColumn="0" w:oddVBand="0" w:evenVBand="0" w:oddHBand="0" w:evenHBand="0" w:firstRowFirstColumn="0" w:firstRowLastColumn="0" w:lastRowFirstColumn="0" w:lastRowLastColumn="0"/>
              <w:rPr>
                <w:rFonts w:eastAsia="Calibri"/>
              </w:rPr>
            </w:pPr>
            <w:r w:rsidRPr="00AC41E0">
              <w:rPr>
                <w:rFonts w:eastAsia="Calibri"/>
              </w:rPr>
              <w:t>t</w:t>
            </w:r>
            <w:r w:rsidR="008D21B5" w:rsidRPr="00AC41E0">
              <w:rPr>
                <w:rFonts w:eastAsia="Calibri"/>
              </w:rPr>
              <w:t>ermination of the agreement</w:t>
            </w:r>
          </w:p>
          <w:p w14:paraId="6AEDC055" w14:textId="65567066" w:rsidR="008D21B5" w:rsidRPr="00AC41E0" w:rsidRDefault="000F14DA" w:rsidP="00D978A4">
            <w:pPr>
              <w:pStyle w:val="DCSbodytext"/>
              <w:numPr>
                <w:ilvl w:val="0"/>
                <w:numId w:val="63"/>
              </w:numPr>
              <w:spacing w:after="120"/>
              <w:cnfStyle w:val="000000000000" w:firstRow="0" w:lastRow="0" w:firstColumn="0" w:lastColumn="0" w:oddVBand="0" w:evenVBand="0" w:oddHBand="0" w:evenHBand="0" w:firstRowFirstColumn="0" w:firstRowLastColumn="0" w:lastRowFirstColumn="0" w:lastRowLastColumn="0"/>
            </w:pPr>
            <w:r w:rsidRPr="00AC41E0">
              <w:rPr>
                <w:rFonts w:eastAsia="Calibri"/>
              </w:rPr>
              <w:lastRenderedPageBreak/>
              <w:t>c</w:t>
            </w:r>
            <w:r w:rsidR="008D21B5" w:rsidRPr="00AC41E0">
              <w:rPr>
                <w:rFonts w:eastAsia="Calibri"/>
              </w:rPr>
              <w:t>osts (if applicable)</w:t>
            </w:r>
          </w:p>
          <w:p w14:paraId="3DF869FA" w14:textId="4022D8D0" w:rsidR="008D21B5" w:rsidRPr="00AC41E0" w:rsidRDefault="000F14DA" w:rsidP="00D978A4">
            <w:pPr>
              <w:pStyle w:val="DCSbodytext"/>
              <w:numPr>
                <w:ilvl w:val="0"/>
                <w:numId w:val="63"/>
              </w:numPr>
              <w:ind w:left="714" w:hanging="357"/>
              <w:cnfStyle w:val="000000000000" w:firstRow="0" w:lastRow="0" w:firstColumn="0" w:lastColumn="0" w:oddVBand="0" w:evenVBand="0" w:oddHBand="0" w:evenHBand="0" w:firstRowFirstColumn="0" w:firstRowLastColumn="0" w:lastRowFirstColumn="0" w:lastRowLastColumn="0"/>
              <w:rPr>
                <w:rFonts w:eastAsia="Calibri Light"/>
              </w:rPr>
            </w:pPr>
            <w:r w:rsidRPr="00AC41E0">
              <w:rPr>
                <w:rFonts w:eastAsia="Calibri"/>
              </w:rPr>
              <w:t>g</w:t>
            </w:r>
            <w:r w:rsidR="008D21B5" w:rsidRPr="00AC41E0">
              <w:rPr>
                <w:rFonts w:eastAsia="Calibri"/>
              </w:rPr>
              <w:t>overning law and competent court.</w:t>
            </w:r>
          </w:p>
          <w:p w14:paraId="7E066146" w14:textId="29A64D66" w:rsidR="008D21B5" w:rsidRPr="00AC41E0" w:rsidRDefault="008D21B5" w:rsidP="00D978A4">
            <w:pPr>
              <w:pStyle w:val="DCSbodytext"/>
              <w:numPr>
                <w:ilvl w:val="0"/>
                <w:numId w:val="83"/>
              </w:numPr>
              <w:ind w:left="357" w:hanging="357"/>
              <w:cnfStyle w:val="000000000000" w:firstRow="0" w:lastRow="0" w:firstColumn="0" w:lastColumn="0" w:oddVBand="0" w:evenVBand="0" w:oddHBand="0" w:evenHBand="0" w:firstRowFirstColumn="0" w:firstRowLastColumn="0" w:lastRowFirstColumn="0" w:lastRowLastColumn="0"/>
              <w:rPr>
                <w:rFonts w:eastAsia="Calibri Light"/>
              </w:rPr>
            </w:pPr>
            <w:r w:rsidRPr="00AC41E0">
              <w:rPr>
                <w:rFonts w:eastAsia="Calibri Light"/>
              </w:rPr>
              <w:t xml:space="preserve">The DSA should identify who owns the devices, data, and insights derived from the data, and who is responsible for dealing with privacy notifications. In some cases, a dataset can be a combination </w:t>
            </w:r>
            <w:r w:rsidR="00FB7AD2" w:rsidRPr="00AC41E0">
              <w:rPr>
                <w:rFonts w:eastAsia="Calibri Light"/>
              </w:rPr>
              <w:t>of</w:t>
            </w:r>
            <w:r w:rsidRPr="00AC41E0">
              <w:rPr>
                <w:rFonts w:eastAsia="Calibri Light"/>
              </w:rPr>
              <w:t xml:space="preserve"> several sources so it is vital that ownership is articulated and agreed</w:t>
            </w:r>
            <w:r w:rsidR="000705E6" w:rsidRPr="00AC41E0">
              <w:rPr>
                <w:rFonts w:eastAsia="Calibri Light"/>
              </w:rPr>
              <w:t xml:space="preserve"> upon</w:t>
            </w:r>
            <w:r w:rsidRPr="00AC41E0">
              <w:rPr>
                <w:rFonts w:eastAsia="Calibri Light"/>
              </w:rPr>
              <w:t>.</w:t>
            </w:r>
          </w:p>
          <w:p w14:paraId="55CEC93E" w14:textId="10C8D586" w:rsidR="008D21B5" w:rsidRPr="00AC41E0" w:rsidRDefault="008D21B5" w:rsidP="00D978A4">
            <w:pPr>
              <w:pStyle w:val="DCSbodytext"/>
              <w:numPr>
                <w:ilvl w:val="0"/>
                <w:numId w:val="83"/>
              </w:numPr>
              <w:spacing w:after="120"/>
              <w:cnfStyle w:val="000000000000" w:firstRow="0" w:lastRow="0" w:firstColumn="0" w:lastColumn="0" w:oddVBand="0" w:evenVBand="0" w:oddHBand="0" w:evenHBand="0" w:firstRowFirstColumn="0" w:firstRowLastColumn="0" w:lastRowFirstColumn="0" w:lastRowLastColumn="0"/>
              <w:rPr>
                <w:rFonts w:eastAsia="Calibri Light"/>
              </w:rPr>
            </w:pPr>
            <w:r w:rsidRPr="00AC41E0">
              <w:rPr>
                <w:rFonts w:eastAsia="Calibri Light"/>
              </w:rPr>
              <w:t xml:space="preserve">Consider how your DSA can meet the specific needs of the user </w:t>
            </w:r>
            <w:r w:rsidR="00182C8A" w:rsidRPr="00AC41E0">
              <w:rPr>
                <w:rFonts w:eastAsia="Calibri Light"/>
              </w:rPr>
              <w:t xml:space="preserve">so that </w:t>
            </w:r>
            <w:r w:rsidRPr="00AC41E0">
              <w:rPr>
                <w:rFonts w:eastAsia="Calibri Light"/>
              </w:rPr>
              <w:t>mutual benefits are realised. Consult with the data requestor to determine the most appropriate DSA.</w:t>
            </w:r>
          </w:p>
        </w:tc>
      </w:tr>
      <w:tr w:rsidR="008D21B5" w:rsidRPr="00AC41E0" w14:paraId="2A9D2E42" w14:textId="77777777" w:rsidTr="001C6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D75187E" w14:textId="6BF3F83A" w:rsidR="008D21B5" w:rsidRPr="00AC41E0" w:rsidRDefault="008D21B5" w:rsidP="00D978A4">
            <w:pPr>
              <w:pStyle w:val="DCSbodytext"/>
              <w:numPr>
                <w:ilvl w:val="0"/>
                <w:numId w:val="62"/>
              </w:numPr>
              <w:spacing w:after="120"/>
              <w:rPr>
                <w:rFonts w:eastAsia="Calibri Light"/>
              </w:rPr>
            </w:pPr>
            <w:r w:rsidRPr="00AC41E0">
              <w:rPr>
                <w:rFonts w:eastAsia="Calibri Light"/>
              </w:rPr>
              <w:lastRenderedPageBreak/>
              <w:t xml:space="preserve">Monitor compliance with the </w:t>
            </w:r>
            <w:r w:rsidR="000705E6" w:rsidRPr="00AC41E0">
              <w:rPr>
                <w:rFonts w:eastAsia="Calibri Light"/>
              </w:rPr>
              <w:t>data-</w:t>
            </w:r>
            <w:r w:rsidRPr="00AC41E0">
              <w:rPr>
                <w:rFonts w:eastAsia="Calibri Light"/>
              </w:rPr>
              <w:t xml:space="preserve">sharing agreement </w:t>
            </w:r>
          </w:p>
        </w:tc>
        <w:tc>
          <w:tcPr>
            <w:tcW w:w="12332" w:type="dxa"/>
          </w:tcPr>
          <w:p w14:paraId="50395C3C" w14:textId="03B43B71" w:rsidR="008D21B5" w:rsidRPr="00AC41E0" w:rsidRDefault="008D21B5" w:rsidP="00003096">
            <w:pPr>
              <w:pStyle w:val="DCSbodytext"/>
              <w:numPr>
                <w:ilvl w:val="0"/>
                <w:numId w:val="111"/>
              </w:numPr>
              <w:spacing w:after="120"/>
              <w:cnfStyle w:val="000000100000" w:firstRow="0" w:lastRow="0" w:firstColumn="0" w:lastColumn="0" w:oddVBand="0" w:evenVBand="0" w:oddHBand="1" w:evenHBand="0" w:firstRowFirstColumn="0" w:firstRowLastColumn="0" w:lastRowFirstColumn="0" w:lastRowLastColumn="0"/>
              <w:rPr>
                <w:rFonts w:eastAsia="Calibri"/>
              </w:rPr>
            </w:pPr>
            <w:r w:rsidRPr="00AC41E0">
              <w:rPr>
                <w:rFonts w:eastAsia="Calibri"/>
              </w:rPr>
              <w:t xml:space="preserve">Monitor the agreement to </w:t>
            </w:r>
            <w:r w:rsidR="00102D38" w:rsidRPr="00AC41E0">
              <w:rPr>
                <w:rFonts w:eastAsia="Calibri"/>
              </w:rPr>
              <w:t xml:space="preserve">verify </w:t>
            </w:r>
            <w:r w:rsidRPr="00AC41E0">
              <w:rPr>
                <w:rFonts w:eastAsia="Calibri"/>
              </w:rPr>
              <w:t xml:space="preserve">compliance with the terms and conditions. </w:t>
            </w:r>
          </w:p>
          <w:p w14:paraId="4394480F" w14:textId="77777777" w:rsidR="008D21B5" w:rsidRPr="00AC41E0" w:rsidRDefault="008D21B5" w:rsidP="00C346B6">
            <w:pPr>
              <w:pStyle w:val="DCSbodytext"/>
              <w:spacing w:after="120"/>
              <w:ind w:left="0"/>
              <w:cnfStyle w:val="000000100000" w:firstRow="0" w:lastRow="0" w:firstColumn="0" w:lastColumn="0" w:oddVBand="0" w:evenVBand="0" w:oddHBand="1" w:evenHBand="0" w:firstRowFirstColumn="0" w:firstRowLastColumn="0" w:lastRowFirstColumn="0" w:lastRowLastColumn="0"/>
              <w:rPr>
                <w:rFonts w:eastAsia="Calibri Light"/>
              </w:rPr>
            </w:pPr>
          </w:p>
        </w:tc>
      </w:tr>
    </w:tbl>
    <w:p w14:paraId="3372CF12" w14:textId="77777777" w:rsidR="00C6007D" w:rsidRPr="00AC41E0" w:rsidRDefault="00C6007D" w:rsidP="006215A8">
      <w:pPr>
        <w:pStyle w:val="Heading2"/>
        <w:rPr>
          <w:rFonts w:ascii="Arial" w:eastAsia="Calibri Light" w:hAnsi="Arial"/>
        </w:rPr>
        <w:sectPr w:rsidR="00C6007D" w:rsidRPr="00AC41E0" w:rsidSect="001C6786">
          <w:pgSz w:w="16838" w:h="11906" w:orient="landscape"/>
          <w:pgMar w:top="1134" w:right="1418" w:bottom="1134" w:left="1134" w:header="851" w:footer="425" w:gutter="0"/>
          <w:cols w:space="708"/>
          <w:titlePg/>
          <w:docGrid w:linePitch="360"/>
        </w:sectPr>
      </w:pPr>
      <w:bookmarkStart w:id="1706" w:name="_Toc18083030"/>
      <w:bookmarkStart w:id="1707" w:name="_Toc18083202"/>
      <w:bookmarkStart w:id="1708" w:name="_Toc18083375"/>
      <w:bookmarkStart w:id="1709" w:name="_Toc18311321"/>
      <w:bookmarkStart w:id="1710" w:name="_Toc18312877"/>
      <w:bookmarkStart w:id="1711" w:name="_Toc18322169"/>
      <w:bookmarkStart w:id="1712" w:name="_Toc18322348"/>
      <w:bookmarkStart w:id="1713" w:name="_Toc18336931"/>
      <w:bookmarkStart w:id="1714" w:name="_Toc18338212"/>
      <w:bookmarkStart w:id="1715" w:name="_Toc17111415"/>
      <w:bookmarkStart w:id="1716" w:name="_Toc17111615"/>
      <w:bookmarkStart w:id="1717" w:name="_Toc17112015"/>
      <w:bookmarkStart w:id="1718" w:name="_Toc17112215"/>
      <w:bookmarkStart w:id="1719" w:name="_Toc17112416"/>
      <w:bookmarkStart w:id="1720" w:name="_Toc17112615"/>
      <w:bookmarkStart w:id="1721" w:name="_Toc17112813"/>
      <w:bookmarkStart w:id="1722" w:name="_Toc17113011"/>
      <w:bookmarkStart w:id="1723" w:name="_Toc17114510"/>
      <w:bookmarkStart w:id="1724" w:name="_Toc17114707"/>
      <w:bookmarkStart w:id="1725" w:name="_Toc17121264"/>
      <w:bookmarkStart w:id="1726" w:name="_Toc17121461"/>
      <w:bookmarkStart w:id="1727" w:name="_Toc17121656"/>
      <w:bookmarkStart w:id="1728" w:name="_Toc17121851"/>
      <w:bookmarkStart w:id="1729" w:name="_Toc17970677"/>
      <w:bookmarkStart w:id="1730" w:name="_Toc17975470"/>
      <w:bookmarkStart w:id="1731" w:name="_Toc17975676"/>
      <w:bookmarkStart w:id="1732" w:name="_Toc17982741"/>
      <w:bookmarkStart w:id="1733" w:name="_Toc17988056"/>
      <w:bookmarkStart w:id="1734" w:name="_Toc17989466"/>
      <w:bookmarkStart w:id="1735" w:name="_Toc17990528"/>
      <w:bookmarkStart w:id="1736" w:name="_Toc15313843"/>
      <w:bookmarkStart w:id="1737" w:name="_Toc15313999"/>
      <w:bookmarkStart w:id="1738" w:name="_Toc15314155"/>
      <w:bookmarkStart w:id="1739" w:name="_Toc15314309"/>
      <w:bookmarkStart w:id="1740" w:name="_Toc15314938"/>
      <w:bookmarkStart w:id="1741" w:name="_Toc15313847"/>
      <w:bookmarkStart w:id="1742" w:name="_Toc15314003"/>
      <w:bookmarkStart w:id="1743" w:name="_Toc15314159"/>
      <w:bookmarkStart w:id="1744" w:name="_Toc15314313"/>
      <w:bookmarkStart w:id="1745" w:name="_Toc15314942"/>
      <w:bookmarkStart w:id="1746" w:name="_Toc15313848"/>
      <w:bookmarkStart w:id="1747" w:name="_Toc15314004"/>
      <w:bookmarkStart w:id="1748" w:name="_Toc15314160"/>
      <w:bookmarkStart w:id="1749" w:name="_Toc15314314"/>
      <w:bookmarkStart w:id="1750" w:name="_Toc15314943"/>
      <w:bookmarkStart w:id="1751" w:name="_Device_and_data"/>
      <w:bookmarkStart w:id="1752" w:name="_Asset_and_data"/>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p>
    <w:p w14:paraId="1A4BF918" w14:textId="22B5CC7E" w:rsidR="00805B1E" w:rsidRPr="00AC41E0" w:rsidRDefault="00017A19" w:rsidP="0001742D">
      <w:pPr>
        <w:pStyle w:val="Heading2"/>
        <w:tabs>
          <w:tab w:val="clear" w:pos="5188"/>
          <w:tab w:val="num" w:pos="794"/>
        </w:tabs>
        <w:ind w:left="851"/>
        <w:rPr>
          <w:rFonts w:ascii="Arial" w:hAnsi="Arial"/>
        </w:rPr>
      </w:pPr>
      <w:bookmarkStart w:id="1753" w:name="_Toc65760594"/>
      <w:r w:rsidRPr="00AC41E0">
        <w:rPr>
          <w:rFonts w:ascii="Arial" w:eastAsia="Calibri Light" w:hAnsi="Arial"/>
        </w:rPr>
        <w:lastRenderedPageBreak/>
        <w:t>Asset</w:t>
      </w:r>
      <w:r w:rsidR="005E218D" w:rsidRPr="00AC41E0">
        <w:rPr>
          <w:rFonts w:ascii="Arial" w:eastAsia="Calibri Light" w:hAnsi="Arial"/>
        </w:rPr>
        <w:t xml:space="preserve">, </w:t>
      </w:r>
      <w:r w:rsidR="005E218D" w:rsidRPr="00AC41E0">
        <w:rPr>
          <w:rFonts w:ascii="Arial" w:hAnsi="Arial"/>
        </w:rPr>
        <w:t>device</w:t>
      </w:r>
      <w:r w:rsidR="00805B1E" w:rsidRPr="00AC41E0">
        <w:rPr>
          <w:rFonts w:ascii="Arial" w:hAnsi="Arial"/>
        </w:rPr>
        <w:t xml:space="preserve"> and data management</w:t>
      </w:r>
      <w:bookmarkEnd w:id="1753"/>
    </w:p>
    <w:p w14:paraId="592D6687" w14:textId="7A87E0CD" w:rsidR="00AA66B5" w:rsidRPr="00AC41E0" w:rsidRDefault="00895C7C" w:rsidP="00895C7C">
      <w:pPr>
        <w:pStyle w:val="DCSbodytext"/>
        <w:rPr>
          <w:lang w:eastAsia="en-AU"/>
        </w:rPr>
      </w:pPr>
      <w:r w:rsidRPr="00AC41E0">
        <w:t xml:space="preserve">This </w:t>
      </w:r>
      <w:r w:rsidR="003C78F4" w:rsidRPr="00AC41E0">
        <w:t>chapter</w:t>
      </w:r>
      <w:r w:rsidR="00B85A3F" w:rsidRPr="00AC41E0">
        <w:t xml:space="preserve"> </w:t>
      </w:r>
      <w:r w:rsidRPr="00AC41E0">
        <w:t>provides advice on</w:t>
      </w:r>
      <w:r w:rsidR="007701FE" w:rsidRPr="00AC41E0">
        <w:t xml:space="preserve"> </w:t>
      </w:r>
      <w:r w:rsidR="007D7AFE" w:rsidRPr="00AC41E0">
        <w:t>the management</w:t>
      </w:r>
      <w:r w:rsidR="00311605" w:rsidRPr="00AC41E0">
        <w:t xml:space="preserve">, </w:t>
      </w:r>
      <w:r w:rsidRPr="00AC41E0">
        <w:t>maintenance</w:t>
      </w:r>
      <w:r w:rsidR="000705E6" w:rsidRPr="00AC41E0">
        <w:t>,</w:t>
      </w:r>
      <w:r w:rsidR="00311605" w:rsidRPr="00AC41E0">
        <w:t xml:space="preserve"> and disposal</w:t>
      </w:r>
      <w:r w:rsidRPr="00AC41E0">
        <w:t xml:space="preserve"> </w:t>
      </w:r>
      <w:r w:rsidR="007D7AFE" w:rsidRPr="00AC41E0">
        <w:t xml:space="preserve">of </w:t>
      </w:r>
      <w:r w:rsidR="00023EF6" w:rsidRPr="00AC41E0">
        <w:t xml:space="preserve">IoT </w:t>
      </w:r>
      <w:r w:rsidR="007D7AFE" w:rsidRPr="00AC41E0">
        <w:t>assets including</w:t>
      </w:r>
      <w:r w:rsidRPr="00AC41E0">
        <w:t xml:space="preserve"> devices and data.</w:t>
      </w:r>
    </w:p>
    <w:p w14:paraId="47294F7A" w14:textId="3646E60D" w:rsidR="00805B1E" w:rsidRPr="00AC41E0" w:rsidRDefault="00805B1E">
      <w:pPr>
        <w:pStyle w:val="Heading3"/>
        <w:rPr>
          <w:rFonts w:ascii="Arial" w:hAnsi="Arial"/>
        </w:rPr>
      </w:pPr>
      <w:bookmarkStart w:id="1754" w:name="_Toc65760595"/>
      <w:r w:rsidRPr="00AC41E0">
        <w:rPr>
          <w:rFonts w:ascii="Arial" w:hAnsi="Arial"/>
        </w:rPr>
        <w:t>Asset management</w:t>
      </w:r>
      <w:bookmarkEnd w:id="1754"/>
    </w:p>
    <w:p w14:paraId="6572DF5E" w14:textId="0F04A0DF" w:rsidR="007D4B15" w:rsidRPr="00AC41E0" w:rsidRDefault="007D4B15" w:rsidP="007D4B15">
      <w:pPr>
        <w:pStyle w:val="DCSbodytext"/>
      </w:pPr>
      <w:r w:rsidRPr="00AC41E0">
        <w:t xml:space="preserve">Asset management is the coordination of activities to realise the value </w:t>
      </w:r>
      <w:r w:rsidR="000705E6" w:rsidRPr="00AC41E0">
        <w:t xml:space="preserve">of </w:t>
      </w:r>
      <w:r w:rsidRPr="00AC41E0">
        <w:t xml:space="preserve">assets. It involves managing the risks and opportunities of assets to achieve balance </w:t>
      </w:r>
      <w:r w:rsidR="00667865" w:rsidRPr="00AC41E0">
        <w:t>across</w:t>
      </w:r>
      <w:r w:rsidRPr="00AC41E0">
        <w:t xml:space="preserve"> cost, risk</w:t>
      </w:r>
      <w:r w:rsidR="000705E6" w:rsidRPr="00AC41E0">
        <w:t>,</w:t>
      </w:r>
      <w:r w:rsidRPr="00AC41E0">
        <w:t xml:space="preserve"> and performance. </w:t>
      </w:r>
    </w:p>
    <w:p w14:paraId="57E776DE" w14:textId="76AE4E4D" w:rsidR="00E94C25" w:rsidRPr="00AC41E0" w:rsidRDefault="00E94C25" w:rsidP="00E94C25">
      <w:pPr>
        <w:pStyle w:val="Heading4"/>
        <w:rPr>
          <w:rFonts w:ascii="Arial" w:hAnsi="Arial"/>
        </w:rPr>
      </w:pPr>
      <w:r w:rsidRPr="00AC41E0">
        <w:rPr>
          <w:rFonts w:ascii="Arial" w:hAnsi="Arial"/>
        </w:rPr>
        <w:t>Relevance for IoT</w:t>
      </w:r>
      <w:r w:rsidR="00561DA8" w:rsidRPr="00AC41E0">
        <w:rPr>
          <w:rFonts w:ascii="Arial" w:hAnsi="Arial"/>
        </w:rPr>
        <w:t>-enabled</w:t>
      </w:r>
      <w:r w:rsidRPr="00AC41E0">
        <w:rPr>
          <w:rFonts w:ascii="Arial" w:hAnsi="Arial"/>
        </w:rPr>
        <w:t xml:space="preserve"> projects</w:t>
      </w:r>
    </w:p>
    <w:p w14:paraId="44BDB456" w14:textId="5A6D1868" w:rsidR="007332B7" w:rsidRPr="00AC41E0" w:rsidRDefault="007332B7" w:rsidP="007332B7">
      <w:pPr>
        <w:pStyle w:val="DCSbodytext"/>
        <w:spacing w:after="120"/>
      </w:pPr>
      <w:r w:rsidRPr="00AC41E0">
        <w:t>An IoT solution is not a set and forget project</w:t>
      </w:r>
      <w:r w:rsidR="00660F2B" w:rsidRPr="00AC41E0">
        <w:t xml:space="preserve"> as certain</w:t>
      </w:r>
      <w:r w:rsidRPr="00AC41E0">
        <w:t xml:space="preserve"> elements will require ongoing management and maintenance: </w:t>
      </w:r>
    </w:p>
    <w:p w14:paraId="3CBC2D98" w14:textId="2BD218EE" w:rsidR="007332B7" w:rsidRPr="00AC41E0" w:rsidRDefault="007332B7" w:rsidP="00003096">
      <w:pPr>
        <w:pStyle w:val="DCSbodytext"/>
        <w:numPr>
          <w:ilvl w:val="1"/>
          <w:numId w:val="131"/>
        </w:numPr>
        <w:spacing w:after="120"/>
        <w:ind w:left="1134" w:hanging="283"/>
      </w:pPr>
      <w:r w:rsidRPr="00AC41E0">
        <w:t>physical assets, including sensors and devices</w:t>
      </w:r>
    </w:p>
    <w:p w14:paraId="1A2DFEB5" w14:textId="64B6849B" w:rsidR="007332B7" w:rsidRPr="00AC41E0" w:rsidRDefault="007332B7" w:rsidP="00003096">
      <w:pPr>
        <w:pStyle w:val="DCSbodytext"/>
        <w:numPr>
          <w:ilvl w:val="1"/>
          <w:numId w:val="131"/>
        </w:numPr>
        <w:spacing w:after="120"/>
        <w:ind w:left="1134" w:hanging="283"/>
      </w:pPr>
      <w:r w:rsidRPr="00AC41E0">
        <w:t>information assets, including the data collected by the IoT solution</w:t>
      </w:r>
    </w:p>
    <w:p w14:paraId="71911B1A" w14:textId="77777777" w:rsidR="007332B7" w:rsidRPr="00AC41E0" w:rsidRDefault="007332B7" w:rsidP="00003096">
      <w:pPr>
        <w:pStyle w:val="DCSbodytext"/>
        <w:numPr>
          <w:ilvl w:val="1"/>
          <w:numId w:val="131"/>
        </w:numPr>
        <w:spacing w:after="120"/>
        <w:ind w:left="1134" w:hanging="283"/>
      </w:pPr>
      <w:r w:rsidRPr="00AC41E0">
        <w:t>ICT assets, including software and data management systems</w:t>
      </w:r>
    </w:p>
    <w:p w14:paraId="66C99ADF" w14:textId="38D1749C" w:rsidR="007332B7" w:rsidRPr="00AC41E0" w:rsidRDefault="007332B7" w:rsidP="00003096">
      <w:pPr>
        <w:pStyle w:val="DCSbodytext"/>
        <w:numPr>
          <w:ilvl w:val="1"/>
          <w:numId w:val="131"/>
        </w:numPr>
        <w:spacing w:after="120"/>
        <w:ind w:left="1134" w:hanging="283"/>
      </w:pPr>
      <w:r w:rsidRPr="00AC41E0">
        <w:t>infrastructure assets</w:t>
      </w:r>
    </w:p>
    <w:p w14:paraId="5F47428A" w14:textId="40E97CCA" w:rsidR="007332B7" w:rsidRPr="00AC41E0" w:rsidRDefault="007332B7" w:rsidP="00003096">
      <w:pPr>
        <w:pStyle w:val="DCSbodytext"/>
        <w:numPr>
          <w:ilvl w:val="1"/>
          <w:numId w:val="131"/>
        </w:numPr>
        <w:ind w:left="1134" w:hanging="283"/>
      </w:pPr>
      <w:r w:rsidRPr="00AC41E0">
        <w:t>movable assets.</w:t>
      </w:r>
    </w:p>
    <w:p w14:paraId="0351B4B5" w14:textId="0BA519F0" w:rsidR="00877B17" w:rsidRPr="00AC41E0" w:rsidRDefault="00877B17" w:rsidP="00F33137">
      <w:pPr>
        <w:pStyle w:val="DCSbodytext"/>
      </w:pPr>
      <w:r w:rsidRPr="00AC41E0">
        <w:t xml:space="preserve">IoT asset management can provide opportunities to improve services and outputs through the regular assessment of devices, software and data performance so that you can determine areas for improvement. </w:t>
      </w:r>
    </w:p>
    <w:p w14:paraId="5AC85329" w14:textId="684B4777" w:rsidR="00877B17" w:rsidRPr="00AC41E0" w:rsidRDefault="00667865" w:rsidP="007332B7">
      <w:pPr>
        <w:pStyle w:val="DCSbodytext"/>
      </w:pPr>
      <w:r w:rsidRPr="00AC41E0">
        <w:t>O</w:t>
      </w:r>
      <w:r w:rsidR="007332B7" w:rsidRPr="00AC41E0">
        <w:t xml:space="preserve">ngoing maintenance and management of your devices </w:t>
      </w:r>
      <w:r w:rsidRPr="00AC41E0">
        <w:t xml:space="preserve">will allow you </w:t>
      </w:r>
      <w:r w:rsidR="007332B7" w:rsidRPr="00AC41E0">
        <w:t xml:space="preserve">to track, monitor, manage, secure and sustain the connected devices. It can also help reduce maintenance and operational costs by minimising significant works and repairs. </w:t>
      </w:r>
    </w:p>
    <w:p w14:paraId="47F38555" w14:textId="6C45E946" w:rsidR="000F49E3" w:rsidRPr="00AC41E0" w:rsidRDefault="001B45D7" w:rsidP="00A67C9F">
      <w:pPr>
        <w:pStyle w:val="Heading4"/>
        <w:spacing w:line="276" w:lineRule="auto"/>
        <w:rPr>
          <w:rFonts w:ascii="Arial" w:hAnsi="Arial"/>
        </w:rPr>
      </w:pPr>
      <w:r w:rsidRPr="00AC41E0">
        <w:rPr>
          <w:rFonts w:ascii="Arial" w:hAnsi="Arial"/>
        </w:rPr>
        <w:t>A</w:t>
      </w:r>
      <w:r w:rsidR="00AC3BCD" w:rsidRPr="00AC41E0">
        <w:rPr>
          <w:rFonts w:ascii="Arial" w:hAnsi="Arial"/>
        </w:rPr>
        <w:t xml:space="preserve">sset management plan and asset </w:t>
      </w:r>
      <w:r w:rsidR="000F49E3" w:rsidRPr="00AC41E0">
        <w:rPr>
          <w:rFonts w:ascii="Arial" w:hAnsi="Arial"/>
        </w:rPr>
        <w:t>maintenance plan</w:t>
      </w:r>
      <w:r w:rsidRPr="00AC41E0">
        <w:rPr>
          <w:rFonts w:ascii="Arial" w:hAnsi="Arial"/>
        </w:rPr>
        <w:t xml:space="preserve"> -</w:t>
      </w:r>
      <w:r w:rsidR="000F49E3" w:rsidRPr="00AC41E0">
        <w:rPr>
          <w:rFonts w:ascii="Arial" w:hAnsi="Arial"/>
        </w:rPr>
        <w:t xml:space="preserve"> why </w:t>
      </w:r>
      <w:r w:rsidR="008D6C41" w:rsidRPr="00AC41E0">
        <w:rPr>
          <w:rFonts w:ascii="Arial" w:hAnsi="Arial"/>
        </w:rPr>
        <w:t>are they important</w:t>
      </w:r>
      <w:r w:rsidR="000F49E3" w:rsidRPr="00AC41E0">
        <w:rPr>
          <w:rFonts w:ascii="Arial" w:hAnsi="Arial"/>
        </w:rPr>
        <w:t>?</w:t>
      </w:r>
    </w:p>
    <w:p w14:paraId="1A0772DE" w14:textId="6A7497CB" w:rsidR="00AC3BCD" w:rsidRPr="00AC41E0" w:rsidRDefault="00AC3BCD" w:rsidP="00AC3BCD">
      <w:pPr>
        <w:pStyle w:val="DCSbodytext"/>
        <w:rPr>
          <w:rFonts w:cstheme="minorHAnsi"/>
        </w:rPr>
      </w:pPr>
      <w:r w:rsidRPr="00AC41E0">
        <w:rPr>
          <w:rFonts w:cstheme="minorHAnsi"/>
        </w:rPr>
        <w:t xml:space="preserve">A good way to manage assets is via an asset management plan. An asset management plan defines the lifecycle for each component of the asset category (in this case IoT). For instance, the lifecycle of a sensor might be ten tears, the lifecycle of a device (transmitter) maybe five years, and the lifecycle of an IoT Platform maybe seven years. </w:t>
      </w:r>
    </w:p>
    <w:p w14:paraId="2ACE72E9" w14:textId="77777777" w:rsidR="00AC3BCD" w:rsidRPr="00AC41E0" w:rsidRDefault="00AC3BCD" w:rsidP="00AC3BCD">
      <w:pPr>
        <w:pStyle w:val="DCSbodytext"/>
      </w:pPr>
      <w:r w:rsidRPr="00AC41E0">
        <w:rPr>
          <w:rFonts w:cstheme="minorHAnsi"/>
        </w:rPr>
        <w:t>An asset management plan can help you identify how you will manage each asset component over its lifecycle, what the trigger criteria is for replacement (e.g. obsolescence, failure rate) and how to plan for the costs of asset replacement.</w:t>
      </w:r>
    </w:p>
    <w:p w14:paraId="1D05365B" w14:textId="6296186E" w:rsidR="0099769B" w:rsidRPr="00AC41E0" w:rsidRDefault="00FD403C" w:rsidP="000F49E3">
      <w:pPr>
        <w:pStyle w:val="DCSbodytext"/>
      </w:pPr>
      <w:r w:rsidRPr="00AC41E0">
        <w:t>Similarly, d</w:t>
      </w:r>
      <w:r w:rsidR="00C203A5" w:rsidRPr="00AC41E0">
        <w:t xml:space="preserve">eveloping a maintenance plan for your IoT-enabled project can help ensure it does not experience disruption due to preventable repairs and errors. </w:t>
      </w:r>
      <w:r w:rsidR="000F49E3" w:rsidRPr="00AC41E0">
        <w:t xml:space="preserve">A maintenance plan sets out a plan for replacing, repairing and upgrading assets. It determines the work required to efficiently and effectively address the risks of asset ownership and use </w:t>
      </w:r>
      <w:r w:rsidR="00DB3469" w:rsidRPr="00AC41E0">
        <w:t>as well as thei</w:t>
      </w:r>
      <w:r w:rsidR="000F49E3" w:rsidRPr="00AC41E0">
        <w:t xml:space="preserve">r impact on service delivery. </w:t>
      </w:r>
    </w:p>
    <w:p w14:paraId="644EE3BF" w14:textId="7F79F022" w:rsidR="000F49E3" w:rsidRPr="00AC41E0" w:rsidRDefault="000F49E3" w:rsidP="000F49E3">
      <w:pPr>
        <w:pStyle w:val="DCSbodytext"/>
      </w:pPr>
      <w:r w:rsidRPr="00AC41E0">
        <w:lastRenderedPageBreak/>
        <w:t>A maintenance plan should ensur</w:t>
      </w:r>
      <w:r w:rsidR="00DB3469" w:rsidRPr="00AC41E0">
        <w:t>e</w:t>
      </w:r>
      <w:r w:rsidRPr="00AC41E0">
        <w:t xml:space="preserve"> that assets continue to support the planned delivery of services, identify any deferred maintenance requirements and establish a funding plan. </w:t>
      </w:r>
    </w:p>
    <w:p w14:paraId="4183F65F" w14:textId="15F02CF4" w:rsidR="000F49E3" w:rsidRPr="00AC41E0" w:rsidRDefault="00510CD2" w:rsidP="00F33137">
      <w:pPr>
        <w:pStyle w:val="DCSbodytext"/>
        <w:ind w:left="1560" w:hanging="120"/>
      </w:pPr>
      <w:r w:rsidRPr="00E46FB0">
        <w:rPr>
          <w:rFonts w:cs="Arial"/>
          <w:i/>
          <w:noProof/>
          <w:szCs w:val="22"/>
        </w:rPr>
        <w:drawing>
          <wp:anchor distT="0" distB="0" distL="114300" distR="114300" simplePos="0" relativeHeight="251658268" behindDoc="1" locked="0" layoutInCell="1" allowOverlap="1" wp14:anchorId="5203BDE5" wp14:editId="27A9C35D">
            <wp:simplePos x="0" y="0"/>
            <wp:positionH relativeFrom="margin">
              <wp:posOffset>518795</wp:posOffset>
            </wp:positionH>
            <wp:positionV relativeFrom="paragraph">
              <wp:posOffset>12642</wp:posOffset>
            </wp:positionV>
            <wp:extent cx="389255" cy="389255"/>
            <wp:effectExtent l="0" t="0" r="0" b="0"/>
            <wp:wrapTight wrapText="bothSides">
              <wp:wrapPolygon edited="0">
                <wp:start x="7400" y="0"/>
                <wp:lineTo x="0" y="5285"/>
                <wp:lineTo x="0" y="13742"/>
                <wp:lineTo x="6343" y="20085"/>
                <wp:lineTo x="12685" y="20085"/>
                <wp:lineTo x="14799" y="16914"/>
                <wp:lineTo x="20085" y="10571"/>
                <wp:lineTo x="20085" y="5285"/>
                <wp:lineTo x="11628" y="0"/>
                <wp:lineTo x="7400" y="0"/>
              </wp:wrapPolygon>
            </wp:wrapTight>
            <wp:docPr id="12" name="Graphic 12"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r w:rsidRPr="00E46FB0">
        <w:rPr>
          <w:i/>
          <w:iCs/>
        </w:rPr>
        <w:t>Tip: It is rare that a project team wholly owns a</w:t>
      </w:r>
      <w:r w:rsidR="000F49E3" w:rsidRPr="00AC41E0">
        <w:rPr>
          <w:i/>
          <w:iCs/>
        </w:rPr>
        <w:t xml:space="preserve">ll components of an IoT solution. </w:t>
      </w:r>
      <w:r w:rsidR="00904D1F" w:rsidRPr="00AC41E0">
        <w:rPr>
          <w:i/>
          <w:iCs/>
        </w:rPr>
        <w:t>Therefore,</w:t>
      </w:r>
      <w:r w:rsidRPr="00AC41E0">
        <w:rPr>
          <w:i/>
          <w:iCs/>
        </w:rPr>
        <w:t xml:space="preserve"> i</w:t>
      </w:r>
      <w:r w:rsidR="000F49E3" w:rsidRPr="00AC41E0">
        <w:rPr>
          <w:i/>
          <w:iCs/>
        </w:rPr>
        <w:t xml:space="preserve">t is critical to discuss maintenance requirements </w:t>
      </w:r>
      <w:r w:rsidR="00812547" w:rsidRPr="00AC41E0">
        <w:rPr>
          <w:i/>
          <w:iCs/>
        </w:rPr>
        <w:t>with the</w:t>
      </w:r>
      <w:r w:rsidR="000F49E3" w:rsidRPr="00AC41E0">
        <w:rPr>
          <w:i/>
          <w:iCs/>
        </w:rPr>
        <w:t xml:space="preserve"> stakeholders who are responsible for the assets not under your control.</w:t>
      </w:r>
    </w:p>
    <w:p w14:paraId="5B970D03" w14:textId="4FA8CB8F" w:rsidR="00805B1E" w:rsidRPr="00AC41E0" w:rsidRDefault="00E94C25" w:rsidP="00E94C25">
      <w:pPr>
        <w:pStyle w:val="Heading4"/>
        <w:rPr>
          <w:rFonts w:ascii="Arial" w:hAnsi="Arial"/>
        </w:rPr>
      </w:pPr>
      <w:r w:rsidRPr="00AC41E0">
        <w:rPr>
          <w:rFonts w:ascii="Arial" w:hAnsi="Arial"/>
        </w:rPr>
        <w:t>How to manage assets</w:t>
      </w:r>
      <w:r w:rsidR="001844F4" w:rsidRPr="00AC41E0">
        <w:rPr>
          <w:rFonts w:ascii="Arial" w:hAnsi="Arial"/>
        </w:rPr>
        <w:t xml:space="preserve"> and develop a maintenance plan</w:t>
      </w:r>
    </w:p>
    <w:p w14:paraId="7A8E8F9C" w14:textId="3E4C2345" w:rsidR="00AC3BCD" w:rsidRPr="00AC41E0" w:rsidRDefault="00AC3BCD" w:rsidP="00B54088">
      <w:pPr>
        <w:pStyle w:val="DCSbodytext"/>
      </w:pPr>
      <w:r w:rsidRPr="00AC41E0">
        <w:t xml:space="preserve">The NSW Government </w:t>
      </w:r>
      <w:r w:rsidR="00996B8A" w:rsidRPr="00AC41E0">
        <w:t xml:space="preserve">has developed </w:t>
      </w:r>
      <w:hyperlink r:id="rId279" w:history="1">
        <w:r w:rsidR="000047AE" w:rsidRPr="00AC41E0">
          <w:rPr>
            <w:rStyle w:val="Hyperlink"/>
          </w:rPr>
          <w:t>Asset Management Policy TPP 19-07</w:t>
        </w:r>
      </w:hyperlink>
      <w:r w:rsidRPr="00E46FB0">
        <w:t>that consider</w:t>
      </w:r>
      <w:r w:rsidR="00996B8A" w:rsidRPr="00AC41E0">
        <w:t>s</w:t>
      </w:r>
      <w:r w:rsidRPr="00AC41E0">
        <w:t xml:space="preserve"> asset lifecycle costs, performance, risk</w:t>
      </w:r>
      <w:r w:rsidR="000705E6" w:rsidRPr="00AC41E0">
        <w:t>,</w:t>
      </w:r>
      <w:r w:rsidRPr="00AC41E0">
        <w:t xml:space="preserve"> and economic modelling to support the strategic priorities of the NSW Government. </w:t>
      </w:r>
      <w:r w:rsidR="00B54088" w:rsidRPr="00AC41E0">
        <w:t xml:space="preserve"> </w:t>
      </w:r>
    </w:p>
    <w:p w14:paraId="35C9BDC0" w14:textId="01BA1D4D" w:rsidR="00220096" w:rsidRPr="00AC41E0" w:rsidRDefault="00676BCB" w:rsidP="00676BCB">
      <w:pPr>
        <w:pStyle w:val="DCSbodytext"/>
      </w:pPr>
      <w:r w:rsidRPr="00AC41E0">
        <w:t xml:space="preserve">You may also find it useful to refer to </w:t>
      </w:r>
      <w:r w:rsidR="000705E6" w:rsidRPr="00AC41E0">
        <w:t xml:space="preserve">the </w:t>
      </w:r>
      <w:r w:rsidR="000F52E8" w:rsidRPr="00AC41E0">
        <w:t xml:space="preserve">Australian standard </w:t>
      </w:r>
      <w:hyperlink r:id="rId280" w:history="1">
        <w:r w:rsidR="000F52E8" w:rsidRPr="00AC41E0">
          <w:rPr>
            <w:rStyle w:val="Hyperlink"/>
          </w:rPr>
          <w:t>AS/ISO55000:2014 Asset management – Overview, principles</w:t>
        </w:r>
        <w:r w:rsidR="000705E6" w:rsidRPr="00AC41E0">
          <w:rPr>
            <w:rStyle w:val="Hyperlink"/>
          </w:rPr>
          <w:t>,</w:t>
        </w:r>
        <w:r w:rsidR="000F52E8" w:rsidRPr="00AC41E0">
          <w:rPr>
            <w:rStyle w:val="Hyperlink"/>
          </w:rPr>
          <w:t xml:space="preserve"> and terminology</w:t>
        </w:r>
      </w:hyperlink>
      <w:r w:rsidR="008B3377" w:rsidRPr="00E46FB0">
        <w:t>. This Australian standard</w:t>
      </w:r>
      <w:r w:rsidR="000F52E8" w:rsidRPr="00AC41E0">
        <w:t xml:space="preserve"> is equivalent to ISO 55000:2014. </w:t>
      </w:r>
      <w:r w:rsidR="00A5286F" w:rsidRPr="00AC41E0">
        <w:t>It</w:t>
      </w:r>
      <w:r w:rsidR="000F52E8" w:rsidRPr="00AC41E0">
        <w:t xml:space="preserve"> provides an overview of asset management, its principles and terminology, and the expected benefits </w:t>
      </w:r>
      <w:r w:rsidR="000705E6" w:rsidRPr="00AC41E0">
        <w:t xml:space="preserve">of </w:t>
      </w:r>
      <w:r w:rsidR="000F52E8" w:rsidRPr="00AC41E0">
        <w:t>adopting asset management. It can be applied to all types of assets and by all types and sizes of organisations.</w:t>
      </w:r>
    </w:p>
    <w:p w14:paraId="15FE2153" w14:textId="77777777" w:rsidR="0099769B" w:rsidRPr="00AC41E0" w:rsidRDefault="0099769B" w:rsidP="0099769B">
      <w:pPr>
        <w:pStyle w:val="Heading4"/>
        <w:rPr>
          <w:rFonts w:ascii="Arial" w:hAnsi="Arial"/>
        </w:rPr>
      </w:pPr>
      <w:r w:rsidRPr="00AC41E0">
        <w:rPr>
          <w:rFonts w:ascii="Arial" w:hAnsi="Arial"/>
        </w:rPr>
        <w:t>Disposal</w:t>
      </w:r>
    </w:p>
    <w:p w14:paraId="4CB07298" w14:textId="2758C032" w:rsidR="00B75061" w:rsidRPr="00AC41E0" w:rsidRDefault="00B75061" w:rsidP="00B75061">
      <w:pPr>
        <w:pStyle w:val="DCSbodytext"/>
        <w:rPr>
          <w:lang w:eastAsia="en-AU"/>
        </w:rPr>
      </w:pPr>
      <w:bookmarkStart w:id="1755" w:name="_Toc18322172"/>
      <w:bookmarkStart w:id="1756" w:name="_Toc18322351"/>
      <w:bookmarkEnd w:id="1755"/>
      <w:bookmarkEnd w:id="1756"/>
      <w:r w:rsidRPr="00AC41E0">
        <w:rPr>
          <w:lang w:eastAsia="en-AU"/>
        </w:rPr>
        <w:t>Disposal of assets is required when asset reach their end of life. Your project needs to address end of life planning for disposal of ‘things’ and associated assets</w:t>
      </w:r>
      <w:r w:rsidR="00E826C4" w:rsidRPr="00AC41E0">
        <w:rPr>
          <w:lang w:eastAsia="en-AU"/>
        </w:rPr>
        <w:t xml:space="preserve">. For example, </w:t>
      </w:r>
      <w:r w:rsidRPr="00AC41E0">
        <w:rPr>
          <w:lang w:eastAsia="en-AU"/>
        </w:rPr>
        <w:t xml:space="preserve">on-selling if items can still be used, repurposing, recycling useful or valuable materials, </w:t>
      </w:r>
      <w:r w:rsidR="00FE21E6" w:rsidRPr="00AC41E0">
        <w:rPr>
          <w:lang w:eastAsia="en-AU"/>
        </w:rPr>
        <w:t xml:space="preserve">and </w:t>
      </w:r>
      <w:r w:rsidRPr="00AC41E0">
        <w:rPr>
          <w:lang w:eastAsia="en-AU"/>
        </w:rPr>
        <w:t>appropriate disposal of hazardous items.</w:t>
      </w:r>
      <w:r w:rsidR="00B668D0" w:rsidRPr="00AC41E0">
        <w:rPr>
          <w:lang w:eastAsia="en-AU"/>
        </w:rPr>
        <w:t xml:space="preserve"> </w:t>
      </w:r>
      <w:r w:rsidRPr="00AC41E0">
        <w:rPr>
          <w:lang w:eastAsia="en-AU"/>
        </w:rPr>
        <w:t xml:space="preserve">See </w:t>
      </w:r>
      <w:hyperlink w:anchor="_Disposal_of_assets" w:history="1">
        <w:r w:rsidRPr="00AC41E0">
          <w:rPr>
            <w:rStyle w:val="Hyperlink"/>
            <w:lang w:eastAsia="en-AU"/>
          </w:rPr>
          <w:t>Chapter 5.1 Procuring IoT Solutions</w:t>
        </w:r>
      </w:hyperlink>
      <w:r w:rsidRPr="00E46FB0">
        <w:rPr>
          <w:lang w:eastAsia="en-AU"/>
        </w:rPr>
        <w:t xml:space="preserve"> for information on incorporating disposal of assets into your procurement strategy.</w:t>
      </w:r>
    </w:p>
    <w:p w14:paraId="0A1A6FE7" w14:textId="78EE5061" w:rsidR="00EF326D" w:rsidRPr="00AC41E0" w:rsidRDefault="00E94C25" w:rsidP="00EF326D">
      <w:pPr>
        <w:pStyle w:val="Heading3"/>
        <w:rPr>
          <w:rFonts w:ascii="Arial" w:hAnsi="Arial"/>
        </w:rPr>
      </w:pPr>
      <w:bookmarkStart w:id="1757" w:name="_Toc18336934"/>
      <w:bookmarkStart w:id="1758" w:name="_Toc18338215"/>
      <w:bookmarkStart w:id="1759" w:name="_Toc65760596"/>
      <w:bookmarkEnd w:id="1757"/>
      <w:bookmarkEnd w:id="1758"/>
      <w:r w:rsidRPr="00AC41E0">
        <w:rPr>
          <w:rFonts w:ascii="Arial" w:hAnsi="Arial"/>
        </w:rPr>
        <w:t>Device maintenance</w:t>
      </w:r>
      <w:bookmarkEnd w:id="1759"/>
    </w:p>
    <w:p w14:paraId="17F345FD" w14:textId="0A661DE7" w:rsidR="00A52E88" w:rsidRPr="00AC41E0" w:rsidRDefault="00B90E43" w:rsidP="00E144F4">
      <w:pPr>
        <w:pStyle w:val="DCSbodytext"/>
      </w:pPr>
      <w:r w:rsidRPr="00AC41E0">
        <w:t xml:space="preserve">Device maintenance is </w:t>
      </w:r>
      <w:r w:rsidR="001333A9" w:rsidRPr="00AC41E0">
        <w:t xml:space="preserve">part </w:t>
      </w:r>
      <w:r w:rsidRPr="00AC41E0">
        <w:t xml:space="preserve">of asset management. </w:t>
      </w:r>
      <w:r w:rsidR="00E144F4" w:rsidRPr="00AC41E0">
        <w:t>Traditionally, device and software maintenance at scale has been the domain of telecommunications providers a</w:t>
      </w:r>
      <w:r w:rsidR="00AE4FC0" w:rsidRPr="00AC41E0">
        <w:t>s</w:t>
      </w:r>
      <w:r w:rsidR="00E144F4" w:rsidRPr="00AC41E0">
        <w:t xml:space="preserve"> their customers need to manage a very large number of devices. </w:t>
      </w:r>
    </w:p>
    <w:p w14:paraId="442ED2CE" w14:textId="1FF84515" w:rsidR="00E144F4" w:rsidRPr="00AC41E0" w:rsidRDefault="00AE4FC0" w:rsidP="00E144F4">
      <w:pPr>
        <w:pStyle w:val="DCSbodytext"/>
      </w:pPr>
      <w:r w:rsidRPr="00AC41E0">
        <w:t>However</w:t>
      </w:r>
      <w:r w:rsidR="0062018B" w:rsidRPr="00AC41E0">
        <w:t>,</w:t>
      </w:r>
      <w:r w:rsidRPr="00AC41E0">
        <w:t xml:space="preserve"> m</w:t>
      </w:r>
      <w:r w:rsidR="00E144F4" w:rsidRPr="00AC41E0">
        <w:t xml:space="preserve">any </w:t>
      </w:r>
      <w:r w:rsidR="003D5E9D" w:rsidRPr="00AC41E0">
        <w:t>IoT-enabled project</w:t>
      </w:r>
      <w:r w:rsidR="00E144F4" w:rsidRPr="00AC41E0">
        <w:t xml:space="preserve">s </w:t>
      </w:r>
      <w:r w:rsidR="009F49E9" w:rsidRPr="00AC41E0">
        <w:t xml:space="preserve">by </w:t>
      </w:r>
      <w:r w:rsidR="000705E6" w:rsidRPr="00AC41E0">
        <w:t xml:space="preserve">the </w:t>
      </w:r>
      <w:r w:rsidR="00E144F4" w:rsidRPr="00AC41E0">
        <w:t xml:space="preserve">NSW </w:t>
      </w:r>
      <w:r w:rsidR="009F49E9" w:rsidRPr="00AC41E0">
        <w:t xml:space="preserve">Government and </w:t>
      </w:r>
      <w:r w:rsidR="00A5026C" w:rsidRPr="00AC41E0">
        <w:t>l</w:t>
      </w:r>
      <w:r w:rsidR="00E144F4" w:rsidRPr="00AC41E0">
        <w:t>ocal governments are likely to be smaller in scale and</w:t>
      </w:r>
      <w:r w:rsidR="00AB24CE" w:rsidRPr="00AC41E0">
        <w:t xml:space="preserve"> therefore do not</w:t>
      </w:r>
      <w:r w:rsidR="00E144F4" w:rsidRPr="00AC41E0">
        <w:t xml:space="preserve"> </w:t>
      </w:r>
      <w:r w:rsidR="00A5026C" w:rsidRPr="00AC41E0">
        <w:t xml:space="preserve">require a telecommunications provider to be responsible for maintenance. </w:t>
      </w:r>
      <w:r w:rsidR="00AB24CE" w:rsidRPr="00AC41E0">
        <w:t>This means it</w:t>
      </w:r>
      <w:r w:rsidR="00A52E88" w:rsidRPr="00AC41E0">
        <w:t xml:space="preserve"> is critical to ensure that device maintenance is planned and conducted from deployment for all projects irrespective of their size.</w:t>
      </w:r>
    </w:p>
    <w:p w14:paraId="698E8FD9" w14:textId="7C98A841" w:rsidR="00E94C25" w:rsidRPr="00AC41E0" w:rsidRDefault="00E94C25" w:rsidP="00E94C25">
      <w:pPr>
        <w:pStyle w:val="Heading4"/>
        <w:rPr>
          <w:rFonts w:ascii="Arial" w:hAnsi="Arial"/>
        </w:rPr>
      </w:pPr>
      <w:r w:rsidRPr="00AC41E0">
        <w:rPr>
          <w:rFonts w:ascii="Arial" w:hAnsi="Arial"/>
        </w:rPr>
        <w:t>Hardware maintenance</w:t>
      </w:r>
    </w:p>
    <w:p w14:paraId="098C3FC2" w14:textId="16103042" w:rsidR="00D17CC5" w:rsidRPr="00AC41E0" w:rsidRDefault="00D22B17" w:rsidP="00D22B17">
      <w:pPr>
        <w:pStyle w:val="DCSbodytext"/>
      </w:pPr>
      <w:r w:rsidRPr="00AC41E0">
        <w:t>Hardware in an IoT ecosystem will require maintenance</w:t>
      </w:r>
      <w:r w:rsidR="00B42EE7" w:rsidRPr="00AC41E0">
        <w:t xml:space="preserve">. This includes the devices </w:t>
      </w:r>
      <w:r w:rsidRPr="00AC41E0">
        <w:t xml:space="preserve">which may need replacing and new batteries if running on battery power. It is good practice to factor these upgrades into a maintenance plan to avoid any service outages. </w:t>
      </w:r>
    </w:p>
    <w:p w14:paraId="6711DF99" w14:textId="127F0349" w:rsidR="007C78A4" w:rsidRPr="00AC41E0" w:rsidRDefault="006C78B6" w:rsidP="007C78A4">
      <w:pPr>
        <w:pStyle w:val="DCSbodytext"/>
      </w:pPr>
      <w:r w:rsidRPr="00AC41E0">
        <w:t>Ma</w:t>
      </w:r>
      <w:r w:rsidR="00D17CC5" w:rsidRPr="00AC41E0">
        <w:t>ny aspects of th</w:t>
      </w:r>
      <w:r w:rsidRPr="00AC41E0">
        <w:t>e</w:t>
      </w:r>
      <w:r w:rsidR="00D17CC5" w:rsidRPr="00AC41E0">
        <w:t xml:space="preserve"> data collected about IoT sensors will </w:t>
      </w:r>
      <w:r w:rsidR="00203229" w:rsidRPr="00AC41E0">
        <w:t xml:space="preserve">be </w:t>
      </w:r>
      <w:r w:rsidR="00D17CC5" w:rsidRPr="00AC41E0">
        <w:t xml:space="preserve">used for maintenance purposes. Typically, almost a hundred </w:t>
      </w:r>
      <w:r w:rsidR="004B7DB0" w:rsidRPr="00AC41E0">
        <w:t>points</w:t>
      </w:r>
      <w:r w:rsidR="00D17CC5" w:rsidRPr="00AC41E0">
        <w:t xml:space="preserve"> of information </w:t>
      </w:r>
      <w:r w:rsidR="00D17CC5" w:rsidRPr="00AC41E0">
        <w:rPr>
          <w:i/>
        </w:rPr>
        <w:t>about</w:t>
      </w:r>
      <w:r w:rsidR="00D17CC5" w:rsidRPr="00AC41E0">
        <w:t xml:space="preserve"> a device </w:t>
      </w:r>
      <w:r w:rsidR="00107CFB" w:rsidRPr="00AC41E0">
        <w:t>are</w:t>
      </w:r>
      <w:r w:rsidR="00D17CC5" w:rsidRPr="00AC41E0">
        <w:t xml:space="preserve"> collected separate</w:t>
      </w:r>
      <w:r w:rsidR="000705E6" w:rsidRPr="00AC41E0">
        <w:t>ly</w:t>
      </w:r>
      <w:r w:rsidR="00D17CC5" w:rsidRPr="00AC41E0">
        <w:t xml:space="preserve"> from the sensor data itself. </w:t>
      </w:r>
      <w:r w:rsidR="000F6FAD" w:rsidRPr="00AC41E0">
        <w:t>This includes information</w:t>
      </w:r>
      <w:r w:rsidR="00162F18" w:rsidRPr="00AC41E0">
        <w:t xml:space="preserve"> such as </w:t>
      </w:r>
      <w:r w:rsidR="00D17CC5" w:rsidRPr="00AC41E0">
        <w:t xml:space="preserve">who installed </w:t>
      </w:r>
      <w:r w:rsidR="00162F18" w:rsidRPr="00AC41E0">
        <w:t xml:space="preserve">the device, </w:t>
      </w:r>
      <w:r w:rsidR="00D17CC5" w:rsidRPr="00AC41E0">
        <w:t xml:space="preserve">who has access to repair it, when </w:t>
      </w:r>
      <w:r w:rsidR="00162F18" w:rsidRPr="00AC41E0">
        <w:t xml:space="preserve">the battery life began, </w:t>
      </w:r>
      <w:r w:rsidR="00D17CC5" w:rsidRPr="00AC41E0">
        <w:t xml:space="preserve">what keys are needed to access </w:t>
      </w:r>
      <w:r w:rsidR="00162F18" w:rsidRPr="00AC41E0">
        <w:t xml:space="preserve">the device and the location of the device. </w:t>
      </w:r>
      <w:r w:rsidR="00D17CC5" w:rsidRPr="00AC41E0">
        <w:t xml:space="preserve"> </w:t>
      </w:r>
    </w:p>
    <w:p w14:paraId="03DD6EAE" w14:textId="0DD44D05" w:rsidR="00E94C25" w:rsidRPr="00AC41E0" w:rsidRDefault="00E94C25" w:rsidP="00E94C25">
      <w:pPr>
        <w:pStyle w:val="Heading4"/>
        <w:rPr>
          <w:rFonts w:ascii="Arial" w:hAnsi="Arial"/>
        </w:rPr>
      </w:pPr>
      <w:r w:rsidRPr="00AC41E0">
        <w:rPr>
          <w:rFonts w:ascii="Arial" w:hAnsi="Arial"/>
        </w:rPr>
        <w:lastRenderedPageBreak/>
        <w:t>Software maintenance</w:t>
      </w:r>
    </w:p>
    <w:p w14:paraId="4F0C49D5" w14:textId="2DADB407" w:rsidR="00967FC9" w:rsidRPr="00AC41E0" w:rsidRDefault="00E01763" w:rsidP="00967FC9">
      <w:pPr>
        <w:pStyle w:val="DCSbodytext"/>
      </w:pPr>
      <w:r w:rsidRPr="00AC41E0">
        <w:t xml:space="preserve">IoT </w:t>
      </w:r>
      <w:r w:rsidR="00FA1235" w:rsidRPr="00AC41E0">
        <w:t xml:space="preserve">solutions </w:t>
      </w:r>
      <w:r w:rsidRPr="00AC41E0">
        <w:t>include software that will require bug fixes and software updates. This is generally conducted on an as-needed basis when updates are available. Software updates can contain changes to improve the performance, stability</w:t>
      </w:r>
      <w:r w:rsidR="000705E6" w:rsidRPr="00AC41E0">
        <w:t>,</w:t>
      </w:r>
      <w:r w:rsidRPr="00AC41E0">
        <w:t xml:space="preserve"> and security of your IoT systems</w:t>
      </w:r>
      <w:r w:rsidR="001A49C6" w:rsidRPr="00AC41E0">
        <w:t xml:space="preserve">. </w:t>
      </w:r>
      <w:r w:rsidR="000E2211" w:rsidRPr="00AC41E0">
        <w:t xml:space="preserve">Installing updates will </w:t>
      </w:r>
      <w:r w:rsidRPr="00AC41E0">
        <w:t xml:space="preserve">ensure that devices continue to run safely and efficiently.  </w:t>
      </w:r>
    </w:p>
    <w:p w14:paraId="52088BFB" w14:textId="4D2A8778" w:rsidR="00C16627" w:rsidRPr="00AC41E0" w:rsidRDefault="00C16627" w:rsidP="00C16627">
      <w:pPr>
        <w:pStyle w:val="DCSbodytext"/>
      </w:pPr>
      <w:r w:rsidRPr="00AC41E0">
        <w:t>Over-the-air updates, where a device can be updated through the network, allow an IoT platform to track and monitor a device, maintain its software, manage firmware, fix bugs, add features and customise devices even once the device has been installed in a network.</w:t>
      </w:r>
    </w:p>
    <w:p w14:paraId="70CFF5E7" w14:textId="67E0DF38" w:rsidR="006215A8" w:rsidRPr="00AC41E0" w:rsidRDefault="00126BF5">
      <w:pPr>
        <w:pStyle w:val="Heading3"/>
        <w:rPr>
          <w:rFonts w:ascii="Arial" w:hAnsi="Arial"/>
        </w:rPr>
      </w:pPr>
      <w:bookmarkStart w:id="1760" w:name="_Toc18322174"/>
      <w:bookmarkStart w:id="1761" w:name="_Toc18322353"/>
      <w:bookmarkStart w:id="1762" w:name="_Toc18336936"/>
      <w:bookmarkStart w:id="1763" w:name="_Toc18338217"/>
      <w:bookmarkStart w:id="1764" w:name="_Toc18322175"/>
      <w:bookmarkStart w:id="1765" w:name="_Toc18322354"/>
      <w:bookmarkStart w:id="1766" w:name="_Toc18336937"/>
      <w:bookmarkStart w:id="1767" w:name="_Toc18338218"/>
      <w:bookmarkStart w:id="1768" w:name="_Toc18322176"/>
      <w:bookmarkStart w:id="1769" w:name="_Toc18322355"/>
      <w:bookmarkStart w:id="1770" w:name="_Toc18336938"/>
      <w:bookmarkStart w:id="1771" w:name="_Toc18338219"/>
      <w:bookmarkStart w:id="1772" w:name="_Toc18322177"/>
      <w:bookmarkStart w:id="1773" w:name="_Toc18322356"/>
      <w:bookmarkStart w:id="1774" w:name="_Toc18336939"/>
      <w:bookmarkStart w:id="1775" w:name="_Toc18338220"/>
      <w:bookmarkStart w:id="1776" w:name="_Toc65760597"/>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r w:rsidRPr="00AC41E0">
        <w:rPr>
          <w:rFonts w:ascii="Arial" w:hAnsi="Arial"/>
        </w:rPr>
        <w:t>D</w:t>
      </w:r>
      <w:r w:rsidR="006215A8" w:rsidRPr="00AC41E0">
        <w:rPr>
          <w:rFonts w:ascii="Arial" w:hAnsi="Arial"/>
        </w:rPr>
        <w:t>ata maintenance</w:t>
      </w:r>
      <w:bookmarkEnd w:id="1776"/>
    </w:p>
    <w:p w14:paraId="38E0538A" w14:textId="5D04CC62" w:rsidR="00385CCD" w:rsidRPr="00AC41E0" w:rsidRDefault="00DA697D" w:rsidP="0022369F">
      <w:pPr>
        <w:pStyle w:val="DCSbodytext"/>
      </w:pPr>
      <w:r w:rsidRPr="00AC41E0">
        <w:t xml:space="preserve">Data maintenance is </w:t>
      </w:r>
      <w:r w:rsidR="00B05946" w:rsidRPr="00AC41E0">
        <w:t xml:space="preserve">another </w:t>
      </w:r>
      <w:r w:rsidRPr="00AC41E0">
        <w:t xml:space="preserve">part of asset management. </w:t>
      </w:r>
      <w:r w:rsidR="00243503" w:rsidRPr="00AC41E0">
        <w:t xml:space="preserve">With the collection of large amounts </w:t>
      </w:r>
      <w:r w:rsidR="002E641D" w:rsidRPr="00AC41E0">
        <w:t xml:space="preserve">of </w:t>
      </w:r>
      <w:r w:rsidR="00243503" w:rsidRPr="00AC41E0">
        <w:t xml:space="preserve">data via IoT devices, it is </w:t>
      </w:r>
      <w:r w:rsidR="008E77FD" w:rsidRPr="00AC41E0">
        <w:t>essential</w:t>
      </w:r>
      <w:r w:rsidR="00243503" w:rsidRPr="00AC41E0">
        <w:t xml:space="preserve"> to have </w:t>
      </w:r>
      <w:r w:rsidR="00652BC5" w:rsidRPr="00AC41E0">
        <w:t>processes</w:t>
      </w:r>
      <w:r w:rsidR="00243503" w:rsidRPr="00AC41E0">
        <w:t xml:space="preserve"> in place to </w:t>
      </w:r>
      <w:r w:rsidR="00652BC5" w:rsidRPr="00AC41E0">
        <w:t>maintain the data</w:t>
      </w:r>
      <w:r w:rsidR="0071263B" w:rsidRPr="00AC41E0">
        <w:t xml:space="preserve"> as described below.</w:t>
      </w:r>
    </w:p>
    <w:p w14:paraId="3647FFA9" w14:textId="6FC20854" w:rsidR="00A94665" w:rsidRPr="00AC41E0" w:rsidRDefault="00A94665" w:rsidP="0022369F">
      <w:pPr>
        <w:pStyle w:val="Heading4"/>
        <w:rPr>
          <w:rFonts w:ascii="Arial" w:hAnsi="Arial"/>
        </w:rPr>
      </w:pPr>
      <w:r w:rsidRPr="00AC41E0">
        <w:rPr>
          <w:rFonts w:ascii="Arial" w:hAnsi="Arial"/>
        </w:rPr>
        <w:t>Ongoing monitoring of data assets</w:t>
      </w:r>
    </w:p>
    <w:p w14:paraId="0327C8D2" w14:textId="3BBC853B" w:rsidR="00A94665" w:rsidRPr="00AC41E0" w:rsidRDefault="00A94665" w:rsidP="00A94665">
      <w:pPr>
        <w:pStyle w:val="DCSbodytext"/>
      </w:pPr>
      <w:r w:rsidRPr="00AC41E0">
        <w:t xml:space="preserve">You </w:t>
      </w:r>
      <w:r w:rsidR="001F65C2" w:rsidRPr="00AC41E0">
        <w:t xml:space="preserve">need to </w:t>
      </w:r>
      <w:r w:rsidR="0003075C" w:rsidRPr="00AC41E0">
        <w:t>monitor</w:t>
      </w:r>
      <w:r w:rsidRPr="00AC41E0">
        <w:t xml:space="preserve"> the effectiveness of your IoT data collection and use. If the business purpose for your IoT data collection changes or expands, you will need to revisit your privacy, security and data governance approaches. Ensure these are monitored to maintain the ongoing efficiency and good management of your IoT approaches.</w:t>
      </w:r>
    </w:p>
    <w:p w14:paraId="26FAD94B" w14:textId="77777777" w:rsidR="006418F6" w:rsidRPr="00AC41E0" w:rsidRDefault="006418F6" w:rsidP="0022369F">
      <w:pPr>
        <w:pStyle w:val="Heading4"/>
        <w:rPr>
          <w:rFonts w:ascii="Arial" w:hAnsi="Arial"/>
        </w:rPr>
      </w:pPr>
      <w:bookmarkStart w:id="1777" w:name="_Data_validation"/>
      <w:bookmarkStart w:id="1778" w:name="_Toc14446057"/>
      <w:bookmarkStart w:id="1779" w:name="_Toc15299866"/>
      <w:bookmarkEnd w:id="1777"/>
      <w:r w:rsidRPr="00AC41E0">
        <w:rPr>
          <w:rFonts w:ascii="Arial" w:hAnsi="Arial"/>
        </w:rPr>
        <w:t>Data validation</w:t>
      </w:r>
      <w:bookmarkEnd w:id="1778"/>
      <w:bookmarkEnd w:id="1779"/>
    </w:p>
    <w:p w14:paraId="006EE785" w14:textId="28B9209C" w:rsidR="006418F6" w:rsidRPr="00AC41E0" w:rsidRDefault="007D055A" w:rsidP="006418F6">
      <w:pPr>
        <w:pStyle w:val="DCSbodytext"/>
        <w:ind w:left="868"/>
        <w:rPr>
          <w:rFonts w:cs="Arial"/>
        </w:rPr>
      </w:pPr>
      <w:r w:rsidRPr="00AC41E0">
        <w:rPr>
          <w:rFonts w:cs="Arial"/>
        </w:rPr>
        <w:t>Undertake d</w:t>
      </w:r>
      <w:r w:rsidR="006418F6" w:rsidRPr="00AC41E0">
        <w:rPr>
          <w:rFonts w:cs="Arial"/>
        </w:rPr>
        <w:t xml:space="preserve">ata validation based on the requirements </w:t>
      </w:r>
      <w:r w:rsidR="00BA3287" w:rsidRPr="00AC41E0">
        <w:rPr>
          <w:rFonts w:cs="Arial"/>
        </w:rPr>
        <w:t xml:space="preserve">identified in your </w:t>
      </w:r>
      <w:hyperlink w:anchor="_Data_needs_assessment_1" w:history="1">
        <w:r w:rsidR="00BA3287" w:rsidRPr="00E46FB0">
          <w:rPr>
            <w:rStyle w:val="Hyperlink"/>
            <w:rFonts w:cs="Arial"/>
          </w:rPr>
          <w:t>data needs assessment</w:t>
        </w:r>
      </w:hyperlink>
      <w:r w:rsidR="00BA3287" w:rsidRPr="00E46FB0">
        <w:rPr>
          <w:rFonts w:cs="Arial"/>
        </w:rPr>
        <w:t>.</w:t>
      </w:r>
      <w:r w:rsidR="006418F6" w:rsidRPr="00E46FB0">
        <w:rPr>
          <w:rFonts w:cs="Arial"/>
        </w:rPr>
        <w:t xml:space="preserve"> Where possible, data validation should be </w:t>
      </w:r>
      <w:r w:rsidR="00FB352E" w:rsidRPr="00AC41E0">
        <w:rPr>
          <w:rFonts w:cs="Arial"/>
        </w:rPr>
        <w:t>automated,</w:t>
      </w:r>
      <w:r w:rsidR="006418F6" w:rsidRPr="00AC41E0">
        <w:rPr>
          <w:rFonts w:cs="Arial"/>
        </w:rPr>
        <w:t xml:space="preserve"> and errors corrected at source. Data validation can also include the detection and mitigation of malicious data. </w:t>
      </w:r>
    </w:p>
    <w:p w14:paraId="284FCC46" w14:textId="77777777" w:rsidR="00A94665" w:rsidRPr="00AC41E0" w:rsidRDefault="00A94665" w:rsidP="0022369F">
      <w:pPr>
        <w:pStyle w:val="Heading4"/>
        <w:rPr>
          <w:rFonts w:ascii="Arial" w:hAnsi="Arial"/>
        </w:rPr>
      </w:pPr>
      <w:r w:rsidRPr="00AC41E0">
        <w:rPr>
          <w:rFonts w:ascii="Arial" w:hAnsi="Arial"/>
        </w:rPr>
        <w:t xml:space="preserve">Data retention and destruction </w:t>
      </w:r>
    </w:p>
    <w:p w14:paraId="185C64D0" w14:textId="6E003FE6" w:rsidR="00A94665" w:rsidRPr="00AC41E0" w:rsidRDefault="00FC2E6D" w:rsidP="00A94665">
      <w:pPr>
        <w:pStyle w:val="DCSbodytext"/>
      </w:pPr>
      <w:r w:rsidRPr="00AC41E0">
        <w:t xml:space="preserve">Make sure that </w:t>
      </w:r>
      <w:r w:rsidR="00A94665" w:rsidRPr="00AC41E0">
        <w:t xml:space="preserve">any legal or business requirements applying to IoT data have been implemented and that data is kept or destroyed as required. </w:t>
      </w:r>
      <w:r w:rsidR="00182C8A" w:rsidRPr="00AC41E0">
        <w:t>There must be</w:t>
      </w:r>
      <w:r w:rsidR="00A94665" w:rsidRPr="00AC41E0">
        <w:t xml:space="preserve"> appropriate retention and destruction of data generated from IoT-enabled projects in accordance with your organisation’s records and information management requirements.</w:t>
      </w:r>
    </w:p>
    <w:p w14:paraId="371DC762" w14:textId="77777777" w:rsidR="001B4A6A" w:rsidRPr="00E46FB0" w:rsidRDefault="00A94665" w:rsidP="001B4A6A">
      <w:pPr>
        <w:pStyle w:val="DCSbodytext"/>
        <w:spacing w:after="120"/>
        <w:rPr>
          <w:shd w:val="clear" w:color="auto" w:fill="FFFFFF"/>
        </w:rPr>
      </w:pPr>
      <w:r w:rsidRPr="00AC41E0">
        <w:t xml:space="preserve">For data that is no longer required, delete or dispose of it at a set frequency, in accordance with requirements under the </w:t>
      </w:r>
      <w:hyperlink r:id="rId281" w:history="1">
        <w:hyperlink r:id="rId282" w:anchor="/view/act/1998/17" w:history="1">
          <w:r w:rsidR="001B4A6A" w:rsidRPr="00AC41E0">
            <w:rPr>
              <w:rStyle w:val="Hyperlink"/>
              <w:i/>
              <w:shd w:val="clear" w:color="auto" w:fill="FFFFFF"/>
            </w:rPr>
            <w:t>State Records Act 1998</w:t>
          </w:r>
          <w:r w:rsidR="001B4A6A" w:rsidRPr="00AC41E0">
            <w:rPr>
              <w:rStyle w:val="Hyperlink"/>
              <w:shd w:val="clear" w:color="auto" w:fill="FFFFFF"/>
            </w:rPr>
            <w:t xml:space="preserve"> (NSW)</w:t>
          </w:r>
        </w:hyperlink>
      </w:hyperlink>
      <w:r w:rsidR="001B4A6A" w:rsidRPr="00E46FB0">
        <w:rPr>
          <w:shd w:val="clear" w:color="auto" w:fill="FFFFFF"/>
        </w:rPr>
        <w:t xml:space="preserve">, </w:t>
      </w:r>
      <w:hyperlink r:id="rId283" w:history="1">
        <w:hyperlink r:id="rId284" w:anchor="/view/act/1998/133" w:history="1">
          <w:r w:rsidR="001B4A6A" w:rsidRPr="00AC41E0">
            <w:rPr>
              <w:rStyle w:val="Hyperlink"/>
              <w:i/>
              <w:shd w:val="clear" w:color="auto" w:fill="FFFFFF"/>
            </w:rPr>
            <w:t xml:space="preserve">Privacy and Personal Information Protection Act 1998 </w:t>
          </w:r>
          <w:r w:rsidR="001B4A6A" w:rsidRPr="00AC41E0">
            <w:rPr>
              <w:rStyle w:val="Hyperlink"/>
              <w:shd w:val="clear" w:color="auto" w:fill="FFFFFF"/>
            </w:rPr>
            <w:t>(NSW)</w:t>
          </w:r>
        </w:hyperlink>
      </w:hyperlink>
      <w:r w:rsidR="001B4A6A" w:rsidRPr="00E46FB0">
        <w:rPr>
          <w:shd w:val="clear" w:color="auto" w:fill="FFFFFF"/>
        </w:rPr>
        <w:t xml:space="preserve"> and </w:t>
      </w:r>
      <w:hyperlink r:id="rId285" w:history="1">
        <w:hyperlink r:id="rId286" w:anchor="/view/act/2002/71" w:history="1">
          <w:r w:rsidR="001B4A6A" w:rsidRPr="00AC41E0">
            <w:rPr>
              <w:rStyle w:val="Hyperlink"/>
              <w:i/>
              <w:shd w:val="clear" w:color="auto" w:fill="FFFFFF"/>
            </w:rPr>
            <w:t>Health Records and Information Privacy Act 2002</w:t>
          </w:r>
          <w:r w:rsidR="001B4A6A" w:rsidRPr="00AC41E0">
            <w:rPr>
              <w:rStyle w:val="Hyperlink"/>
              <w:shd w:val="clear" w:color="auto" w:fill="FFFFFF"/>
            </w:rPr>
            <w:t xml:space="preserve"> (NSW)</w:t>
          </w:r>
        </w:hyperlink>
      </w:hyperlink>
      <w:r w:rsidR="001B4A6A" w:rsidRPr="00E46FB0">
        <w:rPr>
          <w:i/>
          <w:shd w:val="clear" w:color="auto" w:fill="FFFFFF"/>
        </w:rPr>
        <w:t>.</w:t>
      </w:r>
    </w:p>
    <w:p w14:paraId="2B943FB4" w14:textId="043C00A1" w:rsidR="00A94665" w:rsidRPr="00AC41E0" w:rsidRDefault="00A94665" w:rsidP="00A94665">
      <w:pPr>
        <w:pStyle w:val="DCSbodytext"/>
        <w:spacing w:after="120"/>
        <w:rPr>
          <w:shd w:val="clear" w:color="auto" w:fill="FFFFFF"/>
        </w:rPr>
      </w:pPr>
    </w:p>
    <w:p w14:paraId="26EAD6B1" w14:textId="51A03213" w:rsidR="000C59DD" w:rsidRPr="00E46FB0" w:rsidRDefault="00A94665" w:rsidP="00F33137">
      <w:pPr>
        <w:pStyle w:val="DCSbodytext"/>
        <w:spacing w:after="120"/>
        <w:rPr>
          <w:rFonts w:cs="Arial"/>
        </w:rPr>
      </w:pPr>
      <w:r w:rsidRPr="00AC41E0">
        <w:t xml:space="preserve">For more advice on IoT-related data retention and destruction, contact the </w:t>
      </w:r>
      <w:hyperlink r:id="rId287" w:history="1">
        <w:r w:rsidRPr="00E46FB0">
          <w:rPr>
            <w:rStyle w:val="Hyperlink"/>
          </w:rPr>
          <w:t>State Archives and Records Authority</w:t>
        </w:r>
      </w:hyperlink>
      <w:r w:rsidRPr="00E46FB0">
        <w:t>.</w:t>
      </w:r>
      <w:bookmarkStart w:id="1780" w:name="_Toc15313851"/>
      <w:bookmarkStart w:id="1781" w:name="_Toc15314007"/>
      <w:bookmarkStart w:id="1782" w:name="_Toc15314163"/>
      <w:bookmarkStart w:id="1783" w:name="_Toc15314317"/>
      <w:bookmarkStart w:id="1784" w:name="_Toc15314946"/>
      <w:bookmarkStart w:id="1785" w:name="_Toc15313852"/>
      <w:bookmarkStart w:id="1786" w:name="_Toc15314008"/>
      <w:bookmarkStart w:id="1787" w:name="_Toc15314164"/>
      <w:bookmarkStart w:id="1788" w:name="_Toc15314318"/>
      <w:bookmarkStart w:id="1789" w:name="_Toc15314947"/>
      <w:bookmarkStart w:id="1790" w:name="_Toc15313853"/>
      <w:bookmarkStart w:id="1791" w:name="_Toc15314009"/>
      <w:bookmarkStart w:id="1792" w:name="_Toc15314165"/>
      <w:bookmarkStart w:id="1793" w:name="_Toc15314319"/>
      <w:bookmarkStart w:id="1794" w:name="_Toc15314948"/>
      <w:bookmarkStart w:id="1795" w:name="_Toc15313854"/>
      <w:bookmarkStart w:id="1796" w:name="_Toc15314010"/>
      <w:bookmarkStart w:id="1797" w:name="_Toc15314166"/>
      <w:bookmarkStart w:id="1798" w:name="_Toc15314320"/>
      <w:bookmarkStart w:id="1799" w:name="_Toc1531494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p>
    <w:p w14:paraId="30E45547" w14:textId="39EE3866" w:rsidR="00A94665" w:rsidRPr="00E46FB0" w:rsidRDefault="00A94665" w:rsidP="009A41BE">
      <w:pPr>
        <w:pStyle w:val="Heading1"/>
        <w:rPr>
          <w:rFonts w:ascii="Arial" w:hAnsi="Arial"/>
        </w:rPr>
      </w:pPr>
      <w:bookmarkStart w:id="1800" w:name="_Toc18322179"/>
      <w:bookmarkStart w:id="1801" w:name="_Toc18322358"/>
      <w:bookmarkStart w:id="1802" w:name="_Toc18336941"/>
      <w:bookmarkStart w:id="1803" w:name="_Toc18338222"/>
      <w:bookmarkStart w:id="1804" w:name="_Toc18322180"/>
      <w:bookmarkStart w:id="1805" w:name="_Toc18322359"/>
      <w:bookmarkStart w:id="1806" w:name="_Toc18336942"/>
      <w:bookmarkStart w:id="1807" w:name="_Toc18338223"/>
      <w:bookmarkStart w:id="1808" w:name="_Toc18322181"/>
      <w:bookmarkStart w:id="1809" w:name="_Toc18322360"/>
      <w:bookmarkStart w:id="1810" w:name="_Toc18336943"/>
      <w:bookmarkStart w:id="1811" w:name="_Toc18338224"/>
      <w:bookmarkStart w:id="1812" w:name="_Toc18322182"/>
      <w:bookmarkStart w:id="1813" w:name="_Toc18322361"/>
      <w:bookmarkStart w:id="1814" w:name="_Toc18336944"/>
      <w:bookmarkStart w:id="1815" w:name="_Toc18338225"/>
      <w:bookmarkStart w:id="1816" w:name="_Toc16514865"/>
      <w:bookmarkStart w:id="1817" w:name="_Toc16515058"/>
      <w:bookmarkStart w:id="1818" w:name="_Toc16515250"/>
      <w:bookmarkStart w:id="1819" w:name="_Toc16515444"/>
      <w:bookmarkStart w:id="1820" w:name="_Toc16515638"/>
      <w:bookmarkStart w:id="1821" w:name="_Toc16515832"/>
      <w:bookmarkStart w:id="1822" w:name="_Toc16516074"/>
      <w:bookmarkStart w:id="1823" w:name="_Toc16516545"/>
      <w:bookmarkStart w:id="1824" w:name="_Toc16762319"/>
      <w:bookmarkStart w:id="1825" w:name="_Toc16770098"/>
      <w:bookmarkStart w:id="1826" w:name="_Toc16770292"/>
      <w:bookmarkStart w:id="1827" w:name="_Toc16856200"/>
      <w:bookmarkStart w:id="1828" w:name="_Toc16867973"/>
      <w:bookmarkStart w:id="1829" w:name="_Toc17103646"/>
      <w:bookmarkStart w:id="1830" w:name="_Toc17110295"/>
      <w:bookmarkStart w:id="1831" w:name="_Toc17111423"/>
      <w:bookmarkStart w:id="1832" w:name="_Toc17111623"/>
      <w:bookmarkStart w:id="1833" w:name="_Toc17112023"/>
      <w:bookmarkStart w:id="1834" w:name="_Toc17112223"/>
      <w:bookmarkStart w:id="1835" w:name="_Toc17112424"/>
      <w:bookmarkStart w:id="1836" w:name="_Toc17112623"/>
      <w:bookmarkStart w:id="1837" w:name="_Toc17112821"/>
      <w:bookmarkStart w:id="1838" w:name="_Toc17113019"/>
      <w:bookmarkStart w:id="1839" w:name="_Toc17114518"/>
      <w:bookmarkStart w:id="1840" w:name="_Toc17114715"/>
      <w:bookmarkStart w:id="1841" w:name="_Toc17121272"/>
      <w:bookmarkStart w:id="1842" w:name="_Toc17121469"/>
      <w:bookmarkStart w:id="1843" w:name="_Toc17121664"/>
      <w:bookmarkStart w:id="1844" w:name="_Toc17121859"/>
      <w:bookmarkStart w:id="1845" w:name="_Toc17970685"/>
      <w:bookmarkStart w:id="1846" w:name="_Toc17975478"/>
      <w:bookmarkStart w:id="1847" w:name="_Toc17975684"/>
      <w:bookmarkStart w:id="1848" w:name="_Toc17982749"/>
      <w:bookmarkStart w:id="1849" w:name="_Toc17988064"/>
      <w:bookmarkStart w:id="1850" w:name="_Toc17989474"/>
      <w:bookmarkStart w:id="1851" w:name="_Toc17990536"/>
      <w:bookmarkStart w:id="1852" w:name="_Device_maintenance"/>
      <w:bookmarkStart w:id="1853" w:name="_Toc16514673"/>
      <w:bookmarkStart w:id="1854" w:name="_Toc16514867"/>
      <w:bookmarkStart w:id="1855" w:name="_Toc16515060"/>
      <w:bookmarkStart w:id="1856" w:name="_Toc16515252"/>
      <w:bookmarkStart w:id="1857" w:name="_Toc16515446"/>
      <w:bookmarkStart w:id="1858" w:name="_Toc16515640"/>
      <w:bookmarkStart w:id="1859" w:name="_Toc16515834"/>
      <w:bookmarkStart w:id="1860" w:name="_Toc16516076"/>
      <w:bookmarkStart w:id="1861" w:name="_Toc16516547"/>
      <w:bookmarkStart w:id="1862" w:name="_Toc16762321"/>
      <w:bookmarkStart w:id="1863" w:name="_Toc16770100"/>
      <w:bookmarkStart w:id="1864" w:name="_Toc16770294"/>
      <w:bookmarkStart w:id="1865" w:name="_Toc16856202"/>
      <w:bookmarkStart w:id="1866" w:name="_Toc16867975"/>
      <w:bookmarkStart w:id="1867" w:name="_Toc17103648"/>
      <w:bookmarkStart w:id="1868" w:name="_Toc17110297"/>
      <w:bookmarkStart w:id="1869" w:name="_Toc17111425"/>
      <w:bookmarkStart w:id="1870" w:name="_Toc17111625"/>
      <w:bookmarkStart w:id="1871" w:name="_Toc17112025"/>
      <w:bookmarkStart w:id="1872" w:name="_Toc17112225"/>
      <w:bookmarkStart w:id="1873" w:name="_Toc17112426"/>
      <w:bookmarkStart w:id="1874" w:name="_Toc17112625"/>
      <w:bookmarkStart w:id="1875" w:name="_Toc17112823"/>
      <w:bookmarkStart w:id="1876" w:name="_Toc17113021"/>
      <w:bookmarkStart w:id="1877" w:name="_Toc17114520"/>
      <w:bookmarkStart w:id="1878" w:name="_Toc17114717"/>
      <w:bookmarkStart w:id="1879" w:name="_Toc17121274"/>
      <w:bookmarkStart w:id="1880" w:name="_Toc17121471"/>
      <w:bookmarkStart w:id="1881" w:name="_Toc17121666"/>
      <w:bookmarkStart w:id="1882" w:name="_Toc17121861"/>
      <w:bookmarkStart w:id="1883" w:name="_Toc17970687"/>
      <w:bookmarkStart w:id="1884" w:name="_Toc17975480"/>
      <w:bookmarkStart w:id="1885" w:name="_Toc17975686"/>
      <w:bookmarkStart w:id="1886" w:name="_Toc17982751"/>
      <w:bookmarkStart w:id="1887" w:name="_Toc17988066"/>
      <w:bookmarkStart w:id="1888" w:name="_Toc17989476"/>
      <w:bookmarkStart w:id="1889" w:name="_Toc17990538"/>
      <w:bookmarkStart w:id="1890" w:name="_Toc65760598"/>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r w:rsidRPr="00AC41E0">
        <w:rPr>
          <w:rFonts w:ascii="Arial" w:hAnsi="Arial"/>
        </w:rPr>
        <w:lastRenderedPageBreak/>
        <w:t>Assess</w:t>
      </w:r>
      <w:r w:rsidR="00843CBB" w:rsidRPr="00E46FB0">
        <w:rPr>
          <w:rStyle w:val="normaltextrun"/>
          <w:rFonts w:ascii="Arial" w:hAnsi="Arial"/>
          <w:noProof/>
        </w:rPr>
        <mc:AlternateContent>
          <mc:Choice Requires="wps">
            <w:drawing>
              <wp:inline distT="0" distB="0" distL="0" distR="0" wp14:anchorId="28B174D4" wp14:editId="3ADBA077">
                <wp:extent cx="5489575" cy="5924550"/>
                <wp:effectExtent l="0" t="0" r="0" b="0"/>
                <wp:docPr id="531754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5924550"/>
                        </a:xfrm>
                        <a:prstGeom prst="rect">
                          <a:avLst/>
                        </a:prstGeom>
                        <a:solidFill>
                          <a:schemeClr val="accent5">
                            <a:lumMod val="40000"/>
                            <a:lumOff val="60000"/>
                          </a:schemeClr>
                        </a:solidFill>
                        <a:ln w="9525">
                          <a:noFill/>
                          <a:miter lim="800000"/>
                          <a:headEnd/>
                          <a:tailEnd/>
                        </a:ln>
                      </wps:spPr>
                      <wps:txbx>
                        <w:txbxContent>
                          <w:p w14:paraId="3C311FD2" w14:textId="77777777" w:rsidR="004A5EF4" w:rsidRPr="00A57E29" w:rsidRDefault="004A5EF4" w:rsidP="00843CBB">
                            <w:pPr>
                              <w:pStyle w:val="DCSbodytext"/>
                              <w:ind w:left="0"/>
                              <w:jc w:val="center"/>
                              <w:rPr>
                                <w:rStyle w:val="Hyperlink"/>
                                <w:rFonts w:ascii="Times New Roman" w:hAnsi="Times New Roman"/>
                                <w:b/>
                                <w:color w:val="auto"/>
                                <w:sz w:val="24"/>
                                <w:u w:val="none"/>
                                <w:lang w:eastAsia="en-AU"/>
                              </w:rPr>
                            </w:pPr>
                            <w:r>
                              <w:rPr>
                                <w:b/>
                              </w:rPr>
                              <w:t>Best practice considerations at this stage in a project</w:t>
                            </w:r>
                          </w:p>
                          <w:p w14:paraId="439E7EBA" w14:textId="77777777" w:rsidR="004A5EF4" w:rsidRDefault="004A5EF4" w:rsidP="00843CBB">
                            <w:pPr>
                              <w:pStyle w:val="DCSbodytext"/>
                              <w:numPr>
                                <w:ilvl w:val="0"/>
                                <w:numId w:val="166"/>
                              </w:numPr>
                            </w:pPr>
                            <w:r>
                              <w:t>What have you learnt from using IoT? What will you do differently next time?</w:t>
                            </w:r>
                            <w:r w:rsidRPr="00D43366">
                              <w:t xml:space="preserve"> </w:t>
                            </w:r>
                          </w:p>
                          <w:p w14:paraId="32706B54" w14:textId="77777777" w:rsidR="004A5EF4" w:rsidRDefault="004A5EF4" w:rsidP="00843CBB">
                            <w:pPr>
                              <w:pStyle w:val="DCSbodytext"/>
                              <w:numPr>
                                <w:ilvl w:val="0"/>
                                <w:numId w:val="166"/>
                              </w:numPr>
                            </w:pPr>
                            <w:r>
                              <w:t xml:space="preserve">Have you begun to realise the benefits of IoT? </w:t>
                            </w:r>
                          </w:p>
                          <w:p w14:paraId="1DD2537A" w14:textId="77777777" w:rsidR="004A5EF4" w:rsidRDefault="004A5EF4" w:rsidP="00843CBB">
                            <w:pPr>
                              <w:pStyle w:val="DCSbodytext"/>
                              <w:numPr>
                                <w:ilvl w:val="0"/>
                                <w:numId w:val="166"/>
                              </w:numPr>
                            </w:pPr>
                            <w:r>
                              <w:t>Will you change your business practices? What new things or ways of working will you implement?</w:t>
                            </w:r>
                          </w:p>
                          <w:p w14:paraId="28D9409F" w14:textId="77777777" w:rsidR="004A5EF4" w:rsidRDefault="004A5EF4" w:rsidP="00843CBB">
                            <w:pPr>
                              <w:pStyle w:val="DCSbodytext"/>
                              <w:numPr>
                                <w:ilvl w:val="0"/>
                                <w:numId w:val="166"/>
                              </w:numPr>
                            </w:pPr>
                            <w:r w:rsidRPr="002261C3">
                              <w:rPr>
                                <w:lang w:val="en-GB"/>
                              </w:rPr>
                              <w:t>Is the business case still valid?</w:t>
                            </w:r>
                          </w:p>
                          <w:p w14:paraId="3190CA50" w14:textId="77777777" w:rsidR="004A5EF4" w:rsidRPr="0073187B" w:rsidRDefault="004A5EF4" w:rsidP="00843CBB">
                            <w:pPr>
                              <w:pStyle w:val="DCSbodytext"/>
                              <w:numPr>
                                <w:ilvl w:val="0"/>
                                <w:numId w:val="166"/>
                              </w:numPr>
                            </w:pPr>
                            <w:r w:rsidRPr="006C04EE">
                              <w:rPr>
                                <w:lang w:val="en-GB"/>
                              </w:rPr>
                              <w:t>To what extent was the entirety of the intended scope delivered and is there any further scope required to support the achievement of the service need?</w:t>
                            </w:r>
                          </w:p>
                          <w:p w14:paraId="1AAE1B88" w14:textId="77777777" w:rsidR="004A5EF4" w:rsidRDefault="004A5EF4" w:rsidP="00843CBB">
                            <w:pPr>
                              <w:pStyle w:val="DCSbodytext"/>
                              <w:numPr>
                                <w:ilvl w:val="0"/>
                                <w:numId w:val="166"/>
                              </w:numPr>
                            </w:pPr>
                            <w:r w:rsidRPr="000F1029">
                              <w:t>Has there been a review of how well the project was managed?</w:t>
                            </w:r>
                          </w:p>
                          <w:p w14:paraId="2462FA4A" w14:textId="77777777" w:rsidR="004A5EF4" w:rsidRDefault="004A5EF4" w:rsidP="00843CBB">
                            <w:pPr>
                              <w:pStyle w:val="DCSbodytext"/>
                              <w:numPr>
                                <w:ilvl w:val="0"/>
                                <w:numId w:val="166"/>
                              </w:numPr>
                            </w:pPr>
                            <w:r w:rsidRPr="00456C0F">
                              <w:t>Are the user</w:t>
                            </w:r>
                            <w:r>
                              <w:t xml:space="preserve"> needs</w:t>
                            </w:r>
                            <w:r w:rsidRPr="00456C0F">
                              <w:t xml:space="preserve"> and business needs </w:t>
                            </w:r>
                            <w:r>
                              <w:t xml:space="preserve">being </w:t>
                            </w:r>
                            <w:r w:rsidRPr="00456C0F">
                              <w:t>reviewed and</w:t>
                            </w:r>
                            <w:r>
                              <w:t xml:space="preserve"> the</w:t>
                            </w:r>
                            <w:r w:rsidRPr="00456C0F">
                              <w:t xml:space="preserve"> benefits </w:t>
                            </w:r>
                            <w:r>
                              <w:t xml:space="preserve">being </w:t>
                            </w:r>
                            <w:r w:rsidRPr="00456C0F">
                              <w:t>tracked?</w:t>
                            </w:r>
                          </w:p>
                          <w:p w14:paraId="0428A01C" w14:textId="77777777" w:rsidR="004A5EF4" w:rsidRPr="006C04EE" w:rsidRDefault="004A5EF4" w:rsidP="00843CBB">
                            <w:pPr>
                              <w:pStyle w:val="DCSbodytext"/>
                              <w:numPr>
                                <w:ilvl w:val="0"/>
                                <w:numId w:val="166"/>
                              </w:numPr>
                            </w:pPr>
                            <w:r w:rsidRPr="00B20FF1">
                              <w:rPr>
                                <w:lang w:val="en-GB"/>
                              </w:rPr>
                              <w:t>What evidence shows the required systems changes/transformation (technology, interoperability, processes or procedures) have been fully implemented and successfully contributed to the realisation of benefits?</w:t>
                            </w:r>
                          </w:p>
                          <w:p w14:paraId="259300A1" w14:textId="77777777" w:rsidR="004A5EF4" w:rsidRPr="002261C3" w:rsidRDefault="004A5EF4" w:rsidP="00843CBB">
                            <w:pPr>
                              <w:pStyle w:val="DCSbodytext"/>
                              <w:numPr>
                                <w:ilvl w:val="0"/>
                                <w:numId w:val="166"/>
                              </w:numPr>
                            </w:pPr>
                            <w:r w:rsidRPr="00B311F0">
                              <w:rPr>
                                <w:lang w:val="en-GB"/>
                              </w:rPr>
                              <w:t>Is the project still aligned with government priorities and service need? If circumstances have changed</w:t>
                            </w:r>
                            <w:r>
                              <w:rPr>
                                <w:lang w:val="en-GB"/>
                              </w:rPr>
                              <w:t>,</w:t>
                            </w:r>
                            <w:r w:rsidRPr="00B311F0">
                              <w:rPr>
                                <w:lang w:val="en-GB"/>
                              </w:rPr>
                              <w:t xml:space="preserve"> what is being done to ensure that the </w:t>
                            </w:r>
                            <w:r>
                              <w:rPr>
                                <w:lang w:val="en-GB"/>
                              </w:rPr>
                              <w:t>project</w:t>
                            </w:r>
                            <w:r w:rsidRPr="00B311F0">
                              <w:rPr>
                                <w:lang w:val="en-GB"/>
                              </w:rPr>
                              <w:t xml:space="preserve"> realigns to current government priorities/service need?</w:t>
                            </w:r>
                          </w:p>
                          <w:p w14:paraId="138BEBA5" w14:textId="77777777" w:rsidR="004A5EF4" w:rsidRPr="00F33137" w:rsidRDefault="004A5EF4" w:rsidP="00843CBB">
                            <w:pPr>
                              <w:pStyle w:val="DCSbodytext"/>
                              <w:numPr>
                                <w:ilvl w:val="0"/>
                                <w:numId w:val="166"/>
                              </w:numPr>
                            </w:pPr>
                            <w:r w:rsidRPr="004B53FE">
                              <w:rPr>
                                <w:lang w:val="en-GB"/>
                              </w:rPr>
                              <w:t xml:space="preserve">Are there opportunities in operations to enhance sustainability across the social, environmental and economic </w:t>
                            </w:r>
                            <w:r>
                              <w:rPr>
                                <w:lang w:val="en-GB"/>
                              </w:rPr>
                              <w:t>domains</w:t>
                            </w:r>
                            <w:r w:rsidRPr="004B53FE">
                              <w:rPr>
                                <w:lang w:val="en-GB"/>
                              </w:rPr>
                              <w:t>?</w:t>
                            </w:r>
                          </w:p>
                          <w:p w14:paraId="79DBD388" w14:textId="77777777" w:rsidR="004A5EF4" w:rsidRPr="0008760A" w:rsidRDefault="004A5EF4" w:rsidP="00843CBB">
                            <w:pPr>
                              <w:pStyle w:val="DCSbodytext"/>
                              <w:numPr>
                                <w:ilvl w:val="0"/>
                                <w:numId w:val="166"/>
                              </w:numPr>
                            </w:pPr>
                            <w:r w:rsidRPr="00423DF8">
                              <w:rPr>
                                <w:lang w:val="en-GB"/>
                              </w:rPr>
                              <w:t>What are the lessons learned to improve future projects, and are they being proactively collected, documented and shared to facilitate knowledge transfer?</w:t>
                            </w:r>
                          </w:p>
                        </w:txbxContent>
                      </wps:txbx>
                      <wps:bodyPr rot="0" vert="horz" wrap="square" lIns="91440" tIns="45720" rIns="91440" bIns="45720" anchor="t" anchorCtr="0">
                        <a:noAutofit/>
                      </wps:bodyPr>
                    </wps:wsp>
                  </a:graphicData>
                </a:graphic>
              </wp:inline>
            </w:drawing>
          </mc:Choice>
          <mc:Fallback>
            <w:pict>
              <v:shape w14:anchorId="28B174D4" id="_x0000_s1044" type="#_x0000_t202" style="width:432.25pt;height:4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" fillcolor="#b6dde8 [1304]" stroked="f">
                <v:textbox>
                  <w:txbxContent>
                    <w:p w14:paraId="3C311FD2" w14:textId="77777777" w:rsidR="004A5EF4" w:rsidRPr="00A57E29" w:rsidRDefault="004A5EF4" w:rsidP="00843CBB">
                      <w:pPr>
                        <w:pStyle w:val="DCSbodytext"/>
                        <w:ind w:left="0"/>
                        <w:jc w:val="center"/>
                        <w:rPr>
                          <w:rStyle w:val="Hyperlink"/>
                          <w:rFonts w:ascii="Times New Roman" w:hAnsi="Times New Roman"/>
                          <w:b/>
                          <w:color w:val="auto"/>
                          <w:sz w:val="24"/>
                          <w:u w:val="none"/>
                          <w:lang w:eastAsia="en-AU"/>
                        </w:rPr>
                      </w:pPr>
                      <w:r>
                        <w:rPr>
                          <w:b/>
                        </w:rPr>
                        <w:t>Best practice considerations at this stage in a project</w:t>
                      </w:r>
                    </w:p>
                    <w:p w14:paraId="439E7EBA" w14:textId="77777777" w:rsidR="004A5EF4" w:rsidRDefault="004A5EF4" w:rsidP="00843CBB">
                      <w:pPr>
                        <w:pStyle w:val="DCSbodytext"/>
                        <w:numPr>
                          <w:ilvl w:val="0"/>
                          <w:numId w:val="166"/>
                        </w:numPr>
                      </w:pPr>
                      <w:r>
                        <w:t>What have you learnt from using IoT? What will you do differently next time?</w:t>
                      </w:r>
                      <w:r w:rsidRPr="00D43366">
                        <w:t xml:space="preserve"> </w:t>
                      </w:r>
                    </w:p>
                    <w:p w14:paraId="32706B54" w14:textId="77777777" w:rsidR="004A5EF4" w:rsidRDefault="004A5EF4" w:rsidP="00843CBB">
                      <w:pPr>
                        <w:pStyle w:val="DCSbodytext"/>
                        <w:numPr>
                          <w:ilvl w:val="0"/>
                          <w:numId w:val="166"/>
                        </w:numPr>
                      </w:pPr>
                      <w:r>
                        <w:t xml:space="preserve">Have you begun to realise the benefits of IoT? </w:t>
                      </w:r>
                    </w:p>
                    <w:p w14:paraId="1DD2537A" w14:textId="77777777" w:rsidR="004A5EF4" w:rsidRDefault="004A5EF4" w:rsidP="00843CBB">
                      <w:pPr>
                        <w:pStyle w:val="DCSbodytext"/>
                        <w:numPr>
                          <w:ilvl w:val="0"/>
                          <w:numId w:val="166"/>
                        </w:numPr>
                      </w:pPr>
                      <w:r>
                        <w:t>Will you change your business practices? What new things or ways of working will you implement?</w:t>
                      </w:r>
                    </w:p>
                    <w:p w14:paraId="28D9409F" w14:textId="77777777" w:rsidR="004A5EF4" w:rsidRDefault="004A5EF4" w:rsidP="00843CBB">
                      <w:pPr>
                        <w:pStyle w:val="DCSbodytext"/>
                        <w:numPr>
                          <w:ilvl w:val="0"/>
                          <w:numId w:val="166"/>
                        </w:numPr>
                      </w:pPr>
                      <w:r w:rsidRPr="002261C3">
                        <w:rPr>
                          <w:lang w:val="en-GB"/>
                        </w:rPr>
                        <w:t>Is the business case still valid?</w:t>
                      </w:r>
                    </w:p>
                    <w:p w14:paraId="3190CA50" w14:textId="77777777" w:rsidR="004A5EF4" w:rsidRPr="0073187B" w:rsidRDefault="004A5EF4" w:rsidP="00843CBB">
                      <w:pPr>
                        <w:pStyle w:val="DCSbodytext"/>
                        <w:numPr>
                          <w:ilvl w:val="0"/>
                          <w:numId w:val="166"/>
                        </w:numPr>
                      </w:pPr>
                      <w:r w:rsidRPr="006C04EE">
                        <w:rPr>
                          <w:lang w:val="en-GB"/>
                        </w:rPr>
                        <w:t>To what extent was the entirety of the intended scope delivered and is there any further scope required to support the achievement of the service need?</w:t>
                      </w:r>
                    </w:p>
                    <w:p w14:paraId="1AAE1B88" w14:textId="77777777" w:rsidR="004A5EF4" w:rsidRDefault="004A5EF4" w:rsidP="00843CBB">
                      <w:pPr>
                        <w:pStyle w:val="DCSbodytext"/>
                        <w:numPr>
                          <w:ilvl w:val="0"/>
                          <w:numId w:val="166"/>
                        </w:numPr>
                      </w:pPr>
                      <w:r w:rsidRPr="000F1029">
                        <w:t>Has there been a review of how well the project was managed?</w:t>
                      </w:r>
                    </w:p>
                    <w:p w14:paraId="2462FA4A" w14:textId="77777777" w:rsidR="004A5EF4" w:rsidRDefault="004A5EF4" w:rsidP="00843CBB">
                      <w:pPr>
                        <w:pStyle w:val="DCSbodytext"/>
                        <w:numPr>
                          <w:ilvl w:val="0"/>
                          <w:numId w:val="166"/>
                        </w:numPr>
                      </w:pPr>
                      <w:r w:rsidRPr="00456C0F">
                        <w:t>Are the user</w:t>
                      </w:r>
                      <w:r>
                        <w:t xml:space="preserve"> needs</w:t>
                      </w:r>
                      <w:r w:rsidRPr="00456C0F">
                        <w:t xml:space="preserve"> and business needs </w:t>
                      </w:r>
                      <w:r>
                        <w:t xml:space="preserve">being </w:t>
                      </w:r>
                      <w:r w:rsidRPr="00456C0F">
                        <w:t>reviewed and</w:t>
                      </w:r>
                      <w:r>
                        <w:t xml:space="preserve"> the</w:t>
                      </w:r>
                      <w:r w:rsidRPr="00456C0F">
                        <w:t xml:space="preserve"> benefits </w:t>
                      </w:r>
                      <w:r>
                        <w:t xml:space="preserve">being </w:t>
                      </w:r>
                      <w:r w:rsidRPr="00456C0F">
                        <w:t>tracked?</w:t>
                      </w:r>
                    </w:p>
                    <w:p w14:paraId="0428A01C" w14:textId="77777777" w:rsidR="004A5EF4" w:rsidRPr="006C04EE" w:rsidRDefault="004A5EF4" w:rsidP="00843CBB">
                      <w:pPr>
                        <w:pStyle w:val="DCSbodytext"/>
                        <w:numPr>
                          <w:ilvl w:val="0"/>
                          <w:numId w:val="166"/>
                        </w:numPr>
                      </w:pPr>
                      <w:r w:rsidRPr="00B20FF1">
                        <w:rPr>
                          <w:lang w:val="en-GB"/>
                        </w:rPr>
                        <w:t>What evidence shows the required systems changes/transformation (technology, interoperability, processes or procedures) have been fully implemented and successfully contributed to the realisation of benefits?</w:t>
                      </w:r>
                    </w:p>
                    <w:p w14:paraId="259300A1" w14:textId="77777777" w:rsidR="004A5EF4" w:rsidRPr="002261C3" w:rsidRDefault="004A5EF4" w:rsidP="00843CBB">
                      <w:pPr>
                        <w:pStyle w:val="DCSbodytext"/>
                        <w:numPr>
                          <w:ilvl w:val="0"/>
                          <w:numId w:val="166"/>
                        </w:numPr>
                      </w:pPr>
                      <w:r w:rsidRPr="00B311F0">
                        <w:rPr>
                          <w:lang w:val="en-GB"/>
                        </w:rPr>
                        <w:t>Is the project still aligned with government priorities and service need? If circumstances have changed</w:t>
                      </w:r>
                      <w:r>
                        <w:rPr>
                          <w:lang w:val="en-GB"/>
                        </w:rPr>
                        <w:t>,</w:t>
                      </w:r>
                      <w:r w:rsidRPr="00B311F0">
                        <w:rPr>
                          <w:lang w:val="en-GB"/>
                        </w:rPr>
                        <w:t xml:space="preserve"> what is being done to ensure that the </w:t>
                      </w:r>
                      <w:r>
                        <w:rPr>
                          <w:lang w:val="en-GB"/>
                        </w:rPr>
                        <w:t>project</w:t>
                      </w:r>
                      <w:r w:rsidRPr="00B311F0">
                        <w:rPr>
                          <w:lang w:val="en-GB"/>
                        </w:rPr>
                        <w:t xml:space="preserve"> realigns to current government priorities/service need?</w:t>
                      </w:r>
                    </w:p>
                    <w:p w14:paraId="138BEBA5" w14:textId="77777777" w:rsidR="004A5EF4" w:rsidRPr="00F33137" w:rsidRDefault="004A5EF4" w:rsidP="00843CBB">
                      <w:pPr>
                        <w:pStyle w:val="DCSbodytext"/>
                        <w:numPr>
                          <w:ilvl w:val="0"/>
                          <w:numId w:val="166"/>
                        </w:numPr>
                      </w:pPr>
                      <w:r w:rsidRPr="004B53FE">
                        <w:rPr>
                          <w:lang w:val="en-GB"/>
                        </w:rPr>
                        <w:t xml:space="preserve">Are there opportunities in operations to enhance sustainability across the social, environmental and economic </w:t>
                      </w:r>
                      <w:r>
                        <w:rPr>
                          <w:lang w:val="en-GB"/>
                        </w:rPr>
                        <w:t>domains</w:t>
                      </w:r>
                      <w:r w:rsidRPr="004B53FE">
                        <w:rPr>
                          <w:lang w:val="en-GB"/>
                        </w:rPr>
                        <w:t>?</w:t>
                      </w:r>
                    </w:p>
                    <w:p w14:paraId="79DBD388" w14:textId="77777777" w:rsidR="004A5EF4" w:rsidRPr="0008760A" w:rsidRDefault="004A5EF4" w:rsidP="00843CBB">
                      <w:pPr>
                        <w:pStyle w:val="DCSbodytext"/>
                        <w:numPr>
                          <w:ilvl w:val="0"/>
                          <w:numId w:val="166"/>
                        </w:numPr>
                      </w:pPr>
                      <w:r w:rsidRPr="00423DF8">
                        <w:rPr>
                          <w:lang w:val="en-GB"/>
                        </w:rPr>
                        <w:t>What are the lessons learned to improve future projects, and are they being proactively collected, documented and shared to facilitate knowledge transfer?</w:t>
                      </w:r>
                    </w:p>
                  </w:txbxContent>
                </v:textbox>
                <w10:anchorlock/>
              </v:shape>
            </w:pict>
          </mc:Fallback>
        </mc:AlternateContent>
      </w:r>
      <w:bookmarkEnd w:id="1890"/>
    </w:p>
    <w:p w14:paraId="4DF7A99C" w14:textId="6CCF58F5" w:rsidR="008C08C8" w:rsidRPr="00AC41E0" w:rsidRDefault="008C08C8" w:rsidP="00F33137">
      <w:pPr>
        <w:pStyle w:val="DCSbodytext"/>
        <w:spacing w:after="0"/>
        <w:rPr>
          <w:lang w:eastAsia="en-AU"/>
        </w:rPr>
      </w:pPr>
    </w:p>
    <w:p w14:paraId="709EAEF1" w14:textId="77777777" w:rsidR="001D3817" w:rsidRPr="00AC41E0" w:rsidRDefault="001D3817" w:rsidP="00885658">
      <w:pPr>
        <w:pStyle w:val="Heading2"/>
        <w:rPr>
          <w:rFonts w:ascii="Arial" w:hAnsi="Arial"/>
        </w:rPr>
        <w:sectPr w:rsidR="001D3817" w:rsidRPr="00AC41E0" w:rsidSect="00C6007D">
          <w:pgSz w:w="11906" w:h="16838"/>
          <w:pgMar w:top="1418" w:right="1134" w:bottom="1134" w:left="1134" w:header="851" w:footer="425" w:gutter="0"/>
          <w:cols w:space="708"/>
          <w:titlePg/>
          <w:docGrid w:linePitch="360"/>
        </w:sectPr>
      </w:pPr>
      <w:bookmarkStart w:id="1891" w:name="_Evaluation"/>
      <w:bookmarkEnd w:id="1891"/>
    </w:p>
    <w:p w14:paraId="488222F0" w14:textId="5E976230" w:rsidR="0006620D" w:rsidRPr="00AC41E0" w:rsidRDefault="000B5D8F" w:rsidP="0001742D">
      <w:pPr>
        <w:pStyle w:val="Heading2"/>
        <w:tabs>
          <w:tab w:val="clear" w:pos="5188"/>
          <w:tab w:val="num" w:pos="794"/>
        </w:tabs>
        <w:ind w:left="851"/>
        <w:rPr>
          <w:rFonts w:ascii="Arial" w:hAnsi="Arial"/>
        </w:rPr>
      </w:pPr>
      <w:bookmarkStart w:id="1892" w:name="_Evaluation_1"/>
      <w:bookmarkStart w:id="1893" w:name="_Toc65760599"/>
      <w:bookmarkEnd w:id="1892"/>
      <w:r w:rsidRPr="00E46FB0">
        <w:rPr>
          <w:rFonts w:ascii="Arial" w:hAnsi="Arial"/>
        </w:rPr>
        <w:lastRenderedPageBreak/>
        <w:t>Evaluation</w:t>
      </w:r>
      <w:bookmarkEnd w:id="1893"/>
    </w:p>
    <w:p w14:paraId="4CB1D9D5" w14:textId="6CF14F52" w:rsidR="00545316" w:rsidRPr="00AC41E0" w:rsidRDefault="00301B21" w:rsidP="00301B21">
      <w:pPr>
        <w:pStyle w:val="DCSbodytext"/>
      </w:pPr>
      <w:bookmarkStart w:id="1894" w:name="_Toc14686360"/>
      <w:bookmarkStart w:id="1895" w:name="_Toc14690099"/>
      <w:bookmarkStart w:id="1896" w:name="_Toc14692064"/>
      <w:bookmarkStart w:id="1897" w:name="_Toc14694137"/>
      <w:bookmarkStart w:id="1898" w:name="_Toc14694284"/>
      <w:bookmarkStart w:id="1899" w:name="_Toc14695856"/>
      <w:bookmarkStart w:id="1900" w:name="_Toc14701074"/>
      <w:bookmarkStart w:id="1901" w:name="_Toc14703050"/>
      <w:bookmarkStart w:id="1902" w:name="_Toc14709925"/>
      <w:bookmarkStart w:id="1903" w:name="_Toc14768791"/>
      <w:bookmarkStart w:id="1904" w:name="_Toc14771247"/>
      <w:bookmarkStart w:id="1905" w:name="_Toc14771430"/>
      <w:bookmarkStart w:id="1906" w:name="_Toc14771814"/>
      <w:bookmarkStart w:id="1907" w:name="_Toc14772024"/>
      <w:bookmarkStart w:id="1908" w:name="_Toc14774609"/>
      <w:bookmarkStart w:id="1909" w:name="_Toc14775673"/>
      <w:bookmarkStart w:id="1910" w:name="_Toc14775836"/>
      <w:bookmarkStart w:id="1911" w:name="_Toc14776430"/>
      <w:bookmarkStart w:id="1912" w:name="_Toc14778031"/>
      <w:bookmarkStart w:id="1913" w:name="_Toc14778177"/>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r w:rsidRPr="00AC41E0">
        <w:t xml:space="preserve">Learning from your project and </w:t>
      </w:r>
      <w:r w:rsidR="009C4DEF" w:rsidRPr="00AC41E0">
        <w:t>applying</w:t>
      </w:r>
      <w:r w:rsidRPr="00AC41E0">
        <w:t xml:space="preserve"> </w:t>
      </w:r>
      <w:r w:rsidR="002B7399" w:rsidRPr="00AC41E0">
        <w:t>the lessons in</w:t>
      </w:r>
      <w:r w:rsidRPr="00AC41E0">
        <w:t xml:space="preserve"> your next IoT-enabled project is critical. This chapter provides you with practical steps on how to evaluate your project, </w:t>
      </w:r>
      <w:r w:rsidR="00F5249F" w:rsidRPr="00AC41E0">
        <w:t>asses</w:t>
      </w:r>
      <w:r w:rsidR="00A70E64" w:rsidRPr="00AC41E0">
        <w:t>s</w:t>
      </w:r>
      <w:r w:rsidR="00F5249F" w:rsidRPr="00AC41E0">
        <w:t xml:space="preserve"> </w:t>
      </w:r>
      <w:r w:rsidRPr="00AC41E0">
        <w:t>whether it has met or exceeded its economic evaluations</w:t>
      </w:r>
      <w:r w:rsidR="00774FC0" w:rsidRPr="00AC41E0">
        <w:t>. It also contains</w:t>
      </w:r>
      <w:r w:rsidRPr="00AC41E0">
        <w:t xml:space="preserve"> </w:t>
      </w:r>
      <w:r w:rsidR="00425ECF" w:rsidRPr="00AC41E0">
        <w:t xml:space="preserve">useful </w:t>
      </w:r>
      <w:r w:rsidRPr="00AC41E0">
        <w:t>evaluation resources.</w:t>
      </w:r>
    </w:p>
    <w:p w14:paraId="4CA102CE" w14:textId="6663EA56" w:rsidR="00340975" w:rsidRPr="00AC41E0" w:rsidRDefault="00AC78AE" w:rsidP="00340975">
      <w:pPr>
        <w:pStyle w:val="Heading3"/>
        <w:rPr>
          <w:rFonts w:ascii="Arial" w:hAnsi="Arial"/>
        </w:rPr>
      </w:pPr>
      <w:bookmarkStart w:id="1914" w:name="_Toc65760600"/>
      <w:r w:rsidRPr="00AC41E0">
        <w:rPr>
          <w:rFonts w:ascii="Arial" w:hAnsi="Arial"/>
        </w:rPr>
        <w:t>Why is e</w:t>
      </w:r>
      <w:r w:rsidR="00340975" w:rsidRPr="00AC41E0">
        <w:rPr>
          <w:rFonts w:ascii="Arial" w:hAnsi="Arial"/>
        </w:rPr>
        <w:t xml:space="preserve">valuation </w:t>
      </w:r>
      <w:r w:rsidR="0016072B" w:rsidRPr="00AC41E0">
        <w:rPr>
          <w:rFonts w:ascii="Arial" w:hAnsi="Arial"/>
        </w:rPr>
        <w:t xml:space="preserve">important </w:t>
      </w:r>
      <w:r w:rsidR="00340975" w:rsidRPr="00AC41E0">
        <w:rPr>
          <w:rFonts w:ascii="Arial" w:hAnsi="Arial"/>
        </w:rPr>
        <w:t>for IoT-enabled projects?</w:t>
      </w:r>
      <w:bookmarkEnd w:id="1914"/>
    </w:p>
    <w:p w14:paraId="707AB068" w14:textId="77777777" w:rsidR="00EC42A7" w:rsidRPr="00AC41E0" w:rsidRDefault="00340975" w:rsidP="00340975">
      <w:pPr>
        <w:pStyle w:val="DCSbodytext"/>
      </w:pPr>
      <w:r w:rsidRPr="00AC41E0">
        <w:t xml:space="preserve">Evaluation is the assessment of a program, process, project, product </w:t>
      </w:r>
      <w:r w:rsidR="00A70E64" w:rsidRPr="00AC41E0">
        <w:t>or similar</w:t>
      </w:r>
      <w:r w:rsidRPr="00AC41E0">
        <w:t xml:space="preserve"> (referred to as ‘</w:t>
      </w:r>
      <w:r w:rsidR="002F4D5C" w:rsidRPr="00AC41E0">
        <w:t>project’</w:t>
      </w:r>
      <w:r w:rsidRPr="00AC41E0">
        <w:t xml:space="preserve"> for the purpose</w:t>
      </w:r>
      <w:r w:rsidR="00E57EC3" w:rsidRPr="00AC41E0">
        <w:t>s</w:t>
      </w:r>
      <w:r w:rsidRPr="00AC41E0">
        <w:t xml:space="preserve"> of this </w:t>
      </w:r>
      <w:r w:rsidR="00A70E64" w:rsidRPr="00AC41E0">
        <w:t>chapter</w:t>
      </w:r>
      <w:r w:rsidRPr="00AC41E0">
        <w:t xml:space="preserve">) to judge its effectiveness, efficiency, appropriateness, and sustainability. </w:t>
      </w:r>
    </w:p>
    <w:p w14:paraId="1BF31C3C" w14:textId="053BF3CB" w:rsidR="00340975" w:rsidRPr="00AC41E0" w:rsidRDefault="00157D83" w:rsidP="00340975">
      <w:pPr>
        <w:pStyle w:val="DCSbodytext"/>
      </w:pPr>
      <w:r w:rsidRPr="00AC41E0">
        <w:t>Evaluation</w:t>
      </w:r>
      <w:r w:rsidR="00340975" w:rsidRPr="00AC41E0">
        <w:t xml:space="preserve"> plays a key role in supporting </w:t>
      </w:r>
      <w:r w:rsidR="00A022C7" w:rsidRPr="00AC41E0">
        <w:t xml:space="preserve">project </w:t>
      </w:r>
      <w:r w:rsidR="00340975" w:rsidRPr="00AC41E0">
        <w:t xml:space="preserve">decision making by helping </w:t>
      </w:r>
      <w:r w:rsidRPr="00AC41E0">
        <w:t>you to</w:t>
      </w:r>
      <w:r w:rsidR="00340975" w:rsidRPr="00AC41E0">
        <w:t xml:space="preserve"> understand whether a </w:t>
      </w:r>
      <w:r w:rsidR="00A022C7" w:rsidRPr="00AC41E0">
        <w:t xml:space="preserve">project </w:t>
      </w:r>
      <w:r w:rsidR="00340975" w:rsidRPr="00AC41E0">
        <w:t>is working</w:t>
      </w:r>
      <w:r w:rsidRPr="00AC41E0">
        <w:t xml:space="preserve"> or not</w:t>
      </w:r>
      <w:r w:rsidR="00340975" w:rsidRPr="00AC41E0">
        <w:t xml:space="preserve">, in what context, </w:t>
      </w:r>
      <w:r w:rsidRPr="00AC41E0">
        <w:t>and why</w:t>
      </w:r>
      <w:r w:rsidR="00340975" w:rsidRPr="00AC41E0">
        <w:t xml:space="preserve">. </w:t>
      </w:r>
    </w:p>
    <w:p w14:paraId="588EF5FF" w14:textId="7B12D641" w:rsidR="00340975" w:rsidRPr="00AC41E0" w:rsidRDefault="00340975" w:rsidP="00677BF6">
      <w:pPr>
        <w:pStyle w:val="DCSbodytext"/>
        <w:spacing w:after="120"/>
      </w:pPr>
      <w:r w:rsidRPr="00AC41E0">
        <w:t xml:space="preserve">Evaluation is particularly important for </w:t>
      </w:r>
      <w:r w:rsidR="003D5E9D" w:rsidRPr="00AC41E0">
        <w:t>IoT-enabled project</w:t>
      </w:r>
      <w:r w:rsidRPr="00AC41E0">
        <w:t xml:space="preserve">s because the technology is so new and processes of designing and implementing solutions are relatively untested. </w:t>
      </w:r>
      <w:r w:rsidR="00157D83" w:rsidRPr="00AC41E0">
        <w:t>Evaluation</w:t>
      </w:r>
      <w:r w:rsidRPr="00AC41E0">
        <w:t xml:space="preserve"> findings can be used to:</w:t>
      </w:r>
    </w:p>
    <w:p w14:paraId="7F802D6C" w14:textId="497B8181" w:rsidR="00340975" w:rsidRPr="00AC41E0" w:rsidRDefault="00340975" w:rsidP="00003096">
      <w:pPr>
        <w:pStyle w:val="DCSbodytext"/>
        <w:numPr>
          <w:ilvl w:val="1"/>
          <w:numId w:val="120"/>
        </w:numPr>
        <w:spacing w:after="120"/>
        <w:ind w:left="1276" w:hanging="425"/>
      </w:pPr>
      <w:r w:rsidRPr="00AC41E0">
        <w:t xml:space="preserve">identify areas to improve the </w:t>
      </w:r>
      <w:r w:rsidR="00E57EC3" w:rsidRPr="00AC41E0">
        <w:t>project</w:t>
      </w:r>
      <w:r w:rsidRPr="00AC41E0">
        <w:t xml:space="preserve"> </w:t>
      </w:r>
    </w:p>
    <w:p w14:paraId="735B76C0" w14:textId="4DFEFF68" w:rsidR="00340975" w:rsidRPr="00AC41E0" w:rsidRDefault="00340975" w:rsidP="00003096">
      <w:pPr>
        <w:pStyle w:val="DCSbodytext"/>
        <w:numPr>
          <w:ilvl w:val="1"/>
          <w:numId w:val="120"/>
        </w:numPr>
        <w:spacing w:after="120"/>
        <w:ind w:left="1276" w:hanging="425"/>
      </w:pPr>
      <w:r w:rsidRPr="00AC41E0">
        <w:t xml:space="preserve">justify the continuation or discontinuation of a </w:t>
      </w:r>
      <w:r w:rsidR="00E57EC3" w:rsidRPr="00AC41E0">
        <w:t>project</w:t>
      </w:r>
    </w:p>
    <w:p w14:paraId="16E7A0F5" w14:textId="0AF23478" w:rsidR="00340975" w:rsidRPr="00AC41E0" w:rsidRDefault="00340975" w:rsidP="00003096">
      <w:pPr>
        <w:pStyle w:val="DCSbodytext"/>
        <w:numPr>
          <w:ilvl w:val="1"/>
          <w:numId w:val="120"/>
        </w:numPr>
        <w:ind w:left="1276" w:hanging="425"/>
      </w:pPr>
      <w:r w:rsidRPr="00AC41E0">
        <w:t xml:space="preserve">make a case for expansion of a project – this is important when evaluating a pilot or trial </w:t>
      </w:r>
      <w:r w:rsidR="003D5E9D" w:rsidRPr="00AC41E0">
        <w:t>IoT-enabled project</w:t>
      </w:r>
      <w:r w:rsidRPr="00AC41E0">
        <w:t xml:space="preserve"> to see if it </w:t>
      </w:r>
      <w:r w:rsidR="00A022C7" w:rsidRPr="00AC41E0">
        <w:t>should be expanded</w:t>
      </w:r>
      <w:r w:rsidR="00677BF6" w:rsidRPr="00AC41E0">
        <w:t>.</w:t>
      </w:r>
      <w:r w:rsidRPr="00AC41E0">
        <w:t xml:space="preserve"> </w:t>
      </w:r>
    </w:p>
    <w:p w14:paraId="217D8F0B" w14:textId="16B49B6E" w:rsidR="003E4C6C" w:rsidRPr="00AC41E0" w:rsidRDefault="003E4C6C">
      <w:pPr>
        <w:pStyle w:val="Heading3"/>
        <w:rPr>
          <w:rFonts w:ascii="Arial" w:hAnsi="Arial"/>
        </w:rPr>
      </w:pPr>
      <w:bookmarkStart w:id="1915" w:name="_Toc65760601"/>
      <w:r w:rsidRPr="00AC41E0">
        <w:rPr>
          <w:rFonts w:ascii="Arial" w:hAnsi="Arial"/>
        </w:rPr>
        <w:t>What to evaluate</w:t>
      </w:r>
      <w:bookmarkEnd w:id="1915"/>
    </w:p>
    <w:p w14:paraId="318DC68D" w14:textId="7609C401" w:rsidR="00234A41" w:rsidRPr="00AC41E0" w:rsidRDefault="001875F9" w:rsidP="00234A41">
      <w:pPr>
        <w:pStyle w:val="DCSbodytext"/>
      </w:pPr>
      <w:r w:rsidRPr="00AC41E0">
        <w:t>T</w:t>
      </w:r>
      <w:r w:rsidR="00234A41" w:rsidRPr="00AC41E0">
        <w:t xml:space="preserve">here are </w:t>
      </w:r>
      <w:r w:rsidRPr="00AC41E0">
        <w:t xml:space="preserve">often </w:t>
      </w:r>
      <w:r w:rsidR="00234A41" w:rsidRPr="00AC41E0">
        <w:t xml:space="preserve">three types of evaluation for a </w:t>
      </w:r>
      <w:r w:rsidR="00E57EC3" w:rsidRPr="00AC41E0">
        <w:t>project</w:t>
      </w:r>
      <w:r w:rsidR="00234A41" w:rsidRPr="00AC41E0">
        <w:t>: outcome evaluation, process evaluation</w:t>
      </w:r>
      <w:r w:rsidR="00DF7122" w:rsidRPr="00AC41E0">
        <w:t>,</w:t>
      </w:r>
      <w:r w:rsidR="00234A41" w:rsidRPr="00AC41E0">
        <w:t xml:space="preserve"> and economic evaluation. The type of evaluation conducted will determine the questions </w:t>
      </w:r>
      <w:r w:rsidR="00157D83" w:rsidRPr="00AC41E0">
        <w:t>you need to ask</w:t>
      </w:r>
      <w:r w:rsidR="00234A41" w:rsidRPr="00AC41E0">
        <w:t xml:space="preserve"> and the content </w:t>
      </w:r>
      <w:r w:rsidR="00157D83" w:rsidRPr="00AC41E0">
        <w:t xml:space="preserve">to </w:t>
      </w:r>
      <w:r w:rsidR="00234A41" w:rsidRPr="00AC41E0">
        <w:t>evaluate.</w:t>
      </w:r>
    </w:p>
    <w:p w14:paraId="2706DF2C" w14:textId="08D3A129" w:rsidR="00234A41" w:rsidRPr="00AC41E0" w:rsidRDefault="00234A41" w:rsidP="00234A41">
      <w:pPr>
        <w:pStyle w:val="DCSbodytext"/>
      </w:pPr>
      <w:r w:rsidRPr="00AC41E0">
        <w:t xml:space="preserve">All three types of evaluation are relevant for </w:t>
      </w:r>
      <w:r w:rsidR="003D5E9D" w:rsidRPr="00AC41E0">
        <w:t>IoT-enabled project</w:t>
      </w:r>
      <w:r w:rsidRPr="00AC41E0">
        <w:t>s, and the type</w:t>
      </w:r>
      <w:r w:rsidR="00157D83" w:rsidRPr="00AC41E0">
        <w:t>(s)</w:t>
      </w:r>
      <w:r w:rsidRPr="00AC41E0">
        <w:t xml:space="preserve"> you choose to conduct will depend on what you </w:t>
      </w:r>
      <w:r w:rsidR="008B5AFB" w:rsidRPr="00AC41E0">
        <w:t>want</w:t>
      </w:r>
      <w:r w:rsidRPr="00AC41E0">
        <w:t xml:space="preserve"> to discover and achieve through the evaluation. </w:t>
      </w:r>
      <w:r w:rsidR="00157D83" w:rsidRPr="00AC41E0">
        <w:t>They are explained below.</w:t>
      </w:r>
    </w:p>
    <w:p w14:paraId="68E56067" w14:textId="3A07965B" w:rsidR="003E4C6C" w:rsidRPr="00AC41E0" w:rsidRDefault="003E4C6C" w:rsidP="003E4C6C">
      <w:pPr>
        <w:pStyle w:val="Heading4"/>
        <w:rPr>
          <w:rFonts w:ascii="Arial" w:hAnsi="Arial"/>
        </w:rPr>
      </w:pPr>
      <w:r w:rsidRPr="00AC41E0">
        <w:rPr>
          <w:rFonts w:ascii="Arial" w:hAnsi="Arial"/>
        </w:rPr>
        <w:t>Outcome evaluation</w:t>
      </w:r>
    </w:p>
    <w:p w14:paraId="41A92188" w14:textId="6FB16042" w:rsidR="00F822BF" w:rsidRPr="00AC41E0" w:rsidRDefault="00F822BF" w:rsidP="00F822BF">
      <w:pPr>
        <w:pStyle w:val="DCSbodytext"/>
        <w:spacing w:after="120"/>
      </w:pPr>
      <w:r w:rsidRPr="00AC41E0">
        <w:t xml:space="preserve">An outcome evaluation seeks to verify a causal link between pre-defined </w:t>
      </w:r>
      <w:r w:rsidR="00E57EC3" w:rsidRPr="00AC41E0">
        <w:t xml:space="preserve">project </w:t>
      </w:r>
      <w:r w:rsidRPr="00AC41E0">
        <w:t>activities and outcomes. Ideally</w:t>
      </w:r>
      <w:r w:rsidR="00DF7122" w:rsidRPr="00AC41E0">
        <w:t>,</w:t>
      </w:r>
      <w:r w:rsidRPr="00AC41E0">
        <w:t xml:space="preserve"> it may also identify who the program works best for and under what circumstances. It is best used when a </w:t>
      </w:r>
      <w:r w:rsidR="00E57EC3" w:rsidRPr="00AC41E0">
        <w:t xml:space="preserve">project </w:t>
      </w:r>
      <w:r w:rsidRPr="00AC41E0">
        <w:t>has been running long enough to produce reliable results. It asks questions such as:</w:t>
      </w:r>
    </w:p>
    <w:p w14:paraId="10782A03" w14:textId="39DA52E6" w:rsidR="00F822BF" w:rsidRPr="00AC41E0" w:rsidRDefault="00555880" w:rsidP="00003096">
      <w:pPr>
        <w:pStyle w:val="DCSbodytext"/>
        <w:numPr>
          <w:ilvl w:val="0"/>
          <w:numId w:val="121"/>
        </w:numPr>
        <w:spacing w:after="120"/>
      </w:pPr>
      <w:r w:rsidRPr="00AC41E0">
        <w:t>H</w:t>
      </w:r>
      <w:r w:rsidR="00F822BF" w:rsidRPr="00AC41E0">
        <w:t>ave the outcomes changed?</w:t>
      </w:r>
    </w:p>
    <w:p w14:paraId="6CF07321" w14:textId="07AB1374" w:rsidR="00F822BF" w:rsidRPr="00AC41E0" w:rsidRDefault="00555880" w:rsidP="00003096">
      <w:pPr>
        <w:pStyle w:val="DCSbodytext"/>
        <w:numPr>
          <w:ilvl w:val="0"/>
          <w:numId w:val="121"/>
        </w:numPr>
        <w:spacing w:after="120"/>
      </w:pPr>
      <w:r w:rsidRPr="00AC41E0">
        <w:t>H</w:t>
      </w:r>
      <w:r w:rsidR="00F822BF" w:rsidRPr="00AC41E0">
        <w:t xml:space="preserve">as this </w:t>
      </w:r>
      <w:r w:rsidR="00E57EC3" w:rsidRPr="00AC41E0">
        <w:t xml:space="preserve">project </w:t>
      </w:r>
      <w:r w:rsidR="00F822BF" w:rsidRPr="00AC41E0">
        <w:t>contributed to the change as expected?</w:t>
      </w:r>
    </w:p>
    <w:p w14:paraId="5F7DA21C" w14:textId="49161112" w:rsidR="00F822BF" w:rsidRPr="00AC41E0" w:rsidRDefault="00555880" w:rsidP="00003096">
      <w:pPr>
        <w:pStyle w:val="DCSbodytext"/>
        <w:numPr>
          <w:ilvl w:val="0"/>
          <w:numId w:val="121"/>
        </w:numPr>
        <w:spacing w:after="120"/>
      </w:pPr>
      <w:r w:rsidRPr="00AC41E0">
        <w:t>W</w:t>
      </w:r>
      <w:r w:rsidR="00F822BF" w:rsidRPr="00AC41E0">
        <w:t xml:space="preserve">ho has benefited from the </w:t>
      </w:r>
      <w:r w:rsidR="00E57EC3" w:rsidRPr="00AC41E0">
        <w:t>project</w:t>
      </w:r>
      <w:r w:rsidR="00F822BF" w:rsidRPr="00AC41E0">
        <w:t>, how, and under what circumstances?</w:t>
      </w:r>
      <w:r w:rsidR="00096C06" w:rsidRPr="00AC41E0">
        <w:t xml:space="preserve"> Who else has benefited or may</w:t>
      </w:r>
      <w:r w:rsidR="00910862" w:rsidRPr="00AC41E0">
        <w:t xml:space="preserve"> benefit from the use of the data that this project has shared?</w:t>
      </w:r>
    </w:p>
    <w:p w14:paraId="71C10661" w14:textId="6E99C7C3" w:rsidR="00F822BF" w:rsidRPr="00AC41E0" w:rsidRDefault="00555880" w:rsidP="00003096">
      <w:pPr>
        <w:pStyle w:val="DCSbodytext"/>
        <w:numPr>
          <w:ilvl w:val="0"/>
          <w:numId w:val="121"/>
        </w:numPr>
      </w:pPr>
      <w:r w:rsidRPr="00AC41E0">
        <w:t>A</w:t>
      </w:r>
      <w:r w:rsidR="00F822BF" w:rsidRPr="00AC41E0">
        <w:t>re there any unintended consequences for participants or stakeholders?</w:t>
      </w:r>
    </w:p>
    <w:p w14:paraId="5A5BB917" w14:textId="51F0C003" w:rsidR="00EB571E" w:rsidRPr="00AC41E0" w:rsidRDefault="00EB571E" w:rsidP="00003096">
      <w:pPr>
        <w:pStyle w:val="DCSbodytext"/>
        <w:numPr>
          <w:ilvl w:val="0"/>
          <w:numId w:val="121"/>
        </w:numPr>
      </w:pPr>
      <w:r w:rsidRPr="00AC41E0">
        <w:lastRenderedPageBreak/>
        <w:t>Are there any unfores</w:t>
      </w:r>
      <w:r w:rsidR="00087BC6" w:rsidRPr="00AC41E0">
        <w:t>e</w:t>
      </w:r>
      <w:r w:rsidRPr="00AC41E0">
        <w:t>en benefits for particip</w:t>
      </w:r>
      <w:r w:rsidR="00A022C7" w:rsidRPr="00AC41E0">
        <w:t>a</w:t>
      </w:r>
      <w:r w:rsidRPr="00AC41E0">
        <w:t>nts or stakeholders?</w:t>
      </w:r>
    </w:p>
    <w:p w14:paraId="42B02D3A" w14:textId="73AA3517" w:rsidR="003E4C6C" w:rsidRPr="00AC41E0" w:rsidRDefault="003E4C6C" w:rsidP="003E4C6C">
      <w:pPr>
        <w:pStyle w:val="Heading4"/>
        <w:rPr>
          <w:rFonts w:ascii="Arial" w:hAnsi="Arial"/>
        </w:rPr>
      </w:pPr>
      <w:r w:rsidRPr="00AC41E0">
        <w:rPr>
          <w:rFonts w:ascii="Arial" w:hAnsi="Arial"/>
        </w:rPr>
        <w:t>Process evaluation</w:t>
      </w:r>
    </w:p>
    <w:p w14:paraId="32248E06" w14:textId="0923263E" w:rsidR="002050FF" w:rsidRPr="00AC41E0" w:rsidRDefault="00853438" w:rsidP="00F33137">
      <w:pPr>
        <w:pStyle w:val="DCSbodytext"/>
      </w:pPr>
      <w:r w:rsidRPr="00AC41E0">
        <w:t xml:space="preserve">A process evaluation looks at how a </w:t>
      </w:r>
      <w:r w:rsidR="00A022C7" w:rsidRPr="00AC41E0">
        <w:t xml:space="preserve">project </w:t>
      </w:r>
      <w:r w:rsidRPr="00AC41E0">
        <w:t xml:space="preserve">is delivered, describing the </w:t>
      </w:r>
      <w:r w:rsidR="00E57EC3" w:rsidRPr="00AC41E0">
        <w:t xml:space="preserve">project’s </w:t>
      </w:r>
      <w:r w:rsidRPr="00AC41E0">
        <w:t xml:space="preserve">current operating conditions and identifying processes hindering success. </w:t>
      </w:r>
      <w:r w:rsidR="002050FF" w:rsidRPr="00AC41E0">
        <w:t>If conducted early, i</w:t>
      </w:r>
      <w:r w:rsidRPr="00AC41E0">
        <w:t xml:space="preserve">t can ensure a </w:t>
      </w:r>
      <w:r w:rsidR="00E57EC3" w:rsidRPr="00AC41E0">
        <w:t xml:space="preserve">project </w:t>
      </w:r>
      <w:r w:rsidR="002050FF" w:rsidRPr="00AC41E0">
        <w:t xml:space="preserve">is </w:t>
      </w:r>
      <w:r w:rsidRPr="00AC41E0">
        <w:t>implemented as intended</w:t>
      </w:r>
      <w:r w:rsidR="002050FF" w:rsidRPr="00AC41E0">
        <w:t>. If conducted as an ongoing evaluative strategy</w:t>
      </w:r>
      <w:r w:rsidRPr="00AC41E0">
        <w:t xml:space="preserve">, </w:t>
      </w:r>
      <w:r w:rsidR="002050FF" w:rsidRPr="00AC41E0">
        <w:t xml:space="preserve">it can </w:t>
      </w:r>
      <w:r w:rsidRPr="00AC41E0">
        <w:t xml:space="preserve">be used to continually improve </w:t>
      </w:r>
      <w:r w:rsidR="0018489E" w:rsidRPr="00AC41E0">
        <w:t xml:space="preserve">projects </w:t>
      </w:r>
      <w:r w:rsidRPr="00AC41E0">
        <w:t>by informing adjustments to service delivery</w:t>
      </w:r>
      <w:r w:rsidR="002050FF" w:rsidRPr="00AC41E0">
        <w:t xml:space="preserve">. </w:t>
      </w:r>
    </w:p>
    <w:p w14:paraId="078214B9" w14:textId="247ED345" w:rsidR="00853438" w:rsidRPr="00AC41E0" w:rsidRDefault="002050FF" w:rsidP="00853438">
      <w:pPr>
        <w:pStyle w:val="DCSbodytext"/>
        <w:spacing w:after="120"/>
      </w:pPr>
      <w:r w:rsidRPr="00AC41E0">
        <w:t>A process evaluation</w:t>
      </w:r>
      <w:r w:rsidR="00853438" w:rsidRPr="00AC41E0">
        <w:t xml:space="preserve"> asks questions such as:</w:t>
      </w:r>
    </w:p>
    <w:p w14:paraId="2461A585" w14:textId="16ACD845" w:rsidR="00853438" w:rsidRPr="00AC41E0" w:rsidRDefault="00555880" w:rsidP="00003096">
      <w:pPr>
        <w:pStyle w:val="DCSbodytext"/>
        <w:numPr>
          <w:ilvl w:val="0"/>
          <w:numId w:val="122"/>
        </w:numPr>
        <w:spacing w:after="120"/>
      </w:pPr>
      <w:r w:rsidRPr="00AC41E0">
        <w:t>H</w:t>
      </w:r>
      <w:r w:rsidR="00853438" w:rsidRPr="00AC41E0">
        <w:t xml:space="preserve">ave the </w:t>
      </w:r>
      <w:r w:rsidR="0018489E" w:rsidRPr="00AC41E0">
        <w:t xml:space="preserve">project </w:t>
      </w:r>
      <w:r w:rsidR="00853438" w:rsidRPr="00AC41E0">
        <w:t>activities been implemented as intended?</w:t>
      </w:r>
    </w:p>
    <w:p w14:paraId="5117AE84" w14:textId="7FF19B44" w:rsidR="00853438" w:rsidRPr="00AC41E0" w:rsidRDefault="00555880" w:rsidP="00003096">
      <w:pPr>
        <w:pStyle w:val="DCSbodytext"/>
        <w:numPr>
          <w:ilvl w:val="0"/>
          <w:numId w:val="122"/>
        </w:numPr>
        <w:spacing w:after="120"/>
      </w:pPr>
      <w:r w:rsidRPr="00AC41E0">
        <w:t>A</w:t>
      </w:r>
      <w:r w:rsidR="00853438" w:rsidRPr="00AC41E0">
        <w:t xml:space="preserve">re there any barriers to program delivery? If so, how can the </w:t>
      </w:r>
      <w:r w:rsidR="00E57EC3" w:rsidRPr="00AC41E0">
        <w:t xml:space="preserve">project </w:t>
      </w:r>
      <w:r w:rsidR="00853438" w:rsidRPr="00AC41E0">
        <w:t>be improved?</w:t>
      </w:r>
    </w:p>
    <w:p w14:paraId="148ED792" w14:textId="72DE757D" w:rsidR="00853438" w:rsidRPr="00AC41E0" w:rsidRDefault="00555880" w:rsidP="00003096">
      <w:pPr>
        <w:pStyle w:val="DCSbodytext"/>
        <w:numPr>
          <w:ilvl w:val="0"/>
          <w:numId w:val="122"/>
        </w:numPr>
        <w:spacing w:after="120"/>
      </w:pPr>
      <w:r w:rsidRPr="00AC41E0">
        <w:t>W</w:t>
      </w:r>
      <w:r w:rsidR="00853438" w:rsidRPr="00AC41E0">
        <w:t xml:space="preserve">as the </w:t>
      </w:r>
      <w:r w:rsidR="00E57EC3" w:rsidRPr="00AC41E0">
        <w:t xml:space="preserve">project </w:t>
      </w:r>
      <w:r w:rsidR="00853438" w:rsidRPr="00AC41E0">
        <w:t>implemented within the expected timeframe?</w:t>
      </w:r>
    </w:p>
    <w:p w14:paraId="46F0B8CE" w14:textId="02F67341" w:rsidR="00853438" w:rsidRPr="00AC41E0" w:rsidRDefault="00F53E43" w:rsidP="00003096">
      <w:pPr>
        <w:pStyle w:val="DCSbodytext"/>
        <w:numPr>
          <w:ilvl w:val="0"/>
          <w:numId w:val="122"/>
        </w:numPr>
        <w:spacing w:after="120"/>
      </w:pPr>
      <w:r w:rsidRPr="00AC41E0">
        <w:t>T</w:t>
      </w:r>
      <w:r w:rsidR="00853438" w:rsidRPr="00AC41E0">
        <w:t xml:space="preserve">o what extent is the </w:t>
      </w:r>
      <w:r w:rsidR="00E57EC3" w:rsidRPr="00AC41E0">
        <w:t xml:space="preserve">project </w:t>
      </w:r>
      <w:r w:rsidR="00853438" w:rsidRPr="00AC41E0">
        <w:t xml:space="preserve">reaching intended recipients? For </w:t>
      </w:r>
      <w:r w:rsidR="003D5E9D" w:rsidRPr="00AC41E0">
        <w:t>IoT-enabled project</w:t>
      </w:r>
      <w:r w:rsidR="00853438" w:rsidRPr="00AC41E0">
        <w:t xml:space="preserve">s, this might mean to what extent is the IoT program reaching or making a difference to the </w:t>
      </w:r>
      <w:r w:rsidR="00DF7122" w:rsidRPr="00AC41E0">
        <w:t>end-</w:t>
      </w:r>
      <w:r w:rsidR="00853438" w:rsidRPr="00AC41E0">
        <w:t>user and/or citizen</w:t>
      </w:r>
      <w:r w:rsidR="00E32A55" w:rsidRPr="00AC41E0">
        <w:t>?</w:t>
      </w:r>
    </w:p>
    <w:p w14:paraId="63C39F53" w14:textId="6A3E4ED1" w:rsidR="00545316" w:rsidRPr="00AC41E0" w:rsidRDefault="00555880" w:rsidP="00003096">
      <w:pPr>
        <w:pStyle w:val="DCSbodytext"/>
        <w:numPr>
          <w:ilvl w:val="0"/>
          <w:numId w:val="122"/>
        </w:numPr>
        <w:spacing w:after="120"/>
      </w:pPr>
      <w:r w:rsidRPr="00AC41E0">
        <w:t>T</w:t>
      </w:r>
      <w:r w:rsidR="00853438" w:rsidRPr="00AC41E0">
        <w:t xml:space="preserve">o what extent is the </w:t>
      </w:r>
      <w:r w:rsidR="00E57EC3" w:rsidRPr="00AC41E0">
        <w:t xml:space="preserve">project </w:t>
      </w:r>
      <w:r w:rsidR="00853438" w:rsidRPr="00AC41E0">
        <w:t>meeting the needs of participants and other key stakeholders?</w:t>
      </w:r>
    </w:p>
    <w:p w14:paraId="7BC3F3CA" w14:textId="13DD9BD6" w:rsidR="003E4C6C" w:rsidRPr="00AC41E0" w:rsidRDefault="003E4C6C" w:rsidP="003E4C6C">
      <w:pPr>
        <w:pStyle w:val="Heading4"/>
        <w:rPr>
          <w:rFonts w:ascii="Arial" w:hAnsi="Arial"/>
        </w:rPr>
      </w:pPr>
      <w:r w:rsidRPr="00AC41E0">
        <w:rPr>
          <w:rFonts w:ascii="Arial" w:hAnsi="Arial"/>
        </w:rPr>
        <w:t>Economic evaluation</w:t>
      </w:r>
    </w:p>
    <w:p w14:paraId="53C58955" w14:textId="5CD3E4A8" w:rsidR="00702D36" w:rsidRPr="00AC41E0" w:rsidRDefault="00702D36" w:rsidP="00702D36">
      <w:pPr>
        <w:pStyle w:val="DCSbodytext"/>
        <w:spacing w:after="120"/>
      </w:pPr>
      <w:r w:rsidRPr="00AC41E0">
        <w:t xml:space="preserve">Economic evaluation identifies, measures and values a </w:t>
      </w:r>
      <w:r w:rsidR="0018489E" w:rsidRPr="00AC41E0">
        <w:t xml:space="preserve">project’s </w:t>
      </w:r>
      <w:r w:rsidRPr="00AC41E0">
        <w:t>economic costs and benefits. It can inform decision-making and promote efficient resource allocation. It can also be used to compare alternatives on a consistent basis. The two main forms of economic evaluation are:</w:t>
      </w:r>
    </w:p>
    <w:p w14:paraId="5C3267B4" w14:textId="781F92A3" w:rsidR="00702D36" w:rsidRPr="00AC41E0" w:rsidRDefault="00702D36" w:rsidP="00003096">
      <w:pPr>
        <w:pStyle w:val="DCSbodytext"/>
        <w:numPr>
          <w:ilvl w:val="0"/>
          <w:numId w:val="123"/>
        </w:numPr>
        <w:spacing w:after="120"/>
      </w:pPr>
      <w:r w:rsidRPr="00AC41E0">
        <w:rPr>
          <w:i/>
        </w:rPr>
        <w:t>Cost</w:t>
      </w:r>
      <w:r w:rsidR="00585157" w:rsidRPr="00AC41E0">
        <w:rPr>
          <w:i/>
        </w:rPr>
        <w:t>-b</w:t>
      </w:r>
      <w:r w:rsidRPr="00AC41E0">
        <w:rPr>
          <w:i/>
        </w:rPr>
        <w:t>enefit Analysis (CBA)</w:t>
      </w:r>
      <w:r w:rsidR="005237D1" w:rsidRPr="00AC41E0">
        <w:rPr>
          <w:i/>
        </w:rPr>
        <w:t xml:space="preserve">: </w:t>
      </w:r>
      <w:r w:rsidR="00A17D95" w:rsidRPr="00AC41E0">
        <w:t xml:space="preserve">This </w:t>
      </w:r>
      <w:r w:rsidRPr="00AC41E0">
        <w:t>involves the consistent valuation of costs and benefits in monetary terms for both monetary and non-monetary variables</w:t>
      </w:r>
      <w:r w:rsidR="00786FF0" w:rsidRPr="00AC41E0">
        <w:t xml:space="preserve"> (remember to consider the value of data to your project and potential future projects)</w:t>
      </w:r>
      <w:r w:rsidRPr="00AC41E0">
        <w:t xml:space="preserve">. Further information on CBAs and how to conduct one for </w:t>
      </w:r>
      <w:r w:rsidR="003D5E9D" w:rsidRPr="00AC41E0">
        <w:t>IoT-enabled project</w:t>
      </w:r>
      <w:r w:rsidRPr="00AC41E0">
        <w:t xml:space="preserve">s is provided in </w:t>
      </w:r>
      <w:hyperlink w:anchor="_Cost-benefit_analysis" w:history="1">
        <w:r w:rsidR="00986233" w:rsidRPr="00AC41E0">
          <w:rPr>
            <w:rStyle w:val="Hyperlink"/>
          </w:rPr>
          <w:t xml:space="preserve">Chapter </w:t>
        </w:r>
        <w:r w:rsidRPr="00AC41E0">
          <w:rPr>
            <w:rStyle w:val="Hyperlink"/>
          </w:rPr>
          <w:t>4.2 Cost</w:t>
        </w:r>
        <w:r w:rsidR="00986233" w:rsidRPr="00AC41E0">
          <w:rPr>
            <w:rStyle w:val="Hyperlink"/>
          </w:rPr>
          <w:t>-b</w:t>
        </w:r>
        <w:r w:rsidRPr="00AC41E0">
          <w:rPr>
            <w:rStyle w:val="Hyperlink"/>
          </w:rPr>
          <w:t xml:space="preserve">enefit </w:t>
        </w:r>
        <w:r w:rsidR="00986233" w:rsidRPr="00AC41E0">
          <w:rPr>
            <w:rStyle w:val="Hyperlink"/>
          </w:rPr>
          <w:t>a</w:t>
        </w:r>
        <w:r w:rsidRPr="00AC41E0">
          <w:rPr>
            <w:rStyle w:val="Hyperlink"/>
          </w:rPr>
          <w:t>nalysis</w:t>
        </w:r>
      </w:hyperlink>
      <w:r w:rsidR="00D7582A" w:rsidRPr="00E46FB0">
        <w:t>.</w:t>
      </w:r>
    </w:p>
    <w:p w14:paraId="14C15ED4" w14:textId="69A5B93F" w:rsidR="00702D36" w:rsidRPr="00AC41E0" w:rsidRDefault="00702D36" w:rsidP="00003096">
      <w:pPr>
        <w:pStyle w:val="DCSbodytext"/>
        <w:numPr>
          <w:ilvl w:val="0"/>
          <w:numId w:val="123"/>
        </w:numPr>
        <w:spacing w:after="120"/>
      </w:pPr>
      <w:r w:rsidRPr="00AC41E0">
        <w:rPr>
          <w:i/>
        </w:rPr>
        <w:t>Cost Effectiveness Analysis (CEA)</w:t>
      </w:r>
      <w:r w:rsidR="005237D1" w:rsidRPr="00AC41E0">
        <w:rPr>
          <w:i/>
        </w:rPr>
        <w:t xml:space="preserve">: </w:t>
      </w:r>
      <w:r w:rsidR="00A17D95" w:rsidRPr="00AC41E0">
        <w:t xml:space="preserve">This is </w:t>
      </w:r>
      <w:r w:rsidRPr="00AC41E0">
        <w:t xml:space="preserve">used when the benefits of a program cannot be easily quantified in monetary terms, or </w:t>
      </w:r>
      <w:r w:rsidR="00E04405" w:rsidRPr="00AC41E0">
        <w:t xml:space="preserve">where </w:t>
      </w:r>
      <w:r w:rsidRPr="00AC41E0">
        <w:t xml:space="preserve">benefits are considered to be similar for alternative programs. </w:t>
      </w:r>
    </w:p>
    <w:p w14:paraId="276C97E7" w14:textId="00CF954B" w:rsidR="003E4C6C" w:rsidRPr="00AC41E0" w:rsidRDefault="003E4C6C" w:rsidP="003E4C6C">
      <w:pPr>
        <w:pStyle w:val="Heading3"/>
        <w:rPr>
          <w:rFonts w:ascii="Arial" w:hAnsi="Arial"/>
        </w:rPr>
      </w:pPr>
      <w:bookmarkStart w:id="1916" w:name="_Toc65760602"/>
      <w:r w:rsidRPr="00AC41E0">
        <w:rPr>
          <w:rFonts w:ascii="Arial" w:hAnsi="Arial"/>
        </w:rPr>
        <w:t>How to evaluate IoT</w:t>
      </w:r>
      <w:r w:rsidR="00561DA8" w:rsidRPr="00AC41E0">
        <w:rPr>
          <w:rFonts w:ascii="Arial" w:hAnsi="Arial"/>
        </w:rPr>
        <w:t>-enabled</w:t>
      </w:r>
      <w:r w:rsidRPr="00AC41E0">
        <w:rPr>
          <w:rFonts w:ascii="Arial" w:hAnsi="Arial"/>
        </w:rPr>
        <w:t xml:space="preserve"> projects</w:t>
      </w:r>
      <w:bookmarkEnd w:id="1916"/>
    </w:p>
    <w:p w14:paraId="162675F9" w14:textId="108C32BA" w:rsidR="00073E6B" w:rsidRPr="00AC41E0" w:rsidRDefault="00073E6B" w:rsidP="00073E6B">
      <w:pPr>
        <w:pStyle w:val="DCSbodytext"/>
        <w:rPr>
          <w:szCs w:val="20"/>
        </w:rPr>
      </w:pPr>
      <w:r w:rsidRPr="00AC41E0">
        <w:t xml:space="preserve">The process for evaluating an </w:t>
      </w:r>
      <w:r w:rsidR="003D5E9D" w:rsidRPr="00AC41E0">
        <w:t>IoT-enabled project</w:t>
      </w:r>
      <w:r w:rsidRPr="00AC41E0">
        <w:t xml:space="preserve"> is the same as the process for evaluating other NSW Government programs and should follow the guidance provided by the </w:t>
      </w:r>
      <w:hyperlink r:id="rId288" w:history="1">
        <w:r w:rsidRPr="00AC41E0">
          <w:rPr>
            <w:rStyle w:val="Hyperlink"/>
            <w:szCs w:val="20"/>
          </w:rPr>
          <w:t>NSW Treasury Centre for Program Evaluation</w:t>
        </w:r>
      </w:hyperlink>
      <w:r w:rsidRPr="00E46FB0">
        <w:rPr>
          <w:szCs w:val="20"/>
        </w:rPr>
        <w:t>.</w:t>
      </w:r>
      <w:r w:rsidR="00F12A13" w:rsidRPr="00AC41E0">
        <w:rPr>
          <w:szCs w:val="20"/>
        </w:rPr>
        <w:t xml:space="preserve"> </w:t>
      </w:r>
      <w:r w:rsidR="0018489E" w:rsidRPr="00AC41E0">
        <w:rPr>
          <w:szCs w:val="20"/>
        </w:rPr>
        <w:t xml:space="preserve">The process is broadly outlined below. </w:t>
      </w:r>
    </w:p>
    <w:p w14:paraId="0C0C34CA" w14:textId="53EE4889" w:rsidR="003E4C6C" w:rsidRPr="00AC41E0" w:rsidRDefault="003E4C6C" w:rsidP="00545316">
      <w:pPr>
        <w:pStyle w:val="Heading4"/>
        <w:rPr>
          <w:rFonts w:ascii="Arial" w:hAnsi="Arial"/>
        </w:rPr>
      </w:pPr>
      <w:r w:rsidRPr="00AC41E0">
        <w:rPr>
          <w:rFonts w:ascii="Arial" w:hAnsi="Arial"/>
        </w:rPr>
        <w:t>Planning your evaluation</w:t>
      </w:r>
    </w:p>
    <w:p w14:paraId="15AF1A9A" w14:textId="1CE1C101" w:rsidR="00815249" w:rsidRPr="00AC41E0" w:rsidRDefault="00815249" w:rsidP="00815249">
      <w:pPr>
        <w:pStyle w:val="DCSbodytext"/>
      </w:pPr>
      <w:r w:rsidRPr="00AC41E0">
        <w:t xml:space="preserve">Evaluation planning should start when the </w:t>
      </w:r>
      <w:r w:rsidR="00876950" w:rsidRPr="00AC41E0">
        <w:t xml:space="preserve">project </w:t>
      </w:r>
      <w:r w:rsidRPr="00AC41E0">
        <w:t xml:space="preserve">is being designed, with much of the planning complete before the </w:t>
      </w:r>
      <w:r w:rsidR="000F2ED0" w:rsidRPr="00AC41E0">
        <w:t xml:space="preserve">project </w:t>
      </w:r>
      <w:r w:rsidRPr="00AC41E0">
        <w:t xml:space="preserve">has started to operate. Integrating evaluation with </w:t>
      </w:r>
      <w:r w:rsidR="000F2ED0" w:rsidRPr="00AC41E0">
        <w:t>the</w:t>
      </w:r>
      <w:r w:rsidRPr="00AC41E0">
        <w:t xml:space="preserve"> </w:t>
      </w:r>
      <w:r w:rsidR="000F2ED0" w:rsidRPr="00AC41E0">
        <w:t xml:space="preserve">project’s </w:t>
      </w:r>
      <w:r w:rsidRPr="00AC41E0">
        <w:t xml:space="preserve">lifecycle enables a stronger evaluation </w:t>
      </w:r>
      <w:r w:rsidR="009E093E" w:rsidRPr="00AC41E0">
        <w:t xml:space="preserve">to be </w:t>
      </w:r>
      <w:r w:rsidRPr="00AC41E0">
        <w:t xml:space="preserve">delivered in time to support decision-making. </w:t>
      </w:r>
    </w:p>
    <w:p w14:paraId="68CE0692" w14:textId="5D7D6F50" w:rsidR="00CB5CBB" w:rsidRPr="00AC41E0" w:rsidRDefault="00CB5CBB" w:rsidP="00110CB8">
      <w:pPr>
        <w:pStyle w:val="DCSbodytext"/>
        <w:jc w:val="center"/>
      </w:pPr>
      <w:r w:rsidRPr="00AC41E0">
        <w:rPr>
          <w:b/>
          <w:lang w:eastAsia="en-AU"/>
        </w:rPr>
        <w:lastRenderedPageBreak/>
        <w:t>The evaluation process</w:t>
      </w:r>
      <w:r w:rsidR="00C25F81" w:rsidRPr="00AC41E0">
        <w:rPr>
          <w:b/>
          <w:lang w:eastAsia="en-AU"/>
        </w:rPr>
        <w:t xml:space="preserve"> along</w:t>
      </w:r>
      <w:r w:rsidR="00DF7122" w:rsidRPr="00AC41E0">
        <w:rPr>
          <w:b/>
          <w:lang w:eastAsia="en-AU"/>
        </w:rPr>
        <w:t xml:space="preserve"> with</w:t>
      </w:r>
      <w:r w:rsidR="00C25F81" w:rsidRPr="00AC41E0">
        <w:rPr>
          <w:b/>
          <w:lang w:eastAsia="en-AU"/>
        </w:rPr>
        <w:t xml:space="preserve"> the project </w:t>
      </w:r>
      <w:r w:rsidR="00E072D2" w:rsidRPr="00AC41E0">
        <w:rPr>
          <w:b/>
          <w:lang w:eastAsia="en-AU"/>
        </w:rPr>
        <w:t xml:space="preserve">or program </w:t>
      </w:r>
      <w:r w:rsidR="00C25F81" w:rsidRPr="00AC41E0">
        <w:rPr>
          <w:b/>
          <w:lang w:eastAsia="en-AU"/>
        </w:rPr>
        <w:t>lifecy</w:t>
      </w:r>
      <w:r w:rsidR="000755D8" w:rsidRPr="00AC41E0">
        <w:rPr>
          <w:b/>
          <w:lang w:eastAsia="en-AU"/>
        </w:rPr>
        <w:t>c</w:t>
      </w:r>
      <w:r w:rsidR="00C25F81" w:rsidRPr="00AC41E0">
        <w:rPr>
          <w:b/>
          <w:lang w:eastAsia="en-AU"/>
        </w:rPr>
        <w:t>le</w:t>
      </w:r>
    </w:p>
    <w:p w14:paraId="4F3F03A0" w14:textId="6DEC81E9" w:rsidR="007A71CB" w:rsidRPr="00E46FB0" w:rsidRDefault="00CA63A4" w:rsidP="00110CB8">
      <w:pPr>
        <w:jc w:val="center"/>
      </w:pPr>
      <w:r w:rsidRPr="00E46FB0">
        <w:rPr>
          <w:noProof/>
        </w:rPr>
        <w:drawing>
          <wp:inline distT="0" distB="0" distL="0" distR="0" wp14:anchorId="385059E0" wp14:editId="5E002173">
            <wp:extent cx="5723888" cy="2951480"/>
            <wp:effectExtent l="0" t="0" r="0" b="1270"/>
            <wp:docPr id="531754526" name="Picture 531754526" descr="Program cycle: Project planning is when your evaluation planning commences, evaluation plan complete during business case stage, data collection related evaluation activity undertaken during the set-up and use and maintain stages, and evaluation available to inform decision making during the assess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754526"/>
                    <pic:cNvPicPr/>
                  </pic:nvPicPr>
                  <pic:blipFill>
                    <a:blip r:embed="rId57">
                      <a:extLst>
                        <a:ext uri="{28A0092B-C50C-407E-A947-70E740481C1C}">
                          <a14:useLocalDpi xmlns:a14="http://schemas.microsoft.com/office/drawing/2010/main" val="0"/>
                        </a:ext>
                      </a:extLst>
                    </a:blip>
                    <a:stretch>
                      <a:fillRect/>
                    </a:stretch>
                  </pic:blipFill>
                  <pic:spPr>
                    <a:xfrm>
                      <a:off x="0" y="0"/>
                      <a:ext cx="5723888" cy="2951480"/>
                    </a:xfrm>
                    <a:prstGeom prst="rect">
                      <a:avLst/>
                    </a:prstGeom>
                  </pic:spPr>
                </pic:pic>
              </a:graphicData>
            </a:graphic>
          </wp:inline>
        </w:drawing>
      </w:r>
    </w:p>
    <w:p w14:paraId="64536141" w14:textId="78F7B71A" w:rsidR="00E031E7" w:rsidRPr="00AC41E0" w:rsidRDefault="00CA7AB5" w:rsidP="00F33137">
      <w:pPr>
        <w:pStyle w:val="DCSbodytext"/>
      </w:pPr>
      <w:r w:rsidRPr="00AC41E0">
        <w:t xml:space="preserve">Selecting and implementing an appropriate evaluation methodology requires the skills of a suitably qualified and experienced research or evaluation specialist. </w:t>
      </w:r>
      <w:r w:rsidR="005B715B" w:rsidRPr="00AC41E0">
        <w:t xml:space="preserve">Speak to your </w:t>
      </w:r>
      <w:r w:rsidR="00DD4C02" w:rsidRPr="00AC41E0">
        <w:t>organisation’s</w:t>
      </w:r>
      <w:r w:rsidR="005B715B" w:rsidRPr="00AC41E0">
        <w:t xml:space="preserve"> Program Evaluation team, and </w:t>
      </w:r>
      <w:r w:rsidR="004F63D4" w:rsidRPr="00AC41E0">
        <w:t>s</w:t>
      </w:r>
      <w:r w:rsidR="00A11030" w:rsidRPr="00AC41E0">
        <w:t xml:space="preserve">ee the </w:t>
      </w:r>
      <w:hyperlink r:id="rId289" w:history="1">
        <w:r w:rsidR="00A11030" w:rsidRPr="00AC41E0">
          <w:rPr>
            <w:rStyle w:val="Hyperlink"/>
          </w:rPr>
          <w:t>Evaluation Toolkit</w:t>
        </w:r>
      </w:hyperlink>
      <w:r w:rsidR="00A11030" w:rsidRPr="00E46FB0">
        <w:t xml:space="preserve"> for assistan</w:t>
      </w:r>
      <w:r w:rsidR="00A11030" w:rsidRPr="00AC41E0">
        <w:t>ce on developing evaluation plans</w:t>
      </w:r>
      <w:r w:rsidR="00E031E7" w:rsidRPr="00AC41E0">
        <w:t>.</w:t>
      </w:r>
      <w:r w:rsidR="008A736A" w:rsidRPr="00AC41E0">
        <w:t xml:space="preserve"> </w:t>
      </w:r>
      <w:r w:rsidR="00E031E7" w:rsidRPr="00AC41E0">
        <w:t>The below table sets out</w:t>
      </w:r>
      <w:r w:rsidR="008A736A" w:rsidRPr="00AC41E0">
        <w:t xml:space="preserve"> key</w:t>
      </w:r>
      <w:r w:rsidR="00E031E7" w:rsidRPr="00AC41E0">
        <w:t xml:space="preserve"> steps in evaluation planning.</w:t>
      </w:r>
    </w:p>
    <w:p w14:paraId="7B65A7DE" w14:textId="409509E7" w:rsidR="00A11030" w:rsidRPr="00AC41E0" w:rsidRDefault="008A736A" w:rsidP="00F33137">
      <w:pPr>
        <w:pStyle w:val="DCSbodytext"/>
        <w:spacing w:before="240"/>
        <w:jc w:val="center"/>
        <w:rPr>
          <w:b/>
        </w:rPr>
      </w:pPr>
      <w:r w:rsidRPr="00AC41E0">
        <w:rPr>
          <w:b/>
        </w:rPr>
        <w:t>Key s</w:t>
      </w:r>
      <w:r w:rsidR="00E031E7" w:rsidRPr="00AC41E0">
        <w:rPr>
          <w:b/>
        </w:rPr>
        <w:t>teps in evaluation planning</w:t>
      </w:r>
      <w:r w:rsidR="00A11030" w:rsidRPr="00AC41E0">
        <w:rPr>
          <w:b/>
        </w:rPr>
        <w:t xml:space="preserve"> </w:t>
      </w:r>
    </w:p>
    <w:tbl>
      <w:tblPr>
        <w:tblStyle w:val="GridTable4-Accent1"/>
        <w:tblW w:w="0" w:type="auto"/>
        <w:tblInd w:w="794" w:type="dxa"/>
        <w:tblCellMar>
          <w:top w:w="28" w:type="dxa"/>
          <w:bottom w:w="85" w:type="dxa"/>
        </w:tblCellMar>
        <w:tblLook w:val="04A0" w:firstRow="1" w:lastRow="0" w:firstColumn="1" w:lastColumn="0" w:noHBand="0" w:noVBand="1"/>
      </w:tblPr>
      <w:tblGrid>
        <w:gridCol w:w="2462"/>
        <w:gridCol w:w="6372"/>
      </w:tblGrid>
      <w:tr w:rsidR="0033006F" w:rsidRPr="00AC41E0" w14:paraId="131F6D76" w14:textId="77777777" w:rsidTr="00110C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1F497D" w:themeFill="text2"/>
          </w:tcPr>
          <w:p w14:paraId="7881EF7F" w14:textId="58BF1A2D" w:rsidR="0033006F" w:rsidRPr="00AC41E0" w:rsidRDefault="00E031E7" w:rsidP="00F33137">
            <w:pPr>
              <w:pStyle w:val="DCSbodytext"/>
              <w:spacing w:after="0"/>
              <w:ind w:left="0"/>
              <w:jc w:val="center"/>
            </w:pPr>
            <w:r w:rsidRPr="00AC41E0">
              <w:t>Step</w:t>
            </w:r>
          </w:p>
        </w:tc>
        <w:tc>
          <w:tcPr>
            <w:tcW w:w="0" w:type="dxa"/>
            <w:tcBorders>
              <w:top w:val="single" w:sz="4" w:space="0" w:color="auto"/>
              <w:left w:val="single" w:sz="4" w:space="0" w:color="auto"/>
              <w:bottom w:val="single" w:sz="4" w:space="0" w:color="auto"/>
              <w:right w:val="single" w:sz="4" w:space="0" w:color="auto"/>
            </w:tcBorders>
            <w:shd w:val="clear" w:color="auto" w:fill="1F497D" w:themeFill="text2"/>
          </w:tcPr>
          <w:p w14:paraId="2BCDD98B" w14:textId="3B4555FF" w:rsidR="0033006F" w:rsidRPr="00AC41E0" w:rsidRDefault="00BB0036" w:rsidP="00F33137">
            <w:pPr>
              <w:pStyle w:val="DCSbodytext"/>
              <w:spacing w:after="0"/>
              <w:ind w:left="0"/>
              <w:jc w:val="center"/>
              <w:cnfStyle w:val="100000000000" w:firstRow="1" w:lastRow="0" w:firstColumn="0" w:lastColumn="0" w:oddVBand="0" w:evenVBand="0" w:oddHBand="0" w:evenHBand="0" w:firstRowFirstColumn="0" w:firstRowLastColumn="0" w:lastRowFirstColumn="0" w:lastRowLastColumn="0"/>
            </w:pPr>
            <w:r w:rsidRPr="00AC41E0">
              <w:t>Examples of things to consider</w:t>
            </w:r>
          </w:p>
        </w:tc>
      </w:tr>
      <w:tr w:rsidR="0033006F" w:rsidRPr="00AC41E0" w14:paraId="593C8112" w14:textId="77777777" w:rsidTr="00F33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Borders>
              <w:top w:val="single" w:sz="4" w:space="0" w:color="auto"/>
            </w:tcBorders>
          </w:tcPr>
          <w:p w14:paraId="37B6F1AE" w14:textId="2046587F" w:rsidR="0033006F" w:rsidRPr="00AC41E0" w:rsidRDefault="0033006F" w:rsidP="00003096">
            <w:pPr>
              <w:pStyle w:val="DCSbodytext"/>
              <w:numPr>
                <w:ilvl w:val="0"/>
                <w:numId w:val="173"/>
              </w:numPr>
              <w:spacing w:after="0"/>
            </w:pPr>
            <w:r w:rsidRPr="00AC41E0">
              <w:t>Specify the subject of the evaluation</w:t>
            </w:r>
          </w:p>
        </w:tc>
        <w:tc>
          <w:tcPr>
            <w:tcW w:w="6372" w:type="dxa"/>
            <w:tcBorders>
              <w:top w:val="single" w:sz="4" w:space="0" w:color="auto"/>
            </w:tcBorders>
          </w:tcPr>
          <w:p w14:paraId="44B9AE26" w14:textId="77777777" w:rsidR="00150960" w:rsidRPr="00AC41E0" w:rsidRDefault="007F5846" w:rsidP="00003096">
            <w:pPr>
              <w:pStyle w:val="DCSbodytext"/>
              <w:numPr>
                <w:ilvl w:val="0"/>
                <w:numId w:val="174"/>
              </w:numPr>
              <w:spacing w:after="120"/>
              <w:ind w:hanging="357"/>
              <w:cnfStyle w:val="000000100000" w:firstRow="0" w:lastRow="0" w:firstColumn="0" w:lastColumn="0" w:oddVBand="0" w:evenVBand="0" w:oddHBand="1" w:evenHBand="0" w:firstRowFirstColumn="0" w:firstRowLastColumn="0" w:lastRowFirstColumn="0" w:lastRowLastColumn="0"/>
              <w:rPr>
                <w:rFonts w:cs="Arial"/>
              </w:rPr>
            </w:pPr>
            <w:r w:rsidRPr="00AC41E0">
              <w:t>Are you evaluating</w:t>
            </w:r>
            <w:r w:rsidR="0033006F" w:rsidRPr="00AC41E0">
              <w:t xml:space="preserve"> your </w:t>
            </w:r>
            <w:r w:rsidR="002E7146" w:rsidRPr="00AC41E0">
              <w:t xml:space="preserve">entire </w:t>
            </w:r>
            <w:r w:rsidR="0033006F" w:rsidRPr="00AC41E0">
              <w:t xml:space="preserve">IoT-enabled project, or an element </w:t>
            </w:r>
            <w:r w:rsidR="0033006F" w:rsidRPr="00AC41E0">
              <w:rPr>
                <w:rFonts w:cs="Arial"/>
              </w:rPr>
              <w:t>of the IoT-enabled projec</w:t>
            </w:r>
            <w:r w:rsidR="00F5732B" w:rsidRPr="00AC41E0">
              <w:rPr>
                <w:rFonts w:cs="Arial"/>
              </w:rPr>
              <w:t>t</w:t>
            </w:r>
            <w:r w:rsidR="00140086" w:rsidRPr="00AC41E0">
              <w:rPr>
                <w:rFonts w:cs="Arial"/>
              </w:rPr>
              <w:t>, e.g.</w:t>
            </w:r>
            <w:r w:rsidR="00150960" w:rsidRPr="00AC41E0">
              <w:rPr>
                <w:rFonts w:cs="Arial"/>
              </w:rPr>
              <w:t>:</w:t>
            </w:r>
          </w:p>
          <w:p w14:paraId="62DCB915" w14:textId="4500BCC1" w:rsidR="00150960" w:rsidRPr="00AC41E0" w:rsidRDefault="00140086" w:rsidP="00003096">
            <w:pPr>
              <w:pStyle w:val="DCSbodytext"/>
              <w:numPr>
                <w:ilvl w:val="0"/>
                <w:numId w:val="175"/>
              </w:numPr>
              <w:spacing w:after="120"/>
              <w:ind w:hanging="357"/>
              <w:cnfStyle w:val="000000100000" w:firstRow="0" w:lastRow="0" w:firstColumn="0" w:lastColumn="0" w:oddVBand="0" w:evenVBand="0" w:oddHBand="1" w:evenHBand="0" w:firstRowFirstColumn="0" w:firstRowLastColumn="0" w:lastRowFirstColumn="0" w:lastRowLastColumn="0"/>
              <w:rPr>
                <w:rFonts w:cs="Arial"/>
              </w:rPr>
            </w:pPr>
            <w:r w:rsidRPr="00AC41E0">
              <w:rPr>
                <w:rFonts w:cs="Arial"/>
              </w:rPr>
              <w:t>the technology</w:t>
            </w:r>
            <w:r w:rsidR="00150960" w:rsidRPr="00AC41E0">
              <w:rPr>
                <w:rFonts w:cs="Arial"/>
              </w:rPr>
              <w:t xml:space="preserve"> (</w:t>
            </w:r>
            <w:r w:rsidRPr="00AC41E0">
              <w:rPr>
                <w:rFonts w:cs="Arial"/>
              </w:rPr>
              <w:t>sensors, communications networks, platform</w:t>
            </w:r>
            <w:r w:rsidR="00DF7122" w:rsidRPr="00AC41E0">
              <w:rPr>
                <w:rFonts w:cs="Arial"/>
              </w:rPr>
              <w:t>,</w:t>
            </w:r>
            <w:r w:rsidRPr="00AC41E0">
              <w:rPr>
                <w:rFonts w:cs="Arial"/>
              </w:rPr>
              <w:t xml:space="preserve"> and analytics)</w:t>
            </w:r>
          </w:p>
          <w:p w14:paraId="00626154" w14:textId="71CE4765" w:rsidR="002E7146" w:rsidRPr="00AC41E0" w:rsidRDefault="00957C96" w:rsidP="00003096">
            <w:pPr>
              <w:pStyle w:val="DCSbodytext"/>
              <w:numPr>
                <w:ilvl w:val="0"/>
                <w:numId w:val="175"/>
              </w:numPr>
              <w:spacing w:after="0"/>
              <w:cnfStyle w:val="000000100000" w:firstRow="0" w:lastRow="0" w:firstColumn="0" w:lastColumn="0" w:oddVBand="0" w:evenVBand="0" w:oddHBand="1" w:evenHBand="0" w:firstRowFirstColumn="0" w:firstRowLastColumn="0" w:lastRowFirstColumn="0" w:lastRowLastColumn="0"/>
            </w:pPr>
            <w:r w:rsidRPr="00AC41E0">
              <w:rPr>
                <w:rFonts w:cs="Arial"/>
              </w:rPr>
              <w:t>f</w:t>
            </w:r>
            <w:r w:rsidR="00140086" w:rsidRPr="00AC41E0">
              <w:rPr>
                <w:rFonts w:cs="Arial"/>
              </w:rPr>
              <w:t>unctionality</w:t>
            </w:r>
            <w:r w:rsidR="00150960" w:rsidRPr="00AC41E0">
              <w:rPr>
                <w:rFonts w:cs="Arial"/>
              </w:rPr>
              <w:t xml:space="preserve"> (</w:t>
            </w:r>
            <w:r w:rsidR="00140086" w:rsidRPr="00AC41E0">
              <w:rPr>
                <w:rFonts w:cs="Arial"/>
              </w:rPr>
              <w:t>includ</w:t>
            </w:r>
            <w:r w:rsidR="00150960" w:rsidRPr="00AC41E0">
              <w:rPr>
                <w:rFonts w:cs="Arial"/>
              </w:rPr>
              <w:t>ing</w:t>
            </w:r>
            <w:r w:rsidR="00140086" w:rsidRPr="00AC41E0">
              <w:rPr>
                <w:rFonts w:cs="Arial"/>
              </w:rPr>
              <w:t xml:space="preserve"> alarm/event management, device management, visualisation, performance</w:t>
            </w:r>
            <w:r w:rsidRPr="00AC41E0">
              <w:rPr>
                <w:rFonts w:cs="Arial"/>
              </w:rPr>
              <w:t>)</w:t>
            </w:r>
            <w:r w:rsidR="00150960" w:rsidRPr="00AC41E0">
              <w:rPr>
                <w:rFonts w:cs="Arial"/>
              </w:rPr>
              <w:t>.</w:t>
            </w:r>
          </w:p>
        </w:tc>
      </w:tr>
      <w:tr w:rsidR="0033006F" w:rsidRPr="00AC41E0" w14:paraId="06C775B8" w14:textId="77777777" w:rsidTr="00F33137">
        <w:tc>
          <w:tcPr>
            <w:cnfStyle w:val="001000000000" w:firstRow="0" w:lastRow="0" w:firstColumn="1" w:lastColumn="0" w:oddVBand="0" w:evenVBand="0" w:oddHBand="0" w:evenHBand="0" w:firstRowFirstColumn="0" w:firstRowLastColumn="0" w:lastRowFirstColumn="0" w:lastRowLastColumn="0"/>
            <w:tcW w:w="2462" w:type="dxa"/>
          </w:tcPr>
          <w:p w14:paraId="01307A2B" w14:textId="341FE6D8" w:rsidR="0033006F" w:rsidRPr="00AC41E0" w:rsidRDefault="0033006F" w:rsidP="00003096">
            <w:pPr>
              <w:pStyle w:val="DCSbodytext"/>
              <w:numPr>
                <w:ilvl w:val="0"/>
                <w:numId w:val="173"/>
              </w:numPr>
              <w:spacing w:after="0"/>
            </w:pPr>
            <w:r w:rsidRPr="00AC41E0">
              <w:t>Understand the purpose of the evaluation</w:t>
            </w:r>
          </w:p>
        </w:tc>
        <w:tc>
          <w:tcPr>
            <w:tcW w:w="6372" w:type="dxa"/>
          </w:tcPr>
          <w:p w14:paraId="40CB13B9" w14:textId="77777777" w:rsidR="00C60ECA" w:rsidRPr="00AC41E0" w:rsidRDefault="0033006F" w:rsidP="00003096">
            <w:pPr>
              <w:pStyle w:val="DCSbodytext"/>
              <w:numPr>
                <w:ilvl w:val="0"/>
                <w:numId w:val="176"/>
              </w:numPr>
              <w:spacing w:after="120"/>
              <w:ind w:left="357" w:hanging="357"/>
              <w:cnfStyle w:val="000000000000" w:firstRow="0" w:lastRow="0" w:firstColumn="0" w:lastColumn="0" w:oddVBand="0" w:evenVBand="0" w:oddHBand="0" w:evenHBand="0" w:firstRowFirstColumn="0" w:firstRowLastColumn="0" w:lastRowFirstColumn="0" w:lastRowLastColumn="0"/>
            </w:pPr>
            <w:r w:rsidRPr="00AC41E0">
              <w:t xml:space="preserve">What decisions need to be made about your IoT-enabled project? </w:t>
            </w:r>
          </w:p>
          <w:p w14:paraId="3BCB7154" w14:textId="61E59D29" w:rsidR="0033006F" w:rsidRPr="00AC41E0" w:rsidRDefault="0033006F" w:rsidP="00003096">
            <w:pPr>
              <w:pStyle w:val="DCSbodytext"/>
              <w:numPr>
                <w:ilvl w:val="0"/>
                <w:numId w:val="176"/>
              </w:numPr>
              <w:spacing w:after="0"/>
              <w:cnfStyle w:val="000000000000" w:firstRow="0" w:lastRow="0" w:firstColumn="0" w:lastColumn="0" w:oddVBand="0" w:evenVBand="0" w:oddHBand="0" w:evenHBand="0" w:firstRowFirstColumn="0" w:firstRowLastColumn="0" w:lastRowFirstColumn="0" w:lastRowLastColumn="0"/>
            </w:pPr>
            <w:r w:rsidRPr="00AC41E0">
              <w:t>Will decision-makers be considering the project’s future, including continuing, expanding or discontinuing the project?</w:t>
            </w:r>
          </w:p>
        </w:tc>
      </w:tr>
      <w:tr w:rsidR="0033006F" w:rsidRPr="00AC41E0" w14:paraId="7FB01AF7" w14:textId="77777777" w:rsidTr="00F33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2CFBB663" w14:textId="6082EF32" w:rsidR="0033006F" w:rsidRPr="00AC41E0" w:rsidRDefault="0033006F" w:rsidP="00003096">
            <w:pPr>
              <w:pStyle w:val="DCSbodytext"/>
              <w:numPr>
                <w:ilvl w:val="0"/>
                <w:numId w:val="173"/>
              </w:numPr>
              <w:spacing w:after="0"/>
            </w:pPr>
            <w:r w:rsidRPr="00AC41E0">
              <w:t>Know the primary audience</w:t>
            </w:r>
          </w:p>
        </w:tc>
        <w:tc>
          <w:tcPr>
            <w:tcW w:w="6372" w:type="dxa"/>
          </w:tcPr>
          <w:p w14:paraId="4F90C3B0" w14:textId="612E1AAA" w:rsidR="0033006F" w:rsidRPr="00AC41E0" w:rsidRDefault="00F5732B" w:rsidP="00003096">
            <w:pPr>
              <w:pStyle w:val="DCSbodytext"/>
              <w:numPr>
                <w:ilvl w:val="0"/>
                <w:numId w:val="177"/>
              </w:numPr>
              <w:spacing w:after="0"/>
              <w:cnfStyle w:val="000000100000" w:firstRow="0" w:lastRow="0" w:firstColumn="0" w:lastColumn="0" w:oddVBand="0" w:evenVBand="0" w:oddHBand="1" w:evenHBand="0" w:firstRowFirstColumn="0" w:firstRowLastColumn="0" w:lastRowFirstColumn="0" w:lastRowLastColumn="0"/>
            </w:pPr>
            <w:r w:rsidRPr="00AC41E0">
              <w:t>W</w:t>
            </w:r>
            <w:r w:rsidR="0033006F" w:rsidRPr="00AC41E0">
              <w:t>ho will receive and use the evaluation findings?</w:t>
            </w:r>
          </w:p>
        </w:tc>
      </w:tr>
      <w:tr w:rsidR="0033006F" w:rsidRPr="00AC41E0" w14:paraId="4A4E62CE" w14:textId="77777777" w:rsidTr="00F33137">
        <w:tc>
          <w:tcPr>
            <w:cnfStyle w:val="001000000000" w:firstRow="0" w:lastRow="0" w:firstColumn="1" w:lastColumn="0" w:oddVBand="0" w:evenVBand="0" w:oddHBand="0" w:evenHBand="0" w:firstRowFirstColumn="0" w:firstRowLastColumn="0" w:lastRowFirstColumn="0" w:lastRowLastColumn="0"/>
            <w:tcW w:w="2462" w:type="dxa"/>
          </w:tcPr>
          <w:p w14:paraId="22076261" w14:textId="797A5419" w:rsidR="0033006F" w:rsidRPr="00AC41E0" w:rsidRDefault="0033006F" w:rsidP="00003096">
            <w:pPr>
              <w:pStyle w:val="DCSbodytext"/>
              <w:numPr>
                <w:ilvl w:val="0"/>
                <w:numId w:val="173"/>
              </w:numPr>
              <w:spacing w:after="0"/>
            </w:pPr>
            <w:r w:rsidRPr="00AC41E0">
              <w:t>Governance and oversight</w:t>
            </w:r>
          </w:p>
        </w:tc>
        <w:tc>
          <w:tcPr>
            <w:tcW w:w="6372" w:type="dxa"/>
          </w:tcPr>
          <w:p w14:paraId="1055E567" w14:textId="4FFF08C5" w:rsidR="0033006F" w:rsidRPr="00AC41E0" w:rsidRDefault="00F5732B" w:rsidP="00003096">
            <w:pPr>
              <w:pStyle w:val="DCSbodytext"/>
              <w:numPr>
                <w:ilvl w:val="0"/>
                <w:numId w:val="177"/>
              </w:numPr>
              <w:spacing w:after="0"/>
              <w:cnfStyle w:val="000000000000" w:firstRow="0" w:lastRow="0" w:firstColumn="0" w:lastColumn="0" w:oddVBand="0" w:evenVBand="0" w:oddHBand="0" w:evenHBand="0" w:firstRowFirstColumn="0" w:firstRowLastColumn="0" w:lastRowFirstColumn="0" w:lastRowLastColumn="0"/>
            </w:pPr>
            <w:r w:rsidRPr="00AC41E0">
              <w:t>A</w:t>
            </w:r>
            <w:r w:rsidR="0033006F" w:rsidRPr="00AC41E0">
              <w:t>re effective governance processes in place?</w:t>
            </w:r>
          </w:p>
        </w:tc>
      </w:tr>
      <w:tr w:rsidR="0033006F" w:rsidRPr="00AC41E0" w14:paraId="6D511F6C" w14:textId="77777777" w:rsidTr="00F33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3C315021" w14:textId="66C84190" w:rsidR="0033006F" w:rsidRPr="00AC41E0" w:rsidRDefault="0033006F" w:rsidP="00003096">
            <w:pPr>
              <w:pStyle w:val="DCSbodytext"/>
              <w:numPr>
                <w:ilvl w:val="0"/>
                <w:numId w:val="173"/>
              </w:numPr>
              <w:spacing w:after="0"/>
            </w:pPr>
            <w:r w:rsidRPr="00AC41E0">
              <w:t>Allocate and understand key roles and responsibilities</w:t>
            </w:r>
          </w:p>
        </w:tc>
        <w:tc>
          <w:tcPr>
            <w:tcW w:w="6372" w:type="dxa"/>
          </w:tcPr>
          <w:p w14:paraId="6CF64EEF" w14:textId="77777777" w:rsidR="001904B6" w:rsidRPr="00AC41E0" w:rsidRDefault="006257C5" w:rsidP="00003096">
            <w:pPr>
              <w:pStyle w:val="DCSbodytext"/>
              <w:numPr>
                <w:ilvl w:val="0"/>
                <w:numId w:val="177"/>
              </w:numPr>
              <w:spacing w:after="120"/>
              <w:ind w:left="357" w:hanging="357"/>
              <w:cnfStyle w:val="000000100000" w:firstRow="0" w:lastRow="0" w:firstColumn="0" w:lastColumn="0" w:oddVBand="0" w:evenVBand="0" w:oddHBand="1" w:evenHBand="0" w:firstRowFirstColumn="0" w:firstRowLastColumn="0" w:lastRowFirstColumn="0" w:lastRowLastColumn="0"/>
            </w:pPr>
            <w:r w:rsidRPr="00AC41E0">
              <w:t>W</w:t>
            </w:r>
            <w:r w:rsidR="0033006F" w:rsidRPr="00AC41E0">
              <w:t xml:space="preserve">ho is commissioning the evaluation? </w:t>
            </w:r>
          </w:p>
          <w:p w14:paraId="4F39A6C7" w14:textId="77777777" w:rsidR="001904B6" w:rsidRPr="00AC41E0" w:rsidRDefault="0033006F" w:rsidP="00003096">
            <w:pPr>
              <w:pStyle w:val="DCSbodytext"/>
              <w:numPr>
                <w:ilvl w:val="0"/>
                <w:numId w:val="177"/>
              </w:numPr>
              <w:spacing w:after="120"/>
              <w:ind w:left="357" w:hanging="357"/>
              <w:cnfStyle w:val="000000100000" w:firstRow="0" w:lastRow="0" w:firstColumn="0" w:lastColumn="0" w:oddVBand="0" w:evenVBand="0" w:oddHBand="1" w:evenHBand="0" w:firstRowFirstColumn="0" w:firstRowLastColumn="0" w:lastRowFirstColumn="0" w:lastRowLastColumn="0"/>
            </w:pPr>
            <w:r w:rsidRPr="00AC41E0">
              <w:t xml:space="preserve">Who will manage it? </w:t>
            </w:r>
          </w:p>
          <w:p w14:paraId="6AFA7265" w14:textId="77777777" w:rsidR="001904B6" w:rsidRPr="00AC41E0" w:rsidRDefault="0033006F" w:rsidP="00003096">
            <w:pPr>
              <w:pStyle w:val="DCSbodytext"/>
              <w:numPr>
                <w:ilvl w:val="0"/>
                <w:numId w:val="177"/>
              </w:numPr>
              <w:spacing w:after="120"/>
              <w:ind w:left="357" w:hanging="357"/>
              <w:cnfStyle w:val="000000100000" w:firstRow="0" w:lastRow="0" w:firstColumn="0" w:lastColumn="0" w:oddVBand="0" w:evenVBand="0" w:oddHBand="1" w:evenHBand="0" w:firstRowFirstColumn="0" w:firstRowLastColumn="0" w:lastRowFirstColumn="0" w:lastRowLastColumn="0"/>
            </w:pPr>
            <w:r w:rsidRPr="00AC41E0">
              <w:lastRenderedPageBreak/>
              <w:t xml:space="preserve">Who will conduct it? </w:t>
            </w:r>
          </w:p>
          <w:p w14:paraId="4ADBCCEB" w14:textId="48562330" w:rsidR="0033006F" w:rsidRPr="00AC41E0" w:rsidRDefault="0033006F" w:rsidP="00003096">
            <w:pPr>
              <w:pStyle w:val="DCSbodytext"/>
              <w:numPr>
                <w:ilvl w:val="0"/>
                <w:numId w:val="177"/>
              </w:numPr>
              <w:spacing w:after="0"/>
              <w:cnfStyle w:val="000000100000" w:firstRow="0" w:lastRow="0" w:firstColumn="0" w:lastColumn="0" w:oddVBand="0" w:evenVBand="0" w:oddHBand="1" w:evenHBand="0" w:firstRowFirstColumn="0" w:firstRowLastColumn="0" w:lastRowFirstColumn="0" w:lastRowLastColumn="0"/>
            </w:pPr>
            <w:r w:rsidRPr="00AC41E0">
              <w:t xml:space="preserve">Who will be responsible for </w:t>
            </w:r>
            <w:r w:rsidR="00DF7122" w:rsidRPr="00AC41E0">
              <w:t xml:space="preserve">the </w:t>
            </w:r>
            <w:r w:rsidRPr="00AC41E0">
              <w:t>consideration and implementation of findings?</w:t>
            </w:r>
          </w:p>
        </w:tc>
      </w:tr>
      <w:tr w:rsidR="0033006F" w:rsidRPr="00AC41E0" w14:paraId="50C36816" w14:textId="77777777" w:rsidTr="00F33137">
        <w:tc>
          <w:tcPr>
            <w:cnfStyle w:val="001000000000" w:firstRow="0" w:lastRow="0" w:firstColumn="1" w:lastColumn="0" w:oddVBand="0" w:evenVBand="0" w:oddHBand="0" w:evenHBand="0" w:firstRowFirstColumn="0" w:firstRowLastColumn="0" w:lastRowFirstColumn="0" w:lastRowLastColumn="0"/>
            <w:tcW w:w="2462" w:type="dxa"/>
          </w:tcPr>
          <w:p w14:paraId="5C2F5A15" w14:textId="1B95C540" w:rsidR="0033006F" w:rsidRPr="00AC41E0" w:rsidRDefault="0033006F" w:rsidP="00003096">
            <w:pPr>
              <w:pStyle w:val="DCSbodytext"/>
              <w:numPr>
                <w:ilvl w:val="0"/>
                <w:numId w:val="173"/>
              </w:numPr>
              <w:spacing w:after="0"/>
            </w:pPr>
            <w:r w:rsidRPr="00AC41E0">
              <w:lastRenderedPageBreak/>
              <w:t>Identify key questions</w:t>
            </w:r>
          </w:p>
        </w:tc>
        <w:tc>
          <w:tcPr>
            <w:tcW w:w="6372" w:type="dxa"/>
          </w:tcPr>
          <w:p w14:paraId="7073A9AC" w14:textId="51EAF7E7" w:rsidR="0033006F" w:rsidRPr="00AC41E0" w:rsidRDefault="00F5732B" w:rsidP="00003096">
            <w:pPr>
              <w:pStyle w:val="DCSbodytext"/>
              <w:numPr>
                <w:ilvl w:val="0"/>
                <w:numId w:val="178"/>
              </w:numPr>
              <w:spacing w:after="120"/>
              <w:cnfStyle w:val="000000000000" w:firstRow="0" w:lastRow="0" w:firstColumn="0" w:lastColumn="0" w:oddVBand="0" w:evenVBand="0" w:oddHBand="0" w:evenHBand="0" w:firstRowFirstColumn="0" w:firstRowLastColumn="0" w:lastRowFirstColumn="0" w:lastRowLastColumn="0"/>
            </w:pPr>
            <w:r w:rsidRPr="00AC41E0">
              <w:t>W</w:t>
            </w:r>
            <w:r w:rsidR="0033006F" w:rsidRPr="00AC41E0">
              <w:t>hat are the key questions the evaluation should answer? Questions could include:</w:t>
            </w:r>
          </w:p>
          <w:p w14:paraId="20411429" w14:textId="77777777" w:rsidR="0033006F" w:rsidRPr="00AC41E0" w:rsidRDefault="0033006F" w:rsidP="00003096">
            <w:pPr>
              <w:pStyle w:val="DCSbodytext"/>
              <w:numPr>
                <w:ilvl w:val="0"/>
                <w:numId w:val="179"/>
              </w:numPr>
              <w:spacing w:after="120"/>
              <w:cnfStyle w:val="000000000000" w:firstRow="0" w:lastRow="0" w:firstColumn="0" w:lastColumn="0" w:oddVBand="0" w:evenVBand="0" w:oddHBand="0" w:evenHBand="0" w:firstRowFirstColumn="0" w:firstRowLastColumn="0" w:lastRowFirstColumn="0" w:lastRowLastColumn="0"/>
            </w:pPr>
            <w:r w:rsidRPr="00AC41E0">
              <w:t>Did you see the improvement you expected to see?</w:t>
            </w:r>
          </w:p>
          <w:p w14:paraId="7BAF394A" w14:textId="77777777" w:rsidR="0033006F" w:rsidRPr="00AC41E0" w:rsidRDefault="0033006F" w:rsidP="00003096">
            <w:pPr>
              <w:pStyle w:val="DCSbodytext"/>
              <w:numPr>
                <w:ilvl w:val="0"/>
                <w:numId w:val="179"/>
              </w:numPr>
              <w:spacing w:after="120"/>
              <w:cnfStyle w:val="000000000000" w:firstRow="0" w:lastRow="0" w:firstColumn="0" w:lastColumn="0" w:oddVBand="0" w:evenVBand="0" w:oddHBand="0" w:evenHBand="0" w:firstRowFirstColumn="0" w:firstRowLastColumn="0" w:lastRowFirstColumn="0" w:lastRowLastColumn="0"/>
            </w:pPr>
            <w:r w:rsidRPr="00AC41E0">
              <w:t>Did you discover something entirely new?</w:t>
            </w:r>
          </w:p>
          <w:p w14:paraId="1F9FCE8B" w14:textId="52345115" w:rsidR="0033006F" w:rsidRPr="00AC41E0" w:rsidRDefault="0033006F" w:rsidP="00003096">
            <w:pPr>
              <w:pStyle w:val="DCSbodytext"/>
              <w:numPr>
                <w:ilvl w:val="0"/>
                <w:numId w:val="179"/>
              </w:numPr>
              <w:spacing w:after="0"/>
              <w:cnfStyle w:val="000000000000" w:firstRow="0" w:lastRow="0" w:firstColumn="0" w:lastColumn="0" w:oddVBand="0" w:evenVBand="0" w:oddHBand="0" w:evenHBand="0" w:firstRowFirstColumn="0" w:firstRowLastColumn="0" w:lastRowFirstColumn="0" w:lastRowLastColumn="0"/>
            </w:pPr>
            <w:r w:rsidRPr="00AC41E0">
              <w:t>Did the project miss the mark?</w:t>
            </w:r>
          </w:p>
        </w:tc>
      </w:tr>
      <w:tr w:rsidR="0033006F" w:rsidRPr="00AC41E0" w14:paraId="68E1E4D6" w14:textId="77777777" w:rsidTr="00F33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737CF9AB" w14:textId="08AFFF27" w:rsidR="0033006F" w:rsidRPr="00AC41E0" w:rsidRDefault="0033006F" w:rsidP="00003096">
            <w:pPr>
              <w:pStyle w:val="DCSbodytext"/>
              <w:numPr>
                <w:ilvl w:val="0"/>
                <w:numId w:val="173"/>
              </w:numPr>
              <w:spacing w:after="0"/>
            </w:pPr>
            <w:r w:rsidRPr="00AC41E0">
              <w:t>Select your methodolog</w:t>
            </w:r>
            <w:r w:rsidR="00F5732B" w:rsidRPr="00AC41E0">
              <w:t>y</w:t>
            </w:r>
          </w:p>
        </w:tc>
        <w:tc>
          <w:tcPr>
            <w:tcW w:w="6372" w:type="dxa"/>
          </w:tcPr>
          <w:p w14:paraId="5010F45E" w14:textId="77777777" w:rsidR="001904B6" w:rsidRPr="00AC41E0" w:rsidRDefault="00F5732B" w:rsidP="00003096">
            <w:pPr>
              <w:pStyle w:val="DCSbodytext"/>
              <w:numPr>
                <w:ilvl w:val="0"/>
                <w:numId w:val="180"/>
              </w:numPr>
              <w:spacing w:after="0"/>
              <w:cnfStyle w:val="000000100000" w:firstRow="0" w:lastRow="0" w:firstColumn="0" w:lastColumn="0" w:oddVBand="0" w:evenVBand="0" w:oddHBand="1" w:evenHBand="0" w:firstRowFirstColumn="0" w:firstRowLastColumn="0" w:lastRowFirstColumn="0" w:lastRowLastColumn="0"/>
            </w:pPr>
            <w:r w:rsidRPr="00AC41E0">
              <w:t>W</w:t>
            </w:r>
            <w:r w:rsidR="0033006F" w:rsidRPr="00AC41E0">
              <w:t xml:space="preserve">hat methodology will the evaluation use? </w:t>
            </w:r>
          </w:p>
          <w:p w14:paraId="1C83019F" w14:textId="34703794" w:rsidR="0033006F" w:rsidRPr="00AC41E0" w:rsidRDefault="0033006F" w:rsidP="00003096">
            <w:pPr>
              <w:pStyle w:val="DCSbodytext"/>
              <w:numPr>
                <w:ilvl w:val="1"/>
                <w:numId w:val="180"/>
              </w:numPr>
              <w:spacing w:after="0"/>
              <w:ind w:left="745" w:hanging="283"/>
              <w:cnfStyle w:val="000000100000" w:firstRow="0" w:lastRow="0" w:firstColumn="0" w:lastColumn="0" w:oddVBand="0" w:evenVBand="0" w:oddHBand="1" w:evenHBand="0" w:firstRowFirstColumn="0" w:firstRowLastColumn="0" w:lastRowFirstColumn="0" w:lastRowLastColumn="0"/>
            </w:pPr>
            <w:r w:rsidRPr="00AC41E0">
              <w:t>Typically, more than one is needed. Compare your analytics with reality by speaking with employees about their experiences with the project.</w:t>
            </w:r>
          </w:p>
        </w:tc>
      </w:tr>
      <w:tr w:rsidR="0033006F" w:rsidRPr="00AC41E0" w14:paraId="718FDA69" w14:textId="77777777" w:rsidTr="00F33137">
        <w:tc>
          <w:tcPr>
            <w:cnfStyle w:val="001000000000" w:firstRow="0" w:lastRow="0" w:firstColumn="1" w:lastColumn="0" w:oddVBand="0" w:evenVBand="0" w:oddHBand="0" w:evenHBand="0" w:firstRowFirstColumn="0" w:firstRowLastColumn="0" w:lastRowFirstColumn="0" w:lastRowLastColumn="0"/>
            <w:tcW w:w="2462" w:type="dxa"/>
          </w:tcPr>
          <w:p w14:paraId="3D14C8CC" w14:textId="678613E7" w:rsidR="0033006F" w:rsidRPr="00AC41E0" w:rsidRDefault="0033006F" w:rsidP="00003096">
            <w:pPr>
              <w:pStyle w:val="DCSbodytext"/>
              <w:numPr>
                <w:ilvl w:val="0"/>
                <w:numId w:val="173"/>
              </w:numPr>
              <w:spacing w:after="0"/>
            </w:pPr>
            <w:r w:rsidRPr="00AC41E0">
              <w:t>Disseminate the findings</w:t>
            </w:r>
          </w:p>
        </w:tc>
        <w:tc>
          <w:tcPr>
            <w:tcW w:w="6372" w:type="dxa"/>
          </w:tcPr>
          <w:p w14:paraId="616818E4" w14:textId="2B90B192" w:rsidR="0033006F" w:rsidRPr="00AC41E0" w:rsidRDefault="00F5732B" w:rsidP="00003096">
            <w:pPr>
              <w:pStyle w:val="DCSbodytext"/>
              <w:numPr>
                <w:ilvl w:val="0"/>
                <w:numId w:val="180"/>
              </w:numPr>
              <w:spacing w:after="0"/>
              <w:cnfStyle w:val="000000000000" w:firstRow="0" w:lastRow="0" w:firstColumn="0" w:lastColumn="0" w:oddVBand="0" w:evenVBand="0" w:oddHBand="0" w:evenHBand="0" w:firstRowFirstColumn="0" w:firstRowLastColumn="0" w:lastRowFirstColumn="0" w:lastRowLastColumn="0"/>
            </w:pPr>
            <w:r w:rsidRPr="00AC41E0">
              <w:t>H</w:t>
            </w:r>
            <w:r w:rsidR="0033006F" w:rsidRPr="00AC41E0">
              <w:t>ow will you communicate the findings to decision-makers, service provide</w:t>
            </w:r>
            <w:r w:rsidR="00DF7122" w:rsidRPr="00AC41E0">
              <w:t>r</w:t>
            </w:r>
            <w:r w:rsidR="0033006F" w:rsidRPr="00AC41E0">
              <w:t>s, other stakeholders and the community?</w:t>
            </w:r>
          </w:p>
        </w:tc>
      </w:tr>
      <w:tr w:rsidR="0033006F" w:rsidRPr="00AC41E0" w14:paraId="7BADC34E" w14:textId="77777777" w:rsidTr="00F33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36BAEA74" w14:textId="4551A883" w:rsidR="0033006F" w:rsidRPr="00AC41E0" w:rsidRDefault="0033006F" w:rsidP="00003096">
            <w:pPr>
              <w:pStyle w:val="DCSbodytext"/>
              <w:numPr>
                <w:ilvl w:val="0"/>
                <w:numId w:val="173"/>
              </w:numPr>
              <w:spacing w:after="0"/>
            </w:pPr>
            <w:r w:rsidRPr="00AC41E0">
              <w:t>Protect privacy and uphold ethics</w:t>
            </w:r>
          </w:p>
        </w:tc>
        <w:tc>
          <w:tcPr>
            <w:tcW w:w="6372" w:type="dxa"/>
          </w:tcPr>
          <w:p w14:paraId="3BC124CE" w14:textId="686A4488" w:rsidR="0033006F" w:rsidRPr="00AC41E0" w:rsidRDefault="00F5732B" w:rsidP="00003096">
            <w:pPr>
              <w:pStyle w:val="DCSbodytext"/>
              <w:numPr>
                <w:ilvl w:val="0"/>
                <w:numId w:val="180"/>
              </w:numPr>
              <w:spacing w:after="0"/>
              <w:cnfStyle w:val="000000100000" w:firstRow="0" w:lastRow="0" w:firstColumn="0" w:lastColumn="0" w:oddVBand="0" w:evenVBand="0" w:oddHBand="1" w:evenHBand="0" w:firstRowFirstColumn="0" w:firstRowLastColumn="0" w:lastRowFirstColumn="0" w:lastRowLastColumn="0"/>
            </w:pPr>
            <w:r w:rsidRPr="00AC41E0">
              <w:t>W</w:t>
            </w:r>
            <w:r w:rsidR="0033006F" w:rsidRPr="00AC41E0">
              <w:t>hat ethical issues need to be considered and addressed?</w:t>
            </w:r>
          </w:p>
        </w:tc>
      </w:tr>
      <w:tr w:rsidR="0033006F" w:rsidRPr="00AC41E0" w14:paraId="3AD01981" w14:textId="77777777" w:rsidTr="00F33137">
        <w:tc>
          <w:tcPr>
            <w:cnfStyle w:val="001000000000" w:firstRow="0" w:lastRow="0" w:firstColumn="1" w:lastColumn="0" w:oddVBand="0" w:evenVBand="0" w:oddHBand="0" w:evenHBand="0" w:firstRowFirstColumn="0" w:firstRowLastColumn="0" w:lastRowFirstColumn="0" w:lastRowLastColumn="0"/>
            <w:tcW w:w="2462" w:type="dxa"/>
          </w:tcPr>
          <w:p w14:paraId="542A8AAF" w14:textId="707A23D0" w:rsidR="0033006F" w:rsidRPr="00AC41E0" w:rsidRDefault="008663A5" w:rsidP="00003096">
            <w:pPr>
              <w:pStyle w:val="DCSbodytext"/>
              <w:numPr>
                <w:ilvl w:val="0"/>
                <w:numId w:val="173"/>
              </w:numPr>
              <w:spacing w:after="0"/>
            </w:pPr>
            <w:r w:rsidRPr="00AC41E0">
              <w:t xml:space="preserve"> </w:t>
            </w:r>
            <w:r w:rsidR="0033006F" w:rsidRPr="00AC41E0">
              <w:t>Resources</w:t>
            </w:r>
          </w:p>
        </w:tc>
        <w:tc>
          <w:tcPr>
            <w:tcW w:w="6372" w:type="dxa"/>
          </w:tcPr>
          <w:p w14:paraId="1D4BB40F" w14:textId="77777777" w:rsidR="001904B6" w:rsidRPr="00AC41E0" w:rsidRDefault="0033006F" w:rsidP="00003096">
            <w:pPr>
              <w:pStyle w:val="DCSbodytext"/>
              <w:numPr>
                <w:ilvl w:val="0"/>
                <w:numId w:val="180"/>
              </w:numPr>
              <w:spacing w:after="120"/>
              <w:ind w:left="357" w:hanging="357"/>
              <w:cnfStyle w:val="000000000000" w:firstRow="0" w:lastRow="0" w:firstColumn="0" w:lastColumn="0" w:oddVBand="0" w:evenVBand="0" w:oddHBand="0" w:evenHBand="0" w:firstRowFirstColumn="0" w:firstRowLastColumn="0" w:lastRowFirstColumn="0" w:lastRowLastColumn="0"/>
            </w:pPr>
            <w:r w:rsidRPr="00AC41E0">
              <w:t xml:space="preserve">How much time is available to conduct the evaluation? </w:t>
            </w:r>
          </w:p>
          <w:p w14:paraId="578407D8" w14:textId="77777777" w:rsidR="001904B6" w:rsidRPr="00AC41E0" w:rsidRDefault="0033006F" w:rsidP="00003096">
            <w:pPr>
              <w:pStyle w:val="DCSbodytext"/>
              <w:numPr>
                <w:ilvl w:val="0"/>
                <w:numId w:val="180"/>
              </w:numPr>
              <w:spacing w:after="120"/>
              <w:ind w:left="357" w:hanging="357"/>
              <w:cnfStyle w:val="000000000000" w:firstRow="0" w:lastRow="0" w:firstColumn="0" w:lastColumn="0" w:oddVBand="0" w:evenVBand="0" w:oddHBand="0" w:evenHBand="0" w:firstRowFirstColumn="0" w:firstRowLastColumn="0" w:lastRowFirstColumn="0" w:lastRowLastColumn="0"/>
            </w:pPr>
            <w:r w:rsidRPr="00AC41E0">
              <w:t xml:space="preserve">What is the evaluation budget? </w:t>
            </w:r>
          </w:p>
          <w:p w14:paraId="18F287A7" w14:textId="77777777" w:rsidR="001904B6" w:rsidRPr="00AC41E0" w:rsidRDefault="0033006F" w:rsidP="00003096">
            <w:pPr>
              <w:pStyle w:val="DCSbodytext"/>
              <w:numPr>
                <w:ilvl w:val="0"/>
                <w:numId w:val="180"/>
              </w:numPr>
              <w:spacing w:after="120"/>
              <w:ind w:left="357" w:hanging="357"/>
              <w:cnfStyle w:val="000000000000" w:firstRow="0" w:lastRow="0" w:firstColumn="0" w:lastColumn="0" w:oddVBand="0" w:evenVBand="0" w:oddHBand="0" w:evenHBand="0" w:firstRowFirstColumn="0" w:firstRowLastColumn="0" w:lastRowFirstColumn="0" w:lastRowLastColumn="0"/>
            </w:pPr>
            <w:r w:rsidRPr="00AC41E0">
              <w:t xml:space="preserve">What skills are required and available? What materials and evidence are required? </w:t>
            </w:r>
          </w:p>
          <w:p w14:paraId="7F174572" w14:textId="7F2DBE82" w:rsidR="0033006F" w:rsidRPr="00AC41E0" w:rsidRDefault="0033006F" w:rsidP="00003096">
            <w:pPr>
              <w:pStyle w:val="DCSbodytext"/>
              <w:numPr>
                <w:ilvl w:val="0"/>
                <w:numId w:val="180"/>
              </w:numPr>
              <w:spacing w:after="120"/>
              <w:ind w:left="357" w:hanging="357"/>
              <w:cnfStyle w:val="000000000000" w:firstRow="0" w:lastRow="0" w:firstColumn="0" w:lastColumn="0" w:oddVBand="0" w:evenVBand="0" w:oddHBand="0" w:evenHBand="0" w:firstRowFirstColumn="0" w:firstRowLastColumn="0" w:lastRowFirstColumn="0" w:lastRowLastColumn="0"/>
            </w:pPr>
            <w:r w:rsidRPr="00AC41E0">
              <w:t>What are the key milestones and deliverables for the evaluation?</w:t>
            </w:r>
          </w:p>
        </w:tc>
      </w:tr>
      <w:tr w:rsidR="0033006F" w:rsidRPr="00AC41E0" w14:paraId="09080224" w14:textId="77777777" w:rsidTr="00F33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1E0039DD" w14:textId="12DB6AFC" w:rsidR="0033006F" w:rsidRPr="00AC41E0" w:rsidRDefault="006257C5" w:rsidP="00003096">
            <w:pPr>
              <w:pStyle w:val="DCSbodytext"/>
              <w:numPr>
                <w:ilvl w:val="0"/>
                <w:numId w:val="173"/>
              </w:numPr>
              <w:spacing w:after="0"/>
            </w:pPr>
            <w:r w:rsidRPr="00AC41E0">
              <w:t xml:space="preserve"> </w:t>
            </w:r>
            <w:r w:rsidR="0033006F" w:rsidRPr="00AC41E0">
              <w:t>Include stakeholders</w:t>
            </w:r>
          </w:p>
        </w:tc>
        <w:tc>
          <w:tcPr>
            <w:tcW w:w="6372" w:type="dxa"/>
          </w:tcPr>
          <w:p w14:paraId="719E4882" w14:textId="77777777" w:rsidR="001904B6" w:rsidRPr="00AC41E0" w:rsidRDefault="0033006F" w:rsidP="00003096">
            <w:pPr>
              <w:pStyle w:val="DCSbodytext"/>
              <w:numPr>
                <w:ilvl w:val="0"/>
                <w:numId w:val="181"/>
              </w:numPr>
              <w:spacing w:after="120"/>
              <w:ind w:left="357" w:hanging="357"/>
              <w:cnfStyle w:val="000000100000" w:firstRow="0" w:lastRow="0" w:firstColumn="0" w:lastColumn="0" w:oddVBand="0" w:evenVBand="0" w:oddHBand="1" w:evenHBand="0" w:firstRowFirstColumn="0" w:firstRowLastColumn="0" w:lastRowFirstColumn="0" w:lastRowLastColumn="0"/>
            </w:pPr>
            <w:r w:rsidRPr="00AC41E0">
              <w:t>Who are the evaluation stakeholders and how can they be included in planning, conducting and understand the evaluation findings?</w:t>
            </w:r>
            <w:r w:rsidR="00957C96" w:rsidRPr="00AC41E0">
              <w:t xml:space="preserve"> </w:t>
            </w:r>
          </w:p>
          <w:p w14:paraId="09B893BA" w14:textId="7A1ACFAE" w:rsidR="004F63D4" w:rsidRPr="00AC41E0" w:rsidRDefault="00957C96" w:rsidP="00003096">
            <w:pPr>
              <w:pStyle w:val="DCSbodytext"/>
              <w:numPr>
                <w:ilvl w:val="1"/>
                <w:numId w:val="181"/>
              </w:numPr>
              <w:spacing w:after="0"/>
              <w:ind w:left="603" w:hanging="283"/>
              <w:cnfStyle w:val="000000100000" w:firstRow="0" w:lastRow="0" w:firstColumn="0" w:lastColumn="0" w:oddVBand="0" w:evenVBand="0" w:oddHBand="1" w:evenHBand="0" w:firstRowFirstColumn="0" w:firstRowLastColumn="0" w:lastRowFirstColumn="0" w:lastRowLastColumn="0"/>
            </w:pPr>
            <w:r w:rsidRPr="00AC41E0">
              <w:t>E</w:t>
            </w:r>
            <w:r w:rsidR="004F63D4" w:rsidRPr="00AC41E0">
              <w:t>valuation is strengthened with the active participation of project managers, staff and stakeholders.</w:t>
            </w:r>
          </w:p>
        </w:tc>
      </w:tr>
    </w:tbl>
    <w:p w14:paraId="7CDA2EBF" w14:textId="77777777" w:rsidR="00F5732B" w:rsidRPr="00AC41E0" w:rsidRDefault="00F5732B" w:rsidP="002F2042">
      <w:pPr>
        <w:pStyle w:val="DCSbodytext"/>
      </w:pPr>
    </w:p>
    <w:p w14:paraId="4B51E1E1" w14:textId="52384D51" w:rsidR="003E4C6C" w:rsidRPr="00AC41E0" w:rsidRDefault="003E4C6C" w:rsidP="00545316">
      <w:pPr>
        <w:pStyle w:val="Heading4"/>
        <w:rPr>
          <w:rFonts w:ascii="Arial" w:hAnsi="Arial"/>
        </w:rPr>
      </w:pPr>
      <w:r w:rsidRPr="00AC41E0">
        <w:rPr>
          <w:rFonts w:ascii="Arial" w:hAnsi="Arial"/>
        </w:rPr>
        <w:t xml:space="preserve">Commissioning a </w:t>
      </w:r>
      <w:r w:rsidR="005E5C68" w:rsidRPr="00AC41E0">
        <w:rPr>
          <w:rFonts w:ascii="Arial" w:hAnsi="Arial"/>
        </w:rPr>
        <w:t>third-party</w:t>
      </w:r>
      <w:r w:rsidRPr="00AC41E0">
        <w:rPr>
          <w:rFonts w:ascii="Arial" w:hAnsi="Arial"/>
        </w:rPr>
        <w:t xml:space="preserve"> vs internal evaluation</w:t>
      </w:r>
    </w:p>
    <w:p w14:paraId="42C0E222" w14:textId="7B005DE3" w:rsidR="00AF0B83" w:rsidRPr="00AC41E0" w:rsidRDefault="00AF0B83" w:rsidP="00AF0B83">
      <w:pPr>
        <w:pStyle w:val="DCSbodytext"/>
        <w:spacing w:after="120"/>
      </w:pPr>
      <w:r w:rsidRPr="00AC41E0">
        <w:t>In deciding whether to conduct an evaluation internally (e</w:t>
      </w:r>
      <w:r w:rsidR="00E1470D" w:rsidRPr="00AC41E0">
        <w:t>.</w:t>
      </w:r>
      <w:r w:rsidRPr="00AC41E0">
        <w:t>g</w:t>
      </w:r>
      <w:r w:rsidR="00E1470D" w:rsidRPr="00AC41E0">
        <w:t>.</w:t>
      </w:r>
      <w:r w:rsidRPr="00AC41E0">
        <w:t xml:space="preserve"> through an internal evaluation unit) or through an evaluation provider (e</w:t>
      </w:r>
      <w:r w:rsidR="00395A58" w:rsidRPr="00AC41E0">
        <w:t>.</w:t>
      </w:r>
      <w:r w:rsidRPr="00AC41E0">
        <w:t>g</w:t>
      </w:r>
      <w:r w:rsidR="00395A58" w:rsidRPr="00AC41E0">
        <w:t>.</w:t>
      </w:r>
      <w:r w:rsidRPr="00AC41E0">
        <w:t xml:space="preserve"> from the private sector or </w:t>
      </w:r>
      <w:r w:rsidR="002D4E75" w:rsidRPr="00AC41E0">
        <w:t xml:space="preserve">a </w:t>
      </w:r>
      <w:r w:rsidRPr="00AC41E0">
        <w:t>university), consider:</w:t>
      </w:r>
    </w:p>
    <w:p w14:paraId="7CB0072B" w14:textId="68F8EC4D" w:rsidR="00AF0B83" w:rsidRPr="00AC41E0" w:rsidRDefault="00AF0B83" w:rsidP="00003096">
      <w:pPr>
        <w:pStyle w:val="DCSbodytext"/>
        <w:numPr>
          <w:ilvl w:val="0"/>
          <w:numId w:val="124"/>
        </w:numPr>
        <w:spacing w:after="120"/>
      </w:pPr>
      <w:r w:rsidRPr="00AC41E0">
        <w:rPr>
          <w:i/>
        </w:rPr>
        <w:t>Priority</w:t>
      </w:r>
      <w:r w:rsidR="00DD203E" w:rsidRPr="00AC41E0">
        <w:rPr>
          <w:i/>
        </w:rPr>
        <w:t>:</w:t>
      </w:r>
      <w:r w:rsidR="00DD203E" w:rsidRPr="00AC41E0">
        <w:rPr>
          <w:b/>
        </w:rPr>
        <w:t xml:space="preserve"> </w:t>
      </w:r>
      <w:r w:rsidR="00DD203E" w:rsidRPr="00AC41E0">
        <w:t>P</w:t>
      </w:r>
      <w:r w:rsidR="009A4399" w:rsidRPr="00AC41E0">
        <w:t xml:space="preserve">rojects </w:t>
      </w:r>
      <w:r w:rsidRPr="00AC41E0">
        <w:t xml:space="preserve">can be prioritised based on their size, strategic significance and degree of risk. Lower priority </w:t>
      </w:r>
      <w:r w:rsidR="009A4399" w:rsidRPr="00AC41E0">
        <w:t>project</w:t>
      </w:r>
      <w:r w:rsidR="000755D8" w:rsidRPr="00AC41E0">
        <w:t>s</w:t>
      </w:r>
      <w:r w:rsidR="009A4399" w:rsidRPr="00AC41E0">
        <w:t xml:space="preserve"> </w:t>
      </w:r>
      <w:r w:rsidRPr="00AC41E0">
        <w:t xml:space="preserve">are often more suited to internal evaluations, whereas high priority </w:t>
      </w:r>
      <w:r w:rsidR="009A4399" w:rsidRPr="00AC41E0">
        <w:t>project</w:t>
      </w:r>
      <w:r w:rsidR="00DF7122" w:rsidRPr="00AC41E0">
        <w:t>s</w:t>
      </w:r>
      <w:r w:rsidR="009A4399" w:rsidRPr="00AC41E0">
        <w:t xml:space="preserve"> </w:t>
      </w:r>
      <w:r w:rsidRPr="00AC41E0">
        <w:t>often require the commissioning of an independent third-party</w:t>
      </w:r>
      <w:r w:rsidR="009A4399" w:rsidRPr="00AC41E0">
        <w:t>.</w:t>
      </w:r>
    </w:p>
    <w:p w14:paraId="080FEE24" w14:textId="0CCCCAA7" w:rsidR="00AF0B83" w:rsidRPr="00AC41E0" w:rsidRDefault="00AF0B83" w:rsidP="00003096">
      <w:pPr>
        <w:pStyle w:val="DCSbodytext"/>
        <w:numPr>
          <w:ilvl w:val="0"/>
          <w:numId w:val="124"/>
        </w:numPr>
        <w:spacing w:after="120"/>
      </w:pPr>
      <w:r w:rsidRPr="00AC41E0">
        <w:rPr>
          <w:i/>
        </w:rPr>
        <w:lastRenderedPageBreak/>
        <w:t>Expertise</w:t>
      </w:r>
      <w:r w:rsidR="00DD203E" w:rsidRPr="00AC41E0">
        <w:rPr>
          <w:i/>
        </w:rPr>
        <w:t>:</w:t>
      </w:r>
      <w:r w:rsidR="00DD203E" w:rsidRPr="00AC41E0">
        <w:rPr>
          <w:b/>
        </w:rPr>
        <w:t xml:space="preserve"> </w:t>
      </w:r>
      <w:r w:rsidR="00DD203E" w:rsidRPr="00AC41E0">
        <w:t>T</w:t>
      </w:r>
      <w:r w:rsidRPr="00AC41E0">
        <w:t>hink about the technical or professional skills required, and whether they are available internally or externally</w:t>
      </w:r>
      <w:r w:rsidR="009A4399" w:rsidRPr="00AC41E0">
        <w:t>.</w:t>
      </w:r>
    </w:p>
    <w:p w14:paraId="662F95BF" w14:textId="27872703" w:rsidR="00AF0B83" w:rsidRPr="00AC41E0" w:rsidRDefault="00AF0B83" w:rsidP="00003096">
      <w:pPr>
        <w:pStyle w:val="DCSbodytext"/>
        <w:numPr>
          <w:ilvl w:val="0"/>
          <w:numId w:val="124"/>
        </w:numPr>
        <w:spacing w:after="120"/>
      </w:pPr>
      <w:r w:rsidRPr="00AC41E0">
        <w:rPr>
          <w:i/>
        </w:rPr>
        <w:t>Independence</w:t>
      </w:r>
      <w:r w:rsidR="00DD203E" w:rsidRPr="00AC41E0">
        <w:rPr>
          <w:i/>
        </w:rPr>
        <w:t>:</w:t>
      </w:r>
      <w:r w:rsidR="00DD203E" w:rsidRPr="00AC41E0">
        <w:t xml:space="preserve"> A</w:t>
      </w:r>
      <w:r w:rsidRPr="00AC41E0">
        <w:t>n external evaluator can contribute to the independence of the evaluation</w:t>
      </w:r>
      <w:r w:rsidR="009A4399" w:rsidRPr="00AC41E0">
        <w:t>.</w:t>
      </w:r>
    </w:p>
    <w:p w14:paraId="4A90A2D8" w14:textId="4D2DF112" w:rsidR="00AF0B83" w:rsidRPr="00AC41E0" w:rsidRDefault="00AF0B83" w:rsidP="00003096">
      <w:pPr>
        <w:pStyle w:val="DCSbodytext"/>
        <w:numPr>
          <w:ilvl w:val="0"/>
          <w:numId w:val="124"/>
        </w:numPr>
      </w:pPr>
      <w:r w:rsidRPr="00AC41E0">
        <w:rPr>
          <w:i/>
        </w:rPr>
        <w:t>Resourcing</w:t>
      </w:r>
      <w:r w:rsidR="00DD203E" w:rsidRPr="00AC41E0">
        <w:rPr>
          <w:i/>
        </w:rPr>
        <w:t>:</w:t>
      </w:r>
      <w:r w:rsidR="00DD203E" w:rsidRPr="00AC41E0">
        <w:rPr>
          <w:b/>
        </w:rPr>
        <w:t xml:space="preserve"> </w:t>
      </w:r>
      <w:r w:rsidR="00DD203E" w:rsidRPr="00AC41E0">
        <w:t>C</w:t>
      </w:r>
      <w:r w:rsidRPr="00AC41E0">
        <w:t>ommissioning can bring additional resources required to ensure timely delivery.</w:t>
      </w:r>
    </w:p>
    <w:p w14:paraId="21A25A7E" w14:textId="76861DB9" w:rsidR="00545316" w:rsidRPr="00AC41E0" w:rsidRDefault="00AF0B83" w:rsidP="0022369F">
      <w:pPr>
        <w:pStyle w:val="DCSbodytext"/>
        <w:rPr>
          <w:lang w:eastAsia="en-AU"/>
        </w:rPr>
      </w:pPr>
      <w:r w:rsidRPr="00AC41E0">
        <w:t xml:space="preserve">For assistance in determining whether to commission an evaluation or conduct it internally, see the </w:t>
      </w:r>
      <w:hyperlink r:id="rId290" w:history="1">
        <w:r w:rsidRPr="00AC41E0">
          <w:rPr>
            <w:rStyle w:val="Hyperlink"/>
          </w:rPr>
          <w:t>Program Evaluation Guidelines</w:t>
        </w:r>
      </w:hyperlink>
      <w:r w:rsidRPr="00E46FB0">
        <w:t xml:space="preserve"> and speak to your </w:t>
      </w:r>
      <w:r w:rsidR="00407AC1" w:rsidRPr="00AC41E0">
        <w:t xml:space="preserve">organisation’s </w:t>
      </w:r>
      <w:r w:rsidRPr="00AC41E0">
        <w:t xml:space="preserve">Program Evaluation team. </w:t>
      </w:r>
    </w:p>
    <w:p w14:paraId="1F534CEE" w14:textId="3909960C" w:rsidR="003E4C6C" w:rsidRPr="00AC41E0" w:rsidRDefault="003E4C6C" w:rsidP="00545316">
      <w:pPr>
        <w:pStyle w:val="Heading4"/>
        <w:rPr>
          <w:rFonts w:ascii="Arial" w:hAnsi="Arial"/>
        </w:rPr>
      </w:pPr>
      <w:r w:rsidRPr="00AC41E0">
        <w:rPr>
          <w:rFonts w:ascii="Arial" w:hAnsi="Arial"/>
        </w:rPr>
        <w:t>Using evaluation findings</w:t>
      </w:r>
    </w:p>
    <w:p w14:paraId="73CE19BC" w14:textId="50C4AE6F" w:rsidR="00326550" w:rsidRPr="00AC41E0" w:rsidRDefault="009A4399" w:rsidP="00326550">
      <w:pPr>
        <w:pStyle w:val="DCSbodytext"/>
      </w:pPr>
      <w:r w:rsidRPr="00AC41E0">
        <w:t xml:space="preserve">Project </w:t>
      </w:r>
      <w:r w:rsidR="00326550" w:rsidRPr="00AC41E0">
        <w:t>evaluation should always be undertaken with a view to informing decision</w:t>
      </w:r>
      <w:r w:rsidR="008F1461" w:rsidRPr="00AC41E0">
        <w:t>-</w:t>
      </w:r>
      <w:r w:rsidR="00326550" w:rsidRPr="00AC41E0">
        <w:t>making</w:t>
      </w:r>
      <w:r w:rsidR="008F1461" w:rsidRPr="00AC41E0">
        <w:t xml:space="preserve">, such as </w:t>
      </w:r>
      <w:r w:rsidR="00326550" w:rsidRPr="00AC41E0">
        <w:t xml:space="preserve">continuing, expanding, ceasing or refining a </w:t>
      </w:r>
      <w:r w:rsidRPr="00AC41E0">
        <w:t>project</w:t>
      </w:r>
      <w:r w:rsidR="00326550" w:rsidRPr="00AC41E0">
        <w:t xml:space="preserve">. </w:t>
      </w:r>
      <w:r w:rsidR="008F1461" w:rsidRPr="00AC41E0">
        <w:t>For example, e</w:t>
      </w:r>
      <w:r w:rsidR="00326550" w:rsidRPr="00AC41E0">
        <w:t xml:space="preserve">valuation results can be used to support the expansion of </w:t>
      </w:r>
      <w:r w:rsidR="00E05B32" w:rsidRPr="00AC41E0">
        <w:t xml:space="preserve">your </w:t>
      </w:r>
      <w:r w:rsidR="003D5E9D" w:rsidRPr="00AC41E0">
        <w:t>IoT-enabled project</w:t>
      </w:r>
      <w:r w:rsidR="00326550" w:rsidRPr="00AC41E0">
        <w:t>.</w:t>
      </w:r>
    </w:p>
    <w:p w14:paraId="44BE495E" w14:textId="308E4401" w:rsidR="00326550" w:rsidRPr="00AC41E0" w:rsidRDefault="00326550" w:rsidP="00326550">
      <w:pPr>
        <w:pStyle w:val="DCSbodytext"/>
      </w:pPr>
      <w:r w:rsidRPr="00AC41E0">
        <w:t xml:space="preserve">A process for responding to evaluation findings should be developed in advance of the evaluation. This </w:t>
      </w:r>
      <w:r w:rsidR="00E1470D" w:rsidRPr="00AC41E0">
        <w:t>n</w:t>
      </w:r>
      <w:r w:rsidR="008032C6" w:rsidRPr="00AC41E0">
        <w:t>eeds to</w:t>
      </w:r>
      <w:r w:rsidR="00E1470D" w:rsidRPr="00AC41E0">
        <w:t xml:space="preserve"> </w:t>
      </w:r>
      <w:r w:rsidRPr="00AC41E0">
        <w:t xml:space="preserve">be embedded within </w:t>
      </w:r>
      <w:r w:rsidR="00DF7122" w:rsidRPr="00AC41E0">
        <w:t xml:space="preserve">the </w:t>
      </w:r>
      <w:r w:rsidRPr="00AC41E0">
        <w:t xml:space="preserve">established evaluation and </w:t>
      </w:r>
      <w:r w:rsidR="00E05B32" w:rsidRPr="00AC41E0">
        <w:t xml:space="preserve">project </w:t>
      </w:r>
      <w:r w:rsidRPr="00AC41E0">
        <w:t>governance processes.</w:t>
      </w:r>
    </w:p>
    <w:p w14:paraId="59BB1848" w14:textId="08CCE109" w:rsidR="003E4C6C" w:rsidRPr="00AC41E0" w:rsidRDefault="003E4C6C" w:rsidP="00545316">
      <w:pPr>
        <w:pStyle w:val="Heading3"/>
        <w:rPr>
          <w:rFonts w:ascii="Arial" w:hAnsi="Arial"/>
        </w:rPr>
      </w:pPr>
      <w:bookmarkStart w:id="1917" w:name="_Toc65760603"/>
      <w:r w:rsidRPr="00AC41E0">
        <w:rPr>
          <w:rFonts w:ascii="Arial" w:hAnsi="Arial"/>
        </w:rPr>
        <w:t>Other assessment activities</w:t>
      </w:r>
      <w:bookmarkEnd w:id="1917"/>
    </w:p>
    <w:p w14:paraId="2F71D362" w14:textId="5CD3A1C5" w:rsidR="00513A60" w:rsidRPr="00AC41E0" w:rsidRDefault="00513A60" w:rsidP="00513A60">
      <w:pPr>
        <w:pStyle w:val="DCSbodytext"/>
        <w:spacing w:after="120"/>
      </w:pPr>
      <w:r w:rsidRPr="00AC41E0">
        <w:t xml:space="preserve">Evaluation is part of a spectrum of other activities used to collect evidence and assess </w:t>
      </w:r>
      <w:r w:rsidR="00DF7122" w:rsidRPr="00AC41E0">
        <w:t xml:space="preserve">the </w:t>
      </w:r>
      <w:r w:rsidR="00E57EC3" w:rsidRPr="00AC41E0">
        <w:t>project</w:t>
      </w:r>
      <w:r w:rsidRPr="00AC41E0">
        <w:t xml:space="preserve">. These activities can support </w:t>
      </w:r>
      <w:r w:rsidR="00CD4FDD" w:rsidRPr="00AC41E0">
        <w:t xml:space="preserve">project </w:t>
      </w:r>
      <w:r w:rsidRPr="00AC41E0">
        <w:t>evaluation and produce valuable information in their own right. They include:</w:t>
      </w:r>
    </w:p>
    <w:p w14:paraId="3CC71B89" w14:textId="3A59254A" w:rsidR="00513A60" w:rsidRPr="00AC41E0" w:rsidRDefault="00CD4FDD" w:rsidP="00003096">
      <w:pPr>
        <w:pStyle w:val="DCSbodytext"/>
        <w:numPr>
          <w:ilvl w:val="0"/>
          <w:numId w:val="125"/>
        </w:numPr>
        <w:spacing w:after="120"/>
      </w:pPr>
      <w:r w:rsidRPr="00AC41E0">
        <w:rPr>
          <w:i/>
        </w:rPr>
        <w:t xml:space="preserve">Project </w:t>
      </w:r>
      <w:r w:rsidR="00513A60" w:rsidRPr="00AC41E0">
        <w:rPr>
          <w:i/>
        </w:rPr>
        <w:t>reviews</w:t>
      </w:r>
      <w:r w:rsidR="00594A45" w:rsidRPr="00AC41E0">
        <w:rPr>
          <w:i/>
        </w:rPr>
        <w:t>:</w:t>
      </w:r>
      <w:r w:rsidR="00594A45" w:rsidRPr="00AC41E0">
        <w:rPr>
          <w:b/>
        </w:rPr>
        <w:t xml:space="preserve"> </w:t>
      </w:r>
      <w:r w:rsidR="005E5C68" w:rsidRPr="00AC41E0">
        <w:t>Typically,</w:t>
      </w:r>
      <w:r w:rsidR="00513A60" w:rsidRPr="00AC41E0">
        <w:t xml:space="preserve"> quicker, more operational assessments of "how we are going" often to inform continuous improvement.</w:t>
      </w:r>
    </w:p>
    <w:p w14:paraId="3D7834CE" w14:textId="32B717D0" w:rsidR="00513A60" w:rsidRPr="00AC41E0" w:rsidRDefault="00513A60" w:rsidP="00003096">
      <w:pPr>
        <w:pStyle w:val="DCSbodytext"/>
        <w:numPr>
          <w:ilvl w:val="0"/>
          <w:numId w:val="125"/>
        </w:numPr>
        <w:spacing w:after="120"/>
      </w:pPr>
      <w:r w:rsidRPr="00AC41E0">
        <w:rPr>
          <w:i/>
        </w:rPr>
        <w:t>Monitoring</w:t>
      </w:r>
      <w:r w:rsidR="00215BC6" w:rsidRPr="00AC41E0">
        <w:rPr>
          <w:i/>
        </w:rPr>
        <w:t>:</w:t>
      </w:r>
      <w:r w:rsidR="00215BC6" w:rsidRPr="00AC41E0">
        <w:rPr>
          <w:b/>
        </w:rPr>
        <w:t xml:space="preserve"> </w:t>
      </w:r>
      <w:r w:rsidR="00215BC6" w:rsidRPr="00AC41E0">
        <w:t>A</w:t>
      </w:r>
      <w:r w:rsidRPr="00AC41E0">
        <w:t xml:space="preserve"> management process to periodically report against planned </w:t>
      </w:r>
      <w:r w:rsidR="00E57EC3" w:rsidRPr="00AC41E0">
        <w:t xml:space="preserve">project </w:t>
      </w:r>
      <w:r w:rsidRPr="00AC41E0">
        <w:t xml:space="preserve">targets or KPIs, usually focussed on </w:t>
      </w:r>
      <w:r w:rsidR="00E57EC3" w:rsidRPr="00AC41E0">
        <w:t xml:space="preserve">project </w:t>
      </w:r>
      <w:r w:rsidRPr="00AC41E0">
        <w:t>outputs.</w:t>
      </w:r>
    </w:p>
    <w:p w14:paraId="478E9B1A" w14:textId="5C125318" w:rsidR="00513A60" w:rsidRPr="00AC41E0" w:rsidRDefault="00513A60" w:rsidP="00003096">
      <w:pPr>
        <w:pStyle w:val="DCSbodytext"/>
        <w:numPr>
          <w:ilvl w:val="0"/>
          <w:numId w:val="125"/>
        </w:numPr>
      </w:pPr>
      <w:r w:rsidRPr="00AC41E0">
        <w:rPr>
          <w:i/>
        </w:rPr>
        <w:t>Research</w:t>
      </w:r>
      <w:r w:rsidR="00215BC6" w:rsidRPr="00AC41E0">
        <w:rPr>
          <w:i/>
        </w:rPr>
        <w:t>:</w:t>
      </w:r>
      <w:r w:rsidR="00215BC6" w:rsidRPr="00AC41E0">
        <w:rPr>
          <w:b/>
        </w:rPr>
        <w:t xml:space="preserve"> </w:t>
      </w:r>
      <w:r w:rsidR="00215BC6" w:rsidRPr="00AC41E0">
        <w:t>C</w:t>
      </w:r>
      <w:r w:rsidRPr="00AC41E0">
        <w:t xml:space="preserve">losely related to evaluation but can ask different types of questions that may not be related to the merit or </w:t>
      </w:r>
      <w:r w:rsidR="00D4660C" w:rsidRPr="00AC41E0">
        <w:t xml:space="preserve">value </w:t>
      </w:r>
      <w:r w:rsidRPr="00AC41E0">
        <w:t xml:space="preserve">of a </w:t>
      </w:r>
      <w:r w:rsidR="00E57EC3" w:rsidRPr="00AC41E0">
        <w:t>project</w:t>
      </w:r>
      <w:r w:rsidRPr="00AC41E0">
        <w:t>.</w:t>
      </w:r>
    </w:p>
    <w:p w14:paraId="0C3662BB" w14:textId="77777777" w:rsidR="00545316" w:rsidRPr="00AC41E0" w:rsidRDefault="003E4C6C" w:rsidP="00545316">
      <w:pPr>
        <w:pStyle w:val="Heading3"/>
        <w:rPr>
          <w:rFonts w:ascii="Arial" w:hAnsi="Arial"/>
        </w:rPr>
      </w:pPr>
      <w:bookmarkStart w:id="1918" w:name="_Toc65760604"/>
      <w:r w:rsidRPr="00AC41E0">
        <w:rPr>
          <w:rFonts w:ascii="Arial" w:hAnsi="Arial"/>
        </w:rPr>
        <w:t>Policy and resources</w:t>
      </w:r>
      <w:bookmarkEnd w:id="1918"/>
    </w:p>
    <w:p w14:paraId="2272C4E8" w14:textId="6CD71BB6" w:rsidR="00854277" w:rsidRPr="00AC41E0" w:rsidRDefault="00854277" w:rsidP="00747CF4">
      <w:pPr>
        <w:pStyle w:val="DCSbodytext"/>
      </w:pPr>
      <w:r w:rsidRPr="00AC41E0">
        <w:t xml:space="preserve">For information on evaluation in the NSW Government, see the </w:t>
      </w:r>
      <w:hyperlink r:id="rId291" w:history="1">
        <w:r w:rsidRPr="00AC41E0">
          <w:rPr>
            <w:rStyle w:val="Hyperlink"/>
          </w:rPr>
          <w:t>Department of Premier and Cabinet’s evaluation webpage</w:t>
        </w:r>
      </w:hyperlink>
      <w:r w:rsidRPr="00E46FB0">
        <w:t xml:space="preserve">. A summary of the relevant policies and resources is in the </w:t>
      </w:r>
      <w:r w:rsidR="00683244" w:rsidRPr="00AC41E0">
        <w:t xml:space="preserve">following </w:t>
      </w:r>
      <w:r w:rsidRPr="00AC41E0">
        <w:t>table. While these have been developed for the NSW Government, the</w:t>
      </w:r>
      <w:r w:rsidR="00542FB3" w:rsidRPr="00AC41E0">
        <w:t>y</w:t>
      </w:r>
      <w:r w:rsidRPr="00AC41E0">
        <w:t xml:space="preserve"> may also be useful for </w:t>
      </w:r>
      <w:r w:rsidR="00E15E43" w:rsidRPr="00AC41E0">
        <w:t>l</w:t>
      </w:r>
      <w:r w:rsidRPr="00AC41E0">
        <w:t xml:space="preserve">ocal </w:t>
      </w:r>
      <w:r w:rsidR="00E15E43" w:rsidRPr="00AC41E0">
        <w:t>g</w:t>
      </w:r>
      <w:r w:rsidRPr="00AC41E0">
        <w:t xml:space="preserve">overnment. </w:t>
      </w:r>
    </w:p>
    <w:p w14:paraId="6A9D378A" w14:textId="77777777" w:rsidR="008E0981" w:rsidRPr="00AC41E0" w:rsidRDefault="008E0981">
      <w:pPr>
        <w:rPr>
          <w:rFonts w:ascii="Arial" w:hAnsi="Arial"/>
          <w:b/>
          <w:sz w:val="22"/>
          <w:lang w:eastAsia="en-US"/>
        </w:rPr>
      </w:pPr>
      <w:r w:rsidRPr="00AC41E0">
        <w:rPr>
          <w:b/>
        </w:rPr>
        <w:br w:type="page"/>
      </w:r>
    </w:p>
    <w:p w14:paraId="4090BAF0" w14:textId="3C7188E3" w:rsidR="00747CF4" w:rsidRPr="00AC41E0" w:rsidRDefault="00E0038A" w:rsidP="00F33137">
      <w:pPr>
        <w:pStyle w:val="DCSbodytext"/>
        <w:jc w:val="center"/>
      </w:pPr>
      <w:r w:rsidRPr="00AC41E0">
        <w:rPr>
          <w:b/>
        </w:rPr>
        <w:lastRenderedPageBreak/>
        <w:t>Evaluation resources</w:t>
      </w:r>
    </w:p>
    <w:tbl>
      <w:tblPr>
        <w:tblStyle w:val="GridTable4-Accent1"/>
        <w:tblW w:w="8647" w:type="dxa"/>
        <w:tblInd w:w="846" w:type="dxa"/>
        <w:tblLayout w:type="fixed"/>
        <w:tblCellMar>
          <w:bottom w:w="57" w:type="dxa"/>
        </w:tblCellMar>
        <w:tblLook w:val="04A0" w:firstRow="1" w:lastRow="0" w:firstColumn="1" w:lastColumn="0" w:noHBand="0" w:noVBand="1"/>
      </w:tblPr>
      <w:tblGrid>
        <w:gridCol w:w="2551"/>
        <w:gridCol w:w="6096"/>
      </w:tblGrid>
      <w:tr w:rsidR="00854277" w:rsidRPr="00AC41E0" w14:paraId="47A5A216" w14:textId="77777777" w:rsidTr="00110CB8">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27F8CCBA" w14:textId="77777777" w:rsidR="00854277" w:rsidRPr="00AC41E0" w:rsidRDefault="00854277" w:rsidP="006D13DD">
            <w:pPr>
              <w:spacing w:after="120"/>
              <w:jc w:val="center"/>
              <w:rPr>
                <w:rFonts w:ascii="Arial" w:hAnsi="Arial" w:cs="Arial"/>
                <w:sz w:val="22"/>
                <w:szCs w:val="22"/>
              </w:rPr>
            </w:pPr>
            <w:r w:rsidRPr="00AC41E0">
              <w:rPr>
                <w:rFonts w:ascii="Arial" w:hAnsi="Arial" w:cs="Arial"/>
                <w:sz w:val="22"/>
                <w:szCs w:val="22"/>
              </w:rPr>
              <w:t>Resource/ policy</w:t>
            </w:r>
          </w:p>
        </w:tc>
        <w:tc>
          <w:tcPr>
            <w:tcW w:w="0"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0ED2CA40" w14:textId="773D586F" w:rsidR="00854277" w:rsidRPr="00AC41E0" w:rsidRDefault="00854277" w:rsidP="006D13DD">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C41E0">
              <w:rPr>
                <w:rFonts w:ascii="Arial" w:hAnsi="Arial" w:cs="Arial"/>
                <w:sz w:val="22"/>
                <w:szCs w:val="22"/>
              </w:rPr>
              <w:t>Description</w:t>
            </w:r>
          </w:p>
        </w:tc>
      </w:tr>
      <w:tr w:rsidR="00854277" w:rsidRPr="00AC41E0" w14:paraId="4D6C1D58" w14:textId="77777777" w:rsidTr="00F33137">
        <w:trPr>
          <w:cnfStyle w:val="000000100000" w:firstRow="0" w:lastRow="0" w:firstColumn="0" w:lastColumn="0" w:oddVBand="0" w:evenVBand="0" w:oddHBand="1" w:evenHBand="0" w:firstRowFirstColumn="0" w:firstRowLastColumn="0" w:lastRowFirstColumn="0" w:lastRowLastColumn="0"/>
          <w:trHeight w:val="1794"/>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auto"/>
            </w:tcBorders>
            <w:hideMark/>
          </w:tcPr>
          <w:p w14:paraId="3847FF9B" w14:textId="77777777" w:rsidR="00854277" w:rsidRPr="00E46FB0" w:rsidRDefault="00084371" w:rsidP="006D13DD">
            <w:pPr>
              <w:spacing w:after="120"/>
              <w:rPr>
                <w:rFonts w:ascii="Arial" w:hAnsi="Arial" w:cs="Arial"/>
                <w:sz w:val="22"/>
                <w:szCs w:val="22"/>
              </w:rPr>
            </w:pPr>
            <w:hyperlink r:id="rId292" w:history="1">
              <w:r w:rsidR="00854277" w:rsidRPr="00AC41E0">
                <w:rPr>
                  <w:rStyle w:val="Hyperlink"/>
                  <w:rFonts w:ascii="Arial" w:hAnsi="Arial" w:cs="Arial"/>
                  <w:sz w:val="22"/>
                  <w:szCs w:val="22"/>
                </w:rPr>
                <w:t>NSW Treasury Centre for Program Evaluation</w:t>
              </w:r>
            </w:hyperlink>
          </w:p>
        </w:tc>
        <w:tc>
          <w:tcPr>
            <w:tcW w:w="6096" w:type="dxa"/>
            <w:tcBorders>
              <w:top w:val="single" w:sz="4" w:space="0" w:color="auto"/>
            </w:tcBorders>
            <w:hideMark/>
          </w:tcPr>
          <w:p w14:paraId="3D25C070" w14:textId="77777777" w:rsidR="00854277" w:rsidRPr="00AC41E0" w:rsidRDefault="00854277" w:rsidP="00003096">
            <w:pPr>
              <w:pStyle w:val="ListParagraph"/>
              <w:numPr>
                <w:ilvl w:val="0"/>
                <w:numId w:val="126"/>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Conducts evaluations of large and significant NSW Government programs (including process, outcome and economic components)</w:t>
            </w:r>
          </w:p>
          <w:p w14:paraId="6C546E70" w14:textId="77777777" w:rsidR="00854277" w:rsidRPr="00E46FB0" w:rsidRDefault="00854277" w:rsidP="00003096">
            <w:pPr>
              <w:pStyle w:val="ListParagraph"/>
              <w:numPr>
                <w:ilvl w:val="0"/>
                <w:numId w:val="126"/>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 xml:space="preserve">Leads evaluation practice across NSW, in accordance with </w:t>
            </w:r>
            <w:hyperlink r:id="rId293" w:history="1">
              <w:r w:rsidRPr="00AC41E0">
                <w:rPr>
                  <w:rStyle w:val="Hyperlink"/>
                  <w:rFonts w:ascii="Arial" w:hAnsi="Arial" w:cs="Arial"/>
                </w:rPr>
                <w:t>TC18-03 Program Evaluation</w:t>
              </w:r>
            </w:hyperlink>
          </w:p>
          <w:p w14:paraId="7E1DB226" w14:textId="77777777" w:rsidR="00854277" w:rsidRPr="00AC41E0" w:rsidRDefault="00854277" w:rsidP="00003096">
            <w:pPr>
              <w:pStyle w:val="ListParagraph"/>
              <w:numPr>
                <w:ilvl w:val="0"/>
                <w:numId w:val="126"/>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83838"/>
                <w:lang w:eastAsia="en-AU"/>
              </w:rPr>
            </w:pPr>
            <w:r w:rsidRPr="00AC41E0">
              <w:rPr>
                <w:rFonts w:ascii="Arial" w:hAnsi="Arial" w:cs="Arial"/>
              </w:rPr>
              <w:t>Builds evaluation capability across the sector</w:t>
            </w:r>
          </w:p>
          <w:p w14:paraId="5448588F" w14:textId="77777777" w:rsidR="00854277" w:rsidRPr="00E46FB0" w:rsidRDefault="00854277" w:rsidP="00003096">
            <w:pPr>
              <w:pStyle w:val="ListParagraph"/>
              <w:numPr>
                <w:ilvl w:val="0"/>
                <w:numId w:val="126"/>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 xml:space="preserve">Resources developed in partnership with other clusters include the </w:t>
            </w:r>
            <w:hyperlink r:id="rId294" w:history="1">
              <w:r w:rsidRPr="00AC41E0">
                <w:rPr>
                  <w:rStyle w:val="Hyperlink"/>
                  <w:rFonts w:ascii="Arial" w:hAnsi="Arial" w:cs="Arial"/>
                </w:rPr>
                <w:t>Program Evaluation Guidelines</w:t>
              </w:r>
            </w:hyperlink>
            <w:r w:rsidRPr="00E46FB0">
              <w:rPr>
                <w:rFonts w:ascii="Arial" w:hAnsi="Arial" w:cs="Arial"/>
              </w:rPr>
              <w:t xml:space="preserve"> and the </w:t>
            </w:r>
            <w:hyperlink r:id="rId295" w:history="1">
              <w:r w:rsidRPr="00AC41E0">
                <w:rPr>
                  <w:rStyle w:val="Hyperlink"/>
                  <w:rFonts w:ascii="Arial" w:hAnsi="Arial" w:cs="Arial"/>
                </w:rPr>
                <w:t>Evaluation Toolkit</w:t>
              </w:r>
            </w:hyperlink>
          </w:p>
          <w:p w14:paraId="767A506B" w14:textId="355AFADA" w:rsidR="00854277" w:rsidRPr="00AC41E0" w:rsidRDefault="00854277" w:rsidP="00003096">
            <w:pPr>
              <w:pStyle w:val="ListParagraph"/>
              <w:numPr>
                <w:ilvl w:val="0"/>
                <w:numId w:val="126"/>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 xml:space="preserve">For more information about the Centre for Program evaluation or implementing the Evaluation Toolkit, contact </w:t>
            </w:r>
            <w:hyperlink r:id="rId296" w:history="1">
              <w:r w:rsidRPr="00AC41E0">
                <w:rPr>
                  <w:rStyle w:val="Hyperlink"/>
                  <w:rFonts w:ascii="Arial" w:hAnsi="Arial" w:cs="Arial"/>
                </w:rPr>
                <w:t>evaluation@treasury.nsw.gov.au</w:t>
              </w:r>
            </w:hyperlink>
            <w:r w:rsidR="00164A2F" w:rsidRPr="00E46FB0">
              <w:rPr>
                <w:rStyle w:val="Hyperlink"/>
                <w:rFonts w:ascii="Arial" w:hAnsi="Arial" w:cs="Arial"/>
                <w:color w:val="000000" w:themeColor="text1"/>
                <w:u w:val="none"/>
              </w:rPr>
              <w:t>.</w:t>
            </w:r>
          </w:p>
        </w:tc>
      </w:tr>
      <w:tr w:rsidR="00854277" w:rsidRPr="00AC41E0" w14:paraId="415B603E" w14:textId="77777777" w:rsidTr="00F33137">
        <w:trPr>
          <w:trHeight w:val="1149"/>
        </w:trPr>
        <w:tc>
          <w:tcPr>
            <w:cnfStyle w:val="001000000000" w:firstRow="0" w:lastRow="0" w:firstColumn="1" w:lastColumn="0" w:oddVBand="0" w:evenVBand="0" w:oddHBand="0" w:evenHBand="0" w:firstRowFirstColumn="0" w:firstRowLastColumn="0" w:lastRowFirstColumn="0" w:lastRowLastColumn="0"/>
            <w:tcW w:w="2551" w:type="dxa"/>
            <w:hideMark/>
          </w:tcPr>
          <w:p w14:paraId="47AE9834" w14:textId="77777777" w:rsidR="00854277" w:rsidRPr="00E46FB0" w:rsidRDefault="00084371" w:rsidP="006D13DD">
            <w:pPr>
              <w:spacing w:after="120"/>
              <w:rPr>
                <w:rFonts w:ascii="Arial" w:hAnsi="Arial" w:cs="Arial"/>
                <w:sz w:val="22"/>
                <w:szCs w:val="22"/>
              </w:rPr>
            </w:pPr>
            <w:hyperlink r:id="rId297" w:history="1">
              <w:r w:rsidR="00854277" w:rsidRPr="00AC41E0">
                <w:rPr>
                  <w:rStyle w:val="Hyperlink"/>
                  <w:rFonts w:ascii="Arial" w:hAnsi="Arial" w:cs="Arial"/>
                  <w:sz w:val="22"/>
                  <w:szCs w:val="22"/>
                </w:rPr>
                <w:t>NSW Treasury Circular TC18-03 Program Evaluation</w:t>
              </w:r>
            </w:hyperlink>
          </w:p>
        </w:tc>
        <w:tc>
          <w:tcPr>
            <w:tcW w:w="6096" w:type="dxa"/>
            <w:hideMark/>
          </w:tcPr>
          <w:p w14:paraId="17876C88" w14:textId="5BE81550" w:rsidR="00854277" w:rsidRPr="00AC41E0" w:rsidRDefault="00854277" w:rsidP="00003096">
            <w:pPr>
              <w:pStyle w:val="ListParagraph"/>
              <w:numPr>
                <w:ilvl w:val="0"/>
                <w:numId w:val="127"/>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Sets out the overarching requirements for the evaluation of existing and new programs</w:t>
            </w:r>
            <w:r w:rsidR="00164A2F" w:rsidRPr="00AC41E0">
              <w:rPr>
                <w:rFonts w:ascii="Arial" w:hAnsi="Arial" w:cs="Arial"/>
              </w:rPr>
              <w:t xml:space="preserve"> by NSW Government. </w:t>
            </w:r>
          </w:p>
        </w:tc>
      </w:tr>
      <w:tr w:rsidR="00854277" w:rsidRPr="00AC41E0" w14:paraId="4578BBDA" w14:textId="77777777" w:rsidTr="00F33137">
        <w:trPr>
          <w:cnfStyle w:val="000000100000" w:firstRow="0" w:lastRow="0" w:firstColumn="0" w:lastColumn="0" w:oddVBand="0" w:evenVBand="0" w:oddHBand="1" w:evenHBand="0" w:firstRowFirstColumn="0" w:firstRowLastColumn="0" w:lastRowFirstColumn="0" w:lastRowLastColumn="0"/>
          <w:trHeight w:val="1137"/>
        </w:trPr>
        <w:tc>
          <w:tcPr>
            <w:cnfStyle w:val="001000000000" w:firstRow="0" w:lastRow="0" w:firstColumn="1" w:lastColumn="0" w:oddVBand="0" w:evenVBand="0" w:oddHBand="0" w:evenHBand="0" w:firstRowFirstColumn="0" w:firstRowLastColumn="0" w:lastRowFirstColumn="0" w:lastRowLastColumn="0"/>
            <w:tcW w:w="2551" w:type="dxa"/>
            <w:hideMark/>
          </w:tcPr>
          <w:p w14:paraId="69880542" w14:textId="77777777" w:rsidR="00854277" w:rsidRPr="00E46FB0" w:rsidRDefault="00084371" w:rsidP="006D13DD">
            <w:pPr>
              <w:spacing w:after="120"/>
              <w:rPr>
                <w:rFonts w:ascii="Arial" w:hAnsi="Arial" w:cs="Arial"/>
                <w:sz w:val="22"/>
                <w:szCs w:val="22"/>
              </w:rPr>
            </w:pPr>
            <w:hyperlink r:id="rId298" w:history="1">
              <w:r w:rsidR="00854277" w:rsidRPr="00AC41E0">
                <w:rPr>
                  <w:rStyle w:val="Hyperlink"/>
                  <w:rFonts w:ascii="Arial" w:hAnsi="Arial" w:cs="Arial"/>
                  <w:sz w:val="22"/>
                  <w:szCs w:val="22"/>
                </w:rPr>
                <w:t>NSW Government Program Evaluation Guidelines (2016)</w:t>
              </w:r>
            </w:hyperlink>
          </w:p>
        </w:tc>
        <w:tc>
          <w:tcPr>
            <w:tcW w:w="6096" w:type="dxa"/>
            <w:hideMark/>
          </w:tcPr>
          <w:p w14:paraId="223EB3E8" w14:textId="08F8646C" w:rsidR="00854277" w:rsidRPr="00AC41E0" w:rsidRDefault="00854277" w:rsidP="00003096">
            <w:pPr>
              <w:pStyle w:val="ListParagraph"/>
              <w:numPr>
                <w:ilvl w:val="0"/>
                <w:numId w:val="127"/>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 xml:space="preserve">Developed to assist </w:t>
            </w:r>
            <w:r w:rsidR="00F82DCD" w:rsidRPr="00AC41E0">
              <w:rPr>
                <w:rFonts w:ascii="Arial" w:hAnsi="Arial" w:cs="Arial"/>
              </w:rPr>
              <w:t xml:space="preserve">NSW Government </w:t>
            </w:r>
            <w:r w:rsidRPr="00AC41E0">
              <w:rPr>
                <w:rFonts w:ascii="Arial" w:hAnsi="Arial" w:cs="Arial"/>
              </w:rPr>
              <w:t xml:space="preserve">agencies </w:t>
            </w:r>
            <w:r w:rsidR="00DF7122" w:rsidRPr="00AC41E0">
              <w:rPr>
                <w:rFonts w:ascii="Arial" w:hAnsi="Arial" w:cs="Arial"/>
              </w:rPr>
              <w:t xml:space="preserve">to </w:t>
            </w:r>
            <w:r w:rsidRPr="00AC41E0">
              <w:rPr>
                <w:rFonts w:ascii="Arial" w:hAnsi="Arial" w:cs="Arial"/>
              </w:rPr>
              <w:t xml:space="preserve">conduct consistent, transparent and </w:t>
            </w:r>
            <w:r w:rsidR="00DF7122" w:rsidRPr="00AC41E0">
              <w:rPr>
                <w:rFonts w:ascii="Arial" w:hAnsi="Arial" w:cs="Arial"/>
              </w:rPr>
              <w:t>high-</w:t>
            </w:r>
            <w:r w:rsidRPr="00AC41E0">
              <w:rPr>
                <w:rFonts w:ascii="Arial" w:hAnsi="Arial" w:cs="Arial"/>
              </w:rPr>
              <w:t>quality evaluations of NSW Government funded programs</w:t>
            </w:r>
          </w:p>
          <w:p w14:paraId="5A889994" w14:textId="77777777" w:rsidR="00854277" w:rsidRPr="00AC41E0" w:rsidRDefault="00854277" w:rsidP="00003096">
            <w:pPr>
              <w:pStyle w:val="ListParagraph"/>
              <w:numPr>
                <w:ilvl w:val="0"/>
                <w:numId w:val="127"/>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All NSW Government departments should conduct their evaluations in line with the principles and standards outlined in these Guidelines</w:t>
            </w:r>
          </w:p>
        </w:tc>
      </w:tr>
      <w:tr w:rsidR="00854277" w:rsidRPr="00AC41E0" w14:paraId="22F1072F" w14:textId="77777777" w:rsidTr="00F33137">
        <w:trPr>
          <w:trHeight w:val="602"/>
        </w:trPr>
        <w:tc>
          <w:tcPr>
            <w:cnfStyle w:val="001000000000" w:firstRow="0" w:lastRow="0" w:firstColumn="1" w:lastColumn="0" w:oddVBand="0" w:evenVBand="0" w:oddHBand="0" w:evenHBand="0" w:firstRowFirstColumn="0" w:firstRowLastColumn="0" w:lastRowFirstColumn="0" w:lastRowLastColumn="0"/>
            <w:tcW w:w="2551" w:type="dxa"/>
            <w:hideMark/>
          </w:tcPr>
          <w:p w14:paraId="43CB620D" w14:textId="77777777" w:rsidR="00854277" w:rsidRPr="00E46FB0" w:rsidRDefault="00084371" w:rsidP="006D13DD">
            <w:pPr>
              <w:spacing w:after="120"/>
              <w:rPr>
                <w:rFonts w:ascii="Arial" w:hAnsi="Arial" w:cs="Arial"/>
                <w:sz w:val="22"/>
                <w:szCs w:val="22"/>
              </w:rPr>
            </w:pPr>
            <w:hyperlink r:id="rId299" w:history="1">
              <w:r w:rsidR="00854277" w:rsidRPr="00AC41E0">
                <w:rPr>
                  <w:rStyle w:val="Hyperlink"/>
                  <w:rFonts w:ascii="Arial" w:hAnsi="Arial" w:cs="Arial"/>
                  <w:sz w:val="22"/>
                  <w:szCs w:val="22"/>
                </w:rPr>
                <w:t>NSW Evaluation Toolkit</w:t>
              </w:r>
            </w:hyperlink>
          </w:p>
        </w:tc>
        <w:tc>
          <w:tcPr>
            <w:tcW w:w="6096" w:type="dxa"/>
            <w:hideMark/>
          </w:tcPr>
          <w:p w14:paraId="6C7D6DFA" w14:textId="771D1DAE" w:rsidR="00854277" w:rsidRPr="00AC41E0" w:rsidRDefault="00854277" w:rsidP="00003096">
            <w:pPr>
              <w:pStyle w:val="ListParagraph"/>
              <w:numPr>
                <w:ilvl w:val="0"/>
                <w:numId w:val="128"/>
              </w:numPr>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Toolkit that accompanies the Program Evaluation Guidelines</w:t>
            </w:r>
            <w:r w:rsidR="0042151F" w:rsidRPr="00AC41E0">
              <w:rPr>
                <w:rFonts w:ascii="Arial" w:hAnsi="Arial" w:cs="Arial"/>
              </w:rPr>
              <w:t>.</w:t>
            </w:r>
          </w:p>
        </w:tc>
      </w:tr>
    </w:tbl>
    <w:p w14:paraId="2F062DCA" w14:textId="528D14F8" w:rsidR="0006620D" w:rsidRPr="00AC41E0" w:rsidRDefault="00854277" w:rsidP="00C6007D">
      <w:pPr>
        <w:spacing w:line="259" w:lineRule="auto"/>
        <w:rPr>
          <w:rFonts w:ascii="Arial" w:hAnsi="Arial"/>
        </w:rPr>
      </w:pPr>
      <w:r w:rsidRPr="00AC41E0">
        <w:rPr>
          <w:rFonts w:ascii="Arial" w:hAnsi="Arial" w:cs="Arial"/>
        </w:rPr>
        <w:br w:type="page"/>
      </w:r>
      <w:r w:rsidR="000B5D8F" w:rsidRPr="00AC41E0">
        <w:rPr>
          <w:rFonts w:ascii="Arial" w:hAnsi="Arial"/>
        </w:rPr>
        <w:lastRenderedPageBreak/>
        <w:t>Auditing</w:t>
      </w:r>
    </w:p>
    <w:p w14:paraId="4E1C54E1" w14:textId="04CBDD84" w:rsidR="00071F25" w:rsidRPr="00AC41E0" w:rsidRDefault="00071F25" w:rsidP="00071F25">
      <w:pPr>
        <w:pStyle w:val="DCSbodytext"/>
      </w:pPr>
      <w:r w:rsidRPr="00AC41E0">
        <w:t xml:space="preserve">Auditing or post-implementation review is an important part of project and program evaluation. It is closely linked to the evaluation of projects (see </w:t>
      </w:r>
      <w:hyperlink w:anchor="_Evaluation" w:history="1">
        <w:r w:rsidRPr="00AC41E0">
          <w:rPr>
            <w:rStyle w:val="Hyperlink"/>
          </w:rPr>
          <w:t>Chapter 8.1 Evaluation</w:t>
        </w:r>
      </w:hyperlink>
      <w:r w:rsidRPr="00E46FB0">
        <w:t xml:space="preserve">) and assurance (see </w:t>
      </w:r>
      <w:hyperlink w:anchor="_Assurance" w:history="1">
        <w:r w:rsidRPr="00AC41E0">
          <w:rPr>
            <w:rStyle w:val="Hyperlink"/>
          </w:rPr>
          <w:t>Chapter 3.9 Assurance</w:t>
        </w:r>
      </w:hyperlink>
      <w:r w:rsidRPr="00E46FB0">
        <w:t>).</w:t>
      </w:r>
    </w:p>
    <w:p w14:paraId="20E27EF6" w14:textId="2712DA33" w:rsidR="00180B14" w:rsidRPr="00AC41E0" w:rsidRDefault="00180B14" w:rsidP="00180B14">
      <w:pPr>
        <w:pStyle w:val="DCSbodytext"/>
      </w:pPr>
      <w:r w:rsidRPr="00AC41E0">
        <w:t xml:space="preserve">The NSW Government has an </w:t>
      </w:r>
      <w:hyperlink r:id="rId300" w:history="1">
        <w:r w:rsidRPr="00AC41E0">
          <w:rPr>
            <w:rStyle w:val="Hyperlink"/>
          </w:rPr>
          <w:t xml:space="preserve">Internal Audit and Risk Management Policy for </w:t>
        </w:r>
        <w:r w:rsidR="005647EB" w:rsidRPr="00AC41E0">
          <w:rPr>
            <w:rStyle w:val="Hyperlink"/>
          </w:rPr>
          <w:t>the NSW Public Sector</w:t>
        </w:r>
      </w:hyperlink>
      <w:r w:rsidR="000E4B09" w:rsidRPr="00E46FB0">
        <w:t xml:space="preserve">, which </w:t>
      </w:r>
      <w:r w:rsidR="00D16980" w:rsidRPr="00AC41E0">
        <w:t>w</w:t>
      </w:r>
      <w:r w:rsidRPr="00AC41E0">
        <w:t>as created to assist agencies meet their legislative obligations</w:t>
      </w:r>
      <w:r w:rsidR="000E4B09" w:rsidRPr="00AC41E0">
        <w:t>. The policy strengthens internal audit, risk management</w:t>
      </w:r>
      <w:r w:rsidR="00DF7122" w:rsidRPr="00AC41E0">
        <w:t>,</w:t>
      </w:r>
      <w:r w:rsidR="000E4B09" w:rsidRPr="00AC41E0">
        <w:t xml:space="preserve"> and governance practices </w:t>
      </w:r>
      <w:r w:rsidR="00D16980" w:rsidRPr="00AC41E0">
        <w:t xml:space="preserve">so that projects and agencies have effective controls in place to ensure resources are used wisely. </w:t>
      </w:r>
    </w:p>
    <w:p w14:paraId="2C2D5B57" w14:textId="473C9391" w:rsidR="00180B14" w:rsidRPr="00AC41E0" w:rsidRDefault="00A023C6" w:rsidP="00180B14">
      <w:pPr>
        <w:pStyle w:val="DCSbodytext"/>
      </w:pPr>
      <w:r w:rsidRPr="00AC41E0">
        <w:t>Your</w:t>
      </w:r>
      <w:r w:rsidR="00A764CF" w:rsidRPr="00AC41E0">
        <w:t xml:space="preserve"> organisation’s Chief Audit Executive, Risk Officer or </w:t>
      </w:r>
      <w:r w:rsidR="00DC3B00" w:rsidRPr="00AC41E0">
        <w:t xml:space="preserve">Internal </w:t>
      </w:r>
      <w:r w:rsidR="00A764CF" w:rsidRPr="00AC41E0">
        <w:t xml:space="preserve">Audit team </w:t>
      </w:r>
      <w:r w:rsidRPr="00AC41E0">
        <w:t>can provide more information about audit.</w:t>
      </w:r>
    </w:p>
    <w:p w14:paraId="7310F869" w14:textId="77777777" w:rsidR="002971B8" w:rsidRPr="00AC41E0" w:rsidRDefault="002971B8" w:rsidP="002971B8">
      <w:pPr>
        <w:pStyle w:val="Heading3"/>
        <w:rPr>
          <w:rFonts w:ascii="Arial" w:hAnsi="Arial"/>
        </w:rPr>
      </w:pPr>
      <w:bookmarkStart w:id="1919" w:name="_Toc65760605"/>
      <w:r w:rsidRPr="00AC41E0">
        <w:rPr>
          <w:rFonts w:ascii="Arial" w:hAnsi="Arial"/>
        </w:rPr>
        <w:t>Why is auditing important for IoT-enabled projects?</w:t>
      </w:r>
      <w:bookmarkEnd w:id="1919"/>
    </w:p>
    <w:p w14:paraId="6D16D8EA" w14:textId="17081366" w:rsidR="002971B8" w:rsidRPr="00AC41E0" w:rsidRDefault="002971B8" w:rsidP="002971B8">
      <w:pPr>
        <w:pStyle w:val="DCSbodytext"/>
      </w:pPr>
      <w:r w:rsidRPr="00AC41E0">
        <w:t xml:space="preserve">Since IoT is a relatively new technology, ensuring that projects are audited and reviewed on a regular basis can lead to better future rollout and should be done as a matter of good practice. Audits, whilst daunting, can lead to process and procurement improvements for future projects. </w:t>
      </w:r>
    </w:p>
    <w:p w14:paraId="4811E594" w14:textId="029CFD0C" w:rsidR="002971B8" w:rsidRPr="00AC41E0" w:rsidRDefault="002971B8" w:rsidP="00F33137">
      <w:pPr>
        <w:pStyle w:val="DCSbodytext"/>
        <w:rPr>
          <w:lang w:eastAsia="en-AU"/>
        </w:rPr>
      </w:pPr>
      <w:r w:rsidRPr="00AC41E0">
        <w:t xml:space="preserve">As most IoT-enabled projects are ongoing and include ongoing capture of data, be aware that a project may continue to be </w:t>
      </w:r>
      <w:r w:rsidR="00DF7122" w:rsidRPr="00AC41E0">
        <w:t xml:space="preserve">in </w:t>
      </w:r>
      <w:r w:rsidRPr="00AC41E0">
        <w:t xml:space="preserve">operation even while </w:t>
      </w:r>
      <w:r w:rsidR="00A0260A" w:rsidRPr="00AC41E0">
        <w:t xml:space="preserve">being audited. </w:t>
      </w:r>
    </w:p>
    <w:p w14:paraId="39CCA223" w14:textId="3C314339" w:rsidR="005D176E" w:rsidRPr="00AC41E0" w:rsidRDefault="005D176E" w:rsidP="00F33137">
      <w:pPr>
        <w:pStyle w:val="Heading3"/>
        <w:rPr>
          <w:rFonts w:ascii="Arial" w:hAnsi="Arial"/>
        </w:rPr>
      </w:pPr>
      <w:bookmarkStart w:id="1920" w:name="_Toc18336954"/>
      <w:bookmarkStart w:id="1921" w:name="_Toc18338235"/>
      <w:bookmarkStart w:id="1922" w:name="_Toc65760606"/>
      <w:bookmarkEnd w:id="1920"/>
      <w:bookmarkEnd w:id="1921"/>
      <w:r w:rsidRPr="00AC41E0">
        <w:rPr>
          <w:rFonts w:ascii="Arial" w:hAnsi="Arial"/>
        </w:rPr>
        <w:t xml:space="preserve">Document management and </w:t>
      </w:r>
      <w:r w:rsidR="00DF7122" w:rsidRPr="00AC41E0">
        <w:rPr>
          <w:rFonts w:ascii="Arial" w:hAnsi="Arial"/>
        </w:rPr>
        <w:t>record-</w:t>
      </w:r>
      <w:r w:rsidRPr="00AC41E0">
        <w:rPr>
          <w:rFonts w:ascii="Arial" w:hAnsi="Arial"/>
        </w:rPr>
        <w:t>keeping</w:t>
      </w:r>
      <w:bookmarkEnd w:id="1922"/>
    </w:p>
    <w:p w14:paraId="7F2656DF" w14:textId="67694B62" w:rsidR="00193C60" w:rsidRPr="00AC41E0" w:rsidRDefault="003B65C7" w:rsidP="003B65C7">
      <w:pPr>
        <w:pStyle w:val="DCSbodytext"/>
      </w:pPr>
      <w:r w:rsidRPr="00AC41E0">
        <w:t xml:space="preserve">Sound document management is </w:t>
      </w:r>
      <w:r w:rsidR="00193C60" w:rsidRPr="00AC41E0">
        <w:t xml:space="preserve">vital </w:t>
      </w:r>
      <w:r w:rsidRPr="00AC41E0">
        <w:t>to post</w:t>
      </w:r>
      <w:r w:rsidR="00B43FAF" w:rsidRPr="00AC41E0">
        <w:t>-</w:t>
      </w:r>
      <w:r w:rsidRPr="00AC41E0">
        <w:t>p</w:t>
      </w:r>
      <w:r w:rsidR="00B34577" w:rsidRPr="00AC41E0">
        <w:t>roject</w:t>
      </w:r>
      <w:r w:rsidRPr="00AC41E0">
        <w:t xml:space="preserve"> review, audit</w:t>
      </w:r>
      <w:r w:rsidR="00DF7122" w:rsidRPr="00AC41E0">
        <w:t>,</w:t>
      </w:r>
      <w:r w:rsidRPr="00AC41E0">
        <w:t xml:space="preserve"> and evaluation. Making accurate and detailed records and ensuring documents are kept are </w:t>
      </w:r>
      <w:r w:rsidR="00193C60" w:rsidRPr="00AC41E0">
        <w:t>essential</w:t>
      </w:r>
      <w:r w:rsidRPr="00AC41E0">
        <w:t xml:space="preserve">. </w:t>
      </w:r>
    </w:p>
    <w:p w14:paraId="2522BAB1" w14:textId="3FAD3BFB" w:rsidR="003B65C7" w:rsidRPr="00AC41E0" w:rsidRDefault="003B65C7" w:rsidP="003B65C7">
      <w:pPr>
        <w:pStyle w:val="DCSbodytext"/>
      </w:pPr>
      <w:r w:rsidRPr="00AC41E0">
        <w:t xml:space="preserve">If you are using post it notes in an agile environment, consider the implications under the </w:t>
      </w:r>
      <w:hyperlink r:id="rId301" w:anchor="/view/act/1998/17" w:history="1">
        <w:r w:rsidRPr="00AC41E0">
          <w:rPr>
            <w:rStyle w:val="Hyperlink"/>
            <w:i/>
          </w:rPr>
          <w:t>State Records Act</w:t>
        </w:r>
        <w:r w:rsidRPr="00AC41E0">
          <w:rPr>
            <w:rStyle w:val="Hyperlink"/>
          </w:rPr>
          <w:t xml:space="preserve"> </w:t>
        </w:r>
        <w:r w:rsidR="00D16974" w:rsidRPr="00AC41E0">
          <w:rPr>
            <w:rStyle w:val="Hyperlink"/>
          </w:rPr>
          <w:t>1998 (NSW</w:t>
        </w:r>
        <w:r w:rsidR="00D16974" w:rsidRPr="00AC41E0">
          <w:rPr>
            <w:rStyle w:val="Hyperlink"/>
            <w:u w:val="none"/>
          </w:rPr>
          <w:t>)</w:t>
        </w:r>
      </w:hyperlink>
      <w:r w:rsidR="006C2821" w:rsidRPr="00E46FB0">
        <w:t xml:space="preserve"> and </w:t>
      </w:r>
      <w:r w:rsidR="00A27708" w:rsidRPr="00AC41E0">
        <w:t xml:space="preserve">any relevant records policies. </w:t>
      </w:r>
      <w:r w:rsidR="00CC76FC" w:rsidRPr="00AC41E0">
        <w:t xml:space="preserve">Refer to the </w:t>
      </w:r>
      <w:hyperlink r:id="rId302" w:history="1">
        <w:r w:rsidRPr="00AC41E0">
          <w:rPr>
            <w:rStyle w:val="Hyperlink"/>
          </w:rPr>
          <w:t xml:space="preserve">State Archives </w:t>
        </w:r>
        <w:r w:rsidR="006C2821" w:rsidRPr="00AC41E0">
          <w:rPr>
            <w:rStyle w:val="Hyperlink"/>
          </w:rPr>
          <w:t>&amp;</w:t>
        </w:r>
        <w:r w:rsidRPr="00AC41E0">
          <w:rPr>
            <w:rStyle w:val="Hyperlink"/>
          </w:rPr>
          <w:t xml:space="preserve"> Records</w:t>
        </w:r>
      </w:hyperlink>
      <w:r w:rsidRPr="00E46FB0">
        <w:t xml:space="preserve"> and </w:t>
      </w:r>
      <w:hyperlink r:id="rId303" w:history="1">
        <w:r w:rsidRPr="00AC41E0">
          <w:rPr>
            <w:rStyle w:val="Hyperlink"/>
          </w:rPr>
          <w:t>I</w:t>
        </w:r>
        <w:r w:rsidR="005211DA" w:rsidRPr="00AC41E0">
          <w:rPr>
            <w:rStyle w:val="Hyperlink"/>
          </w:rPr>
          <w:t>nformation and Privacy Commission NSW</w:t>
        </w:r>
      </w:hyperlink>
      <w:r w:rsidRPr="00E46FB0">
        <w:t xml:space="preserve"> </w:t>
      </w:r>
      <w:r w:rsidR="00CC76FC" w:rsidRPr="00AC41E0">
        <w:t>for information about</w:t>
      </w:r>
      <w:r w:rsidR="00392613" w:rsidRPr="00AC41E0">
        <w:t xml:space="preserve"> government recordkeeping. </w:t>
      </w:r>
    </w:p>
    <w:p w14:paraId="779EA7F9" w14:textId="309C02DE" w:rsidR="00DD2C27" w:rsidRPr="00AC41E0" w:rsidRDefault="005D176E" w:rsidP="00F33137">
      <w:pPr>
        <w:pStyle w:val="Heading3"/>
        <w:rPr>
          <w:rFonts w:ascii="Arial" w:hAnsi="Arial"/>
        </w:rPr>
      </w:pPr>
      <w:bookmarkStart w:id="1923" w:name="_Toc18336956"/>
      <w:bookmarkStart w:id="1924" w:name="_Toc18338237"/>
      <w:bookmarkStart w:id="1925" w:name="_Toc18336957"/>
      <w:bookmarkStart w:id="1926" w:name="_Toc18338238"/>
      <w:bookmarkStart w:id="1927" w:name="_Toc18336958"/>
      <w:bookmarkStart w:id="1928" w:name="_Toc18338239"/>
      <w:bookmarkStart w:id="1929" w:name="_Toc18336959"/>
      <w:bookmarkStart w:id="1930" w:name="_Toc18338240"/>
      <w:bookmarkStart w:id="1931" w:name="_Toc65760607"/>
      <w:bookmarkEnd w:id="1923"/>
      <w:bookmarkEnd w:id="1924"/>
      <w:bookmarkEnd w:id="1925"/>
      <w:bookmarkEnd w:id="1926"/>
      <w:bookmarkEnd w:id="1927"/>
      <w:bookmarkEnd w:id="1928"/>
      <w:bookmarkEnd w:id="1929"/>
      <w:bookmarkEnd w:id="1930"/>
      <w:r w:rsidRPr="00AC41E0">
        <w:rPr>
          <w:rFonts w:ascii="Arial" w:hAnsi="Arial"/>
        </w:rPr>
        <w:t>The NSW Audit Office</w:t>
      </w:r>
      <w:bookmarkEnd w:id="1931"/>
    </w:p>
    <w:p w14:paraId="33CF2729" w14:textId="48ECC031" w:rsidR="004611E2" w:rsidRPr="00AC41E0" w:rsidRDefault="004611E2" w:rsidP="004611E2">
      <w:pPr>
        <w:pStyle w:val="DCSbodytext"/>
        <w:spacing w:after="120"/>
      </w:pPr>
      <w:r w:rsidRPr="00AC41E0">
        <w:t xml:space="preserve">The NSW Audit Office is the statutory authority </w:t>
      </w:r>
      <w:r w:rsidR="00DF7122" w:rsidRPr="00AC41E0">
        <w:t xml:space="preserve">that </w:t>
      </w:r>
      <w:r w:rsidRPr="00AC41E0">
        <w:t xml:space="preserve">conducts audits for the Auditor General. The NSW Audit Office conducts two types of audits for both NSW Agencies and </w:t>
      </w:r>
      <w:r w:rsidR="0076771F" w:rsidRPr="00AC41E0">
        <w:t>l</w:t>
      </w:r>
      <w:r w:rsidRPr="00AC41E0">
        <w:t xml:space="preserve">ocal </w:t>
      </w:r>
      <w:r w:rsidR="0076771F" w:rsidRPr="00AC41E0">
        <w:t>g</w:t>
      </w:r>
      <w:r w:rsidRPr="00AC41E0">
        <w:t>overnments:</w:t>
      </w:r>
    </w:p>
    <w:p w14:paraId="4B9F506E" w14:textId="42F09A96" w:rsidR="004611E2" w:rsidRPr="00AC41E0" w:rsidRDefault="004611E2" w:rsidP="00003096">
      <w:pPr>
        <w:pStyle w:val="DCSbodytext"/>
        <w:numPr>
          <w:ilvl w:val="1"/>
          <w:numId w:val="129"/>
        </w:numPr>
        <w:spacing w:after="120"/>
        <w:ind w:left="1276" w:hanging="425"/>
      </w:pPr>
      <w:r w:rsidRPr="00AC41E0">
        <w:rPr>
          <w:i/>
        </w:rPr>
        <w:t xml:space="preserve">Performance </w:t>
      </w:r>
      <w:r w:rsidR="003A0531" w:rsidRPr="00AC41E0">
        <w:rPr>
          <w:i/>
        </w:rPr>
        <w:t>a</w:t>
      </w:r>
      <w:r w:rsidRPr="00AC41E0">
        <w:rPr>
          <w:i/>
        </w:rPr>
        <w:t>udits</w:t>
      </w:r>
      <w:r w:rsidR="003A0531" w:rsidRPr="00AC41E0">
        <w:t xml:space="preserve">: </w:t>
      </w:r>
      <w:r w:rsidR="00210EA1" w:rsidRPr="00AC41E0">
        <w:t xml:space="preserve">Performed on </w:t>
      </w:r>
      <w:r w:rsidRPr="00AC41E0">
        <w:t xml:space="preserve">programs or individual projects </w:t>
      </w:r>
      <w:r w:rsidR="00210EA1" w:rsidRPr="00AC41E0">
        <w:t xml:space="preserve">to </w:t>
      </w:r>
      <w:r w:rsidRPr="00AC41E0">
        <w:t>review whether they are carried out efficiently, effectively, economically and in accordance with relevant law</w:t>
      </w:r>
      <w:r w:rsidR="005505FC" w:rsidRPr="00AC41E0">
        <w:t>s.</w:t>
      </w:r>
    </w:p>
    <w:p w14:paraId="6C26BD49" w14:textId="73FE35EE" w:rsidR="005D176E" w:rsidRPr="00AC41E0" w:rsidRDefault="004611E2" w:rsidP="00003096">
      <w:pPr>
        <w:pStyle w:val="DCSbodytext"/>
        <w:numPr>
          <w:ilvl w:val="1"/>
          <w:numId w:val="129"/>
        </w:numPr>
        <w:ind w:left="1276" w:hanging="425"/>
        <w:rPr>
          <w:lang w:eastAsia="en-AU"/>
        </w:rPr>
      </w:pPr>
      <w:r w:rsidRPr="00AC41E0">
        <w:rPr>
          <w:i/>
        </w:rPr>
        <w:t xml:space="preserve">Financial </w:t>
      </w:r>
      <w:r w:rsidR="003A0531" w:rsidRPr="00AC41E0">
        <w:rPr>
          <w:i/>
        </w:rPr>
        <w:t>a</w:t>
      </w:r>
      <w:r w:rsidRPr="00AC41E0">
        <w:rPr>
          <w:i/>
        </w:rPr>
        <w:t>udits</w:t>
      </w:r>
      <w:r w:rsidR="003A0531" w:rsidRPr="00AC41E0">
        <w:t>: P</w:t>
      </w:r>
      <w:r w:rsidRPr="00AC41E0">
        <w:t>rovide independent opinions on the financial statements of NSW government entities, universities</w:t>
      </w:r>
      <w:r w:rsidR="00DF7122" w:rsidRPr="00AC41E0">
        <w:t>,</w:t>
      </w:r>
      <w:r w:rsidRPr="00AC41E0">
        <w:t xml:space="preserve"> and councils.</w:t>
      </w:r>
    </w:p>
    <w:p w14:paraId="6A83A162" w14:textId="4D3B4CC4" w:rsidR="00D0780E" w:rsidRPr="00AC41E0" w:rsidRDefault="00D41361" w:rsidP="005F2E08">
      <w:pPr>
        <w:pStyle w:val="Heading1"/>
        <w:rPr>
          <w:rFonts w:ascii="Arial" w:hAnsi="Arial"/>
        </w:rPr>
      </w:pPr>
      <w:bookmarkStart w:id="1932" w:name="_Toc18336961"/>
      <w:bookmarkStart w:id="1933" w:name="_Toc18338242"/>
      <w:bookmarkStart w:id="1934" w:name="_Toc65760608"/>
      <w:bookmarkEnd w:id="1932"/>
      <w:bookmarkEnd w:id="1933"/>
      <w:r w:rsidRPr="00AC41E0">
        <w:rPr>
          <w:rFonts w:ascii="Arial" w:hAnsi="Arial"/>
        </w:rPr>
        <w:lastRenderedPageBreak/>
        <w:t>Appendices</w:t>
      </w:r>
      <w:bookmarkEnd w:id="1934"/>
    </w:p>
    <w:p w14:paraId="6BA12715" w14:textId="24588870" w:rsidR="00D41361" w:rsidRPr="00AC41E0" w:rsidRDefault="00D41361" w:rsidP="00D41361">
      <w:pPr>
        <w:pStyle w:val="Heading2"/>
        <w:numPr>
          <w:ilvl w:val="0"/>
          <w:numId w:val="0"/>
        </w:numPr>
        <w:rPr>
          <w:rFonts w:ascii="Arial" w:hAnsi="Arial"/>
        </w:rPr>
      </w:pPr>
      <w:bookmarkStart w:id="1935" w:name="_Appendix_A_–"/>
      <w:bookmarkStart w:id="1936" w:name="_Toc65760609"/>
      <w:bookmarkEnd w:id="1935"/>
      <w:r w:rsidRPr="00AC41E0">
        <w:rPr>
          <w:rFonts w:ascii="Arial" w:hAnsi="Arial"/>
        </w:rPr>
        <w:t>Appendix A</w:t>
      </w:r>
      <w:r w:rsidR="00336498" w:rsidRPr="00AC41E0">
        <w:rPr>
          <w:rFonts w:ascii="Arial" w:hAnsi="Arial"/>
        </w:rPr>
        <w:t xml:space="preserve"> – Pre-mortem exercise</w:t>
      </w:r>
      <w:bookmarkEnd w:id="1936"/>
    </w:p>
    <w:p w14:paraId="2065358F" w14:textId="52CCE4A1" w:rsidR="00D41361" w:rsidRPr="00AC41E0" w:rsidRDefault="00A723E1" w:rsidP="005F5629">
      <w:pPr>
        <w:pStyle w:val="DCSbodytext"/>
        <w:ind w:left="0"/>
        <w:rPr>
          <w:b/>
        </w:rPr>
      </w:pPr>
      <w:r w:rsidRPr="00AC41E0">
        <w:rPr>
          <w:b/>
        </w:rPr>
        <w:t>What is a pre-mortem?</w:t>
      </w:r>
    </w:p>
    <w:p w14:paraId="7FDCBDE8" w14:textId="4BDFD4B3" w:rsidR="00D41361" w:rsidRPr="00AC41E0" w:rsidRDefault="00D41361" w:rsidP="003E47E1">
      <w:pPr>
        <w:pStyle w:val="DCSbodytext"/>
        <w:ind w:left="0"/>
      </w:pPr>
      <w:r w:rsidRPr="00AC41E0">
        <w:t xml:space="preserve">A pre-mortem is a group brainstorming exercise </w:t>
      </w:r>
      <w:r w:rsidR="00963244" w:rsidRPr="00AC41E0">
        <w:t xml:space="preserve">where the group plays ‘devil’s advocate’ </w:t>
      </w:r>
      <w:r w:rsidRPr="00AC41E0">
        <w:t xml:space="preserve">to critique plans and projects. The purpose is to identify vulnerabilities in a project and develop specific actions to mitigate, avoid, transfer or accept risk before it is too late. </w:t>
      </w:r>
    </w:p>
    <w:p w14:paraId="526E6132" w14:textId="77777777" w:rsidR="00D41361" w:rsidRPr="00AC41E0" w:rsidRDefault="00D41361" w:rsidP="003E47E1">
      <w:pPr>
        <w:pStyle w:val="DCSbodytext"/>
        <w:ind w:left="0"/>
      </w:pPr>
      <w:r w:rsidRPr="00AC41E0">
        <w:t xml:space="preserve">This exercise brings forward the post-mortem so that a project can be improved at the start, rather than autopsied at the end. </w:t>
      </w:r>
    </w:p>
    <w:p w14:paraId="40077FA7" w14:textId="3D95F383" w:rsidR="003E47E1" w:rsidRPr="00AC41E0" w:rsidRDefault="00D41361" w:rsidP="003E47E1">
      <w:pPr>
        <w:pStyle w:val="DCSbodytext"/>
        <w:ind w:left="0"/>
      </w:pPr>
      <w:r w:rsidRPr="00AC41E0">
        <w:t xml:space="preserve">Pre-mortems are ideally conducted early in a </w:t>
      </w:r>
      <w:r w:rsidR="005E5C68" w:rsidRPr="00AC41E0">
        <w:t>project,</w:t>
      </w:r>
      <w:r w:rsidRPr="00AC41E0">
        <w:t xml:space="preserve"> but they can be conducted at any time and repeated as often as required. </w:t>
      </w:r>
    </w:p>
    <w:p w14:paraId="0BC8190A" w14:textId="43A4D53D" w:rsidR="00D41361" w:rsidRPr="00AC41E0" w:rsidRDefault="003E47E1" w:rsidP="003E47E1">
      <w:pPr>
        <w:pStyle w:val="DCSbodytext"/>
        <w:ind w:left="0"/>
      </w:pPr>
      <w:r w:rsidRPr="00E46FB0">
        <w:rPr>
          <w:rFonts w:cs="Arial"/>
          <w:noProof/>
          <w:szCs w:val="22"/>
        </w:rPr>
        <w:drawing>
          <wp:anchor distT="0" distB="0" distL="114300" distR="114300" simplePos="0" relativeHeight="251658245" behindDoc="1" locked="0" layoutInCell="1" allowOverlap="1" wp14:anchorId="0BE20319" wp14:editId="59A722EF">
            <wp:simplePos x="0" y="0"/>
            <wp:positionH relativeFrom="margin">
              <wp:align>left</wp:align>
            </wp:positionH>
            <wp:positionV relativeFrom="paragraph">
              <wp:posOffset>4932</wp:posOffset>
            </wp:positionV>
            <wp:extent cx="389255" cy="389255"/>
            <wp:effectExtent l="0" t="0" r="0" b="0"/>
            <wp:wrapTight wrapText="bothSides">
              <wp:wrapPolygon edited="0">
                <wp:start x="7400" y="0"/>
                <wp:lineTo x="0" y="5285"/>
                <wp:lineTo x="0" y="13742"/>
                <wp:lineTo x="6343" y="20085"/>
                <wp:lineTo x="12685" y="20085"/>
                <wp:lineTo x="14799" y="16914"/>
                <wp:lineTo x="20085" y="10571"/>
                <wp:lineTo x="20085" y="5285"/>
                <wp:lineTo x="11628" y="0"/>
                <wp:lineTo x="7400" y="0"/>
              </wp:wrapPolygon>
            </wp:wrapTight>
            <wp:docPr id="4" name="Graphic 4"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r w:rsidR="00D41361" w:rsidRPr="00E46FB0">
        <w:rPr>
          <w:rFonts w:cs="Arial"/>
          <w:i/>
          <w:iCs/>
        </w:rPr>
        <w:t>Tip: This exercise is particularly useful for projects involving IoT due to the rapidly-evolving IoT industry and the breadth of risks associated wit</w:t>
      </w:r>
      <w:r w:rsidR="00D41361" w:rsidRPr="00AC41E0">
        <w:rPr>
          <w:rFonts w:cs="Arial"/>
          <w:i/>
          <w:iCs/>
        </w:rPr>
        <w:t>h IoT and data.</w:t>
      </w:r>
      <w:r w:rsidR="00D41361" w:rsidRPr="00AC41E0">
        <w:rPr>
          <w:rFonts w:cs="Arial"/>
        </w:rPr>
        <w:t> </w:t>
      </w:r>
    </w:p>
    <w:p w14:paraId="2C50AC5D" w14:textId="4A075FB2" w:rsidR="00D41361" w:rsidRPr="00AC41E0" w:rsidRDefault="00D41361" w:rsidP="00F605BC">
      <w:pPr>
        <w:pStyle w:val="Heading4"/>
        <w:numPr>
          <w:ilvl w:val="0"/>
          <w:numId w:val="0"/>
        </w:numPr>
        <w:rPr>
          <w:rFonts w:ascii="Arial" w:hAnsi="Arial"/>
        </w:rPr>
      </w:pPr>
      <w:r w:rsidRPr="00AC41E0">
        <w:rPr>
          <w:rFonts w:ascii="Arial" w:hAnsi="Arial"/>
        </w:rPr>
        <w:t>Benefits of a pre-mortem</w:t>
      </w:r>
    </w:p>
    <w:p w14:paraId="2DF12F4C" w14:textId="4EC266F9" w:rsidR="00D41361" w:rsidRPr="00AC41E0" w:rsidRDefault="00D41361" w:rsidP="003E47E1">
      <w:pPr>
        <w:pStyle w:val="DCSbodytext"/>
        <w:ind w:left="0"/>
      </w:pPr>
      <w:r w:rsidRPr="00AC41E0">
        <w:t>The pre-mortem exercise helps overcome blind spots and optimism bias by reframing a project as a failure. It helps the project team to recognise warning signs faster, and bridges short-term and long term</w:t>
      </w:r>
      <w:r w:rsidR="00EA2CC0" w:rsidRPr="00AC41E0">
        <w:t xml:space="preserve"> </w:t>
      </w:r>
      <w:r w:rsidRPr="00AC41E0">
        <w:t xml:space="preserve">thinking so that risks can be mitigated.  </w:t>
      </w:r>
    </w:p>
    <w:p w14:paraId="18B04357" w14:textId="77777777" w:rsidR="00D41361" w:rsidRPr="00AC41E0" w:rsidRDefault="00D41361" w:rsidP="00763BE2">
      <w:pPr>
        <w:pStyle w:val="DCSbodytext"/>
        <w:spacing w:after="120"/>
        <w:ind w:left="0"/>
      </w:pPr>
      <w:r w:rsidRPr="00AC41E0">
        <w:t xml:space="preserve">The pre-mortem encourages creative thinking and foresight by: </w:t>
      </w:r>
    </w:p>
    <w:p w14:paraId="3D141415" w14:textId="77777777" w:rsidR="00D41361" w:rsidRPr="00AC41E0" w:rsidRDefault="00D41361" w:rsidP="00763BE2">
      <w:pPr>
        <w:pStyle w:val="DCSbodytext"/>
        <w:numPr>
          <w:ilvl w:val="0"/>
          <w:numId w:val="14"/>
        </w:numPr>
        <w:spacing w:after="120"/>
      </w:pPr>
      <w:r w:rsidRPr="00AC41E0">
        <w:t>Generating more ideas by focusing on the prospective hindsight of “what did go wrong” rather than the typical foresight of “what could go wrong”</w:t>
      </w:r>
    </w:p>
    <w:p w14:paraId="46533B4D" w14:textId="77777777" w:rsidR="00D41361" w:rsidRPr="00AC41E0" w:rsidRDefault="00D41361" w:rsidP="00763BE2">
      <w:pPr>
        <w:pStyle w:val="DCSbodytext"/>
        <w:numPr>
          <w:ilvl w:val="0"/>
          <w:numId w:val="14"/>
        </w:numPr>
        <w:spacing w:after="120"/>
      </w:pPr>
      <w:r w:rsidRPr="00AC41E0">
        <w:t xml:space="preserve">Encouraging those who are usually quiet to speak up because ideas are generated anonymously  </w:t>
      </w:r>
    </w:p>
    <w:p w14:paraId="0216D25E" w14:textId="2CCC2C33" w:rsidR="00D41361" w:rsidRPr="00AC41E0" w:rsidRDefault="00D41361" w:rsidP="00FD1A92">
      <w:pPr>
        <w:pStyle w:val="DCSbodytext"/>
        <w:numPr>
          <w:ilvl w:val="0"/>
          <w:numId w:val="14"/>
        </w:numPr>
      </w:pPr>
      <w:r w:rsidRPr="00AC41E0">
        <w:t xml:space="preserve">Rewarding people for being imaginative in finding flaws in a project. </w:t>
      </w:r>
    </w:p>
    <w:p w14:paraId="067E6BF4" w14:textId="77777777" w:rsidR="00CE712B" w:rsidRPr="00AC41E0" w:rsidRDefault="00CE712B" w:rsidP="00D55F6B">
      <w:pPr>
        <w:pStyle w:val="DCSbodytext"/>
        <w:ind w:left="0"/>
      </w:pPr>
    </w:p>
    <w:p w14:paraId="2CD767CE" w14:textId="77777777" w:rsidR="00C6007D" w:rsidRPr="00AC41E0" w:rsidRDefault="00C6007D" w:rsidP="00F605BC">
      <w:pPr>
        <w:pStyle w:val="Heading4"/>
        <w:numPr>
          <w:ilvl w:val="0"/>
          <w:numId w:val="0"/>
        </w:numPr>
        <w:rPr>
          <w:rFonts w:ascii="Arial" w:hAnsi="Arial"/>
        </w:rPr>
        <w:sectPr w:rsidR="00C6007D" w:rsidRPr="00AC41E0" w:rsidSect="002771AA">
          <w:pgSz w:w="11906" w:h="16838"/>
          <w:pgMar w:top="1418" w:right="1134" w:bottom="1134" w:left="1134" w:header="851" w:footer="425" w:gutter="0"/>
          <w:cols w:space="708"/>
          <w:titlePg/>
          <w:docGrid w:linePitch="360"/>
        </w:sectPr>
      </w:pPr>
    </w:p>
    <w:p w14:paraId="40910803" w14:textId="758C9259" w:rsidR="00D41361" w:rsidRPr="00AC41E0" w:rsidRDefault="000B5D8F" w:rsidP="00F605BC">
      <w:pPr>
        <w:pStyle w:val="Heading4"/>
        <w:numPr>
          <w:ilvl w:val="0"/>
          <w:numId w:val="0"/>
        </w:numPr>
        <w:rPr>
          <w:rFonts w:ascii="Arial" w:hAnsi="Arial"/>
        </w:rPr>
      </w:pPr>
      <w:r w:rsidRPr="00E46FB0">
        <w:rPr>
          <w:rFonts w:ascii="Arial" w:hAnsi="Arial"/>
        </w:rPr>
        <w:lastRenderedPageBreak/>
        <w:t>Steps in condu</w:t>
      </w:r>
      <w:r w:rsidR="00D41361" w:rsidRPr="00AC41E0">
        <w:rPr>
          <w:rFonts w:ascii="Arial" w:hAnsi="Arial"/>
        </w:rPr>
        <w:t>cting a pre-mortem</w:t>
      </w:r>
    </w:p>
    <w:tbl>
      <w:tblPr>
        <w:tblStyle w:val="GridTable4-Accent1"/>
        <w:tblW w:w="5000" w:type="pct"/>
        <w:tblInd w:w="-5" w:type="dxa"/>
        <w:tblCellMar>
          <w:top w:w="57" w:type="dxa"/>
          <w:bottom w:w="113" w:type="dxa"/>
        </w:tblCellMar>
        <w:tblLook w:val="04A0" w:firstRow="1" w:lastRow="0" w:firstColumn="1" w:lastColumn="0" w:noHBand="0" w:noVBand="1"/>
      </w:tblPr>
      <w:tblGrid>
        <w:gridCol w:w="851"/>
        <w:gridCol w:w="6805"/>
        <w:gridCol w:w="1972"/>
      </w:tblGrid>
      <w:tr w:rsidR="00AC2A8E" w:rsidRPr="00AC41E0" w14:paraId="34B94A90" w14:textId="77777777" w:rsidTr="4E49D5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shd w:val="clear" w:color="auto" w:fill="1F497D" w:themeFill="text2"/>
          </w:tcPr>
          <w:p w14:paraId="16ED26D9" w14:textId="77777777" w:rsidR="00D41361" w:rsidRPr="00AC41E0" w:rsidRDefault="00D41361" w:rsidP="00E60B8D">
            <w:pPr>
              <w:spacing w:after="120"/>
              <w:jc w:val="center"/>
              <w:rPr>
                <w:rFonts w:ascii="Arial" w:hAnsi="Arial" w:cs="Arial"/>
                <w:sz w:val="22"/>
                <w:szCs w:val="22"/>
              </w:rPr>
            </w:pPr>
            <w:r w:rsidRPr="00AC41E0">
              <w:rPr>
                <w:rFonts w:ascii="Arial" w:hAnsi="Arial" w:cs="Arial"/>
                <w:sz w:val="22"/>
                <w:szCs w:val="22"/>
              </w:rPr>
              <w:t>Step</w:t>
            </w:r>
          </w:p>
        </w:tc>
        <w:tc>
          <w:tcPr>
            <w:tcW w:w="0" w:type="pct"/>
            <w:tcBorders>
              <w:top w:val="single" w:sz="4" w:space="0" w:color="auto"/>
              <w:left w:val="single" w:sz="4" w:space="0" w:color="auto"/>
              <w:bottom w:val="single" w:sz="4" w:space="0" w:color="auto"/>
              <w:right w:val="single" w:sz="4" w:space="0" w:color="auto"/>
            </w:tcBorders>
            <w:shd w:val="clear" w:color="auto" w:fill="1F497D" w:themeFill="text2"/>
          </w:tcPr>
          <w:p w14:paraId="22F80F73" w14:textId="77777777" w:rsidR="00D41361" w:rsidRPr="00AC41E0" w:rsidRDefault="00D41361" w:rsidP="00E60B8D">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C41E0">
              <w:rPr>
                <w:rFonts w:ascii="Arial" w:hAnsi="Arial" w:cs="Arial"/>
                <w:sz w:val="22"/>
                <w:szCs w:val="22"/>
              </w:rPr>
              <w:t>Description</w:t>
            </w:r>
          </w:p>
        </w:tc>
        <w:tc>
          <w:tcPr>
            <w:tcW w:w="0" w:type="pct"/>
            <w:tcBorders>
              <w:top w:val="single" w:sz="4" w:space="0" w:color="auto"/>
              <w:left w:val="single" w:sz="4" w:space="0" w:color="auto"/>
              <w:bottom w:val="single" w:sz="4" w:space="0" w:color="auto"/>
              <w:right w:val="single" w:sz="4" w:space="0" w:color="auto"/>
            </w:tcBorders>
            <w:shd w:val="clear" w:color="auto" w:fill="1F497D" w:themeFill="text2"/>
          </w:tcPr>
          <w:p w14:paraId="21758698" w14:textId="77777777" w:rsidR="00D41361" w:rsidRPr="00AC41E0" w:rsidRDefault="00D41361" w:rsidP="00E60B8D">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C41E0">
              <w:rPr>
                <w:rFonts w:ascii="Arial" w:hAnsi="Arial" w:cs="Arial"/>
                <w:sz w:val="22"/>
                <w:szCs w:val="22"/>
              </w:rPr>
              <w:t>Suggested time</w:t>
            </w:r>
          </w:p>
        </w:tc>
      </w:tr>
      <w:tr w:rsidR="00AC2A8E" w:rsidRPr="00AC41E0" w14:paraId="56337B81" w14:textId="77777777" w:rsidTr="4E49D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Borders>
              <w:top w:val="single" w:sz="4" w:space="0" w:color="auto"/>
            </w:tcBorders>
          </w:tcPr>
          <w:p w14:paraId="436E4BE1" w14:textId="77777777" w:rsidR="00D41361" w:rsidRPr="00AC41E0" w:rsidRDefault="00D41361" w:rsidP="00E60B8D">
            <w:pPr>
              <w:spacing w:after="120"/>
              <w:jc w:val="center"/>
              <w:rPr>
                <w:rFonts w:ascii="Arial" w:hAnsi="Arial" w:cs="Arial"/>
                <w:sz w:val="22"/>
                <w:szCs w:val="22"/>
              </w:rPr>
            </w:pPr>
            <w:r w:rsidRPr="00AC41E0">
              <w:rPr>
                <w:rFonts w:ascii="Arial" w:hAnsi="Arial" w:cs="Arial"/>
                <w:sz w:val="22"/>
                <w:szCs w:val="22"/>
              </w:rPr>
              <w:t>1</w:t>
            </w:r>
          </w:p>
        </w:tc>
        <w:tc>
          <w:tcPr>
            <w:tcW w:w="3534" w:type="pct"/>
            <w:tcBorders>
              <w:top w:val="single" w:sz="4" w:space="0" w:color="auto"/>
            </w:tcBorders>
          </w:tcPr>
          <w:p w14:paraId="7961E135" w14:textId="77777777" w:rsidR="00D41361" w:rsidRPr="00AC41E0" w:rsidRDefault="00D41361" w:rsidP="00E60B8D">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C41E0">
              <w:rPr>
                <w:rFonts w:ascii="Arial" w:hAnsi="Arial" w:cs="Arial"/>
                <w:sz w:val="22"/>
                <w:szCs w:val="22"/>
              </w:rPr>
              <w:t>Group is briefed on the project (recommend including people with a stake in the project such as the project sponsor, subject matter experts, external critics). </w:t>
            </w:r>
          </w:p>
          <w:p w14:paraId="3B09B2BA" w14:textId="3BE3CB7B" w:rsidR="00D41361" w:rsidRPr="00AC41E0" w:rsidRDefault="00D41361" w:rsidP="00E60B8D">
            <w:pPr>
              <w:spacing w:after="120"/>
              <w:ind w:left="709"/>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46FB0">
              <w:rPr>
                <w:rFonts w:ascii="Arial" w:hAnsi="Arial" w:cs="Arial"/>
                <w:noProof/>
                <w:sz w:val="22"/>
                <w:szCs w:val="22"/>
              </w:rPr>
              <w:drawing>
                <wp:anchor distT="0" distB="0" distL="114300" distR="114300" simplePos="0" relativeHeight="251658246" behindDoc="1" locked="0" layoutInCell="1" allowOverlap="1" wp14:anchorId="520E7DF4" wp14:editId="7BF41DE9">
                  <wp:simplePos x="0" y="0"/>
                  <wp:positionH relativeFrom="margin">
                    <wp:posOffset>-10633</wp:posOffset>
                  </wp:positionH>
                  <wp:positionV relativeFrom="paragraph">
                    <wp:posOffset>40640</wp:posOffset>
                  </wp:positionV>
                  <wp:extent cx="389255" cy="389255"/>
                  <wp:effectExtent l="0" t="0" r="0" b="0"/>
                  <wp:wrapTight wrapText="bothSides">
                    <wp:wrapPolygon edited="0">
                      <wp:start x="7400" y="0"/>
                      <wp:lineTo x="0" y="5285"/>
                      <wp:lineTo x="0" y="13742"/>
                      <wp:lineTo x="6343" y="20085"/>
                      <wp:lineTo x="12685" y="20085"/>
                      <wp:lineTo x="14799" y="16914"/>
                      <wp:lineTo x="20085" y="10571"/>
                      <wp:lineTo x="20085" y="5285"/>
                      <wp:lineTo x="11628" y="0"/>
                      <wp:lineTo x="7400" y="0"/>
                    </wp:wrapPolygon>
                  </wp:wrapTight>
                  <wp:docPr id="25" name="Graphic 25"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r w:rsidRPr="00E46FB0">
              <w:rPr>
                <w:rFonts w:ascii="Arial" w:hAnsi="Arial" w:cs="Arial"/>
                <w:i/>
                <w:iCs/>
                <w:sz w:val="22"/>
                <w:szCs w:val="22"/>
              </w:rPr>
              <w:t xml:space="preserve">Tip: You may wish to invite an organisation which has previous experience with your </w:t>
            </w:r>
            <w:r w:rsidRPr="00AC41E0">
              <w:rPr>
                <w:rFonts w:ascii="Arial" w:hAnsi="Arial" w:cs="Arial"/>
                <w:i/>
                <w:iCs/>
                <w:sz w:val="22"/>
                <w:szCs w:val="22"/>
              </w:rPr>
              <w:t>kind of project or the subject matter. The more varied the participants, the better</w:t>
            </w:r>
            <w:r w:rsidR="00565B03" w:rsidRPr="00AC41E0">
              <w:rPr>
                <w:rFonts w:ascii="Arial" w:hAnsi="Arial" w:cs="Arial"/>
                <w:i/>
                <w:iCs/>
                <w:sz w:val="22"/>
                <w:szCs w:val="22"/>
              </w:rPr>
              <w:t xml:space="preserve">– </w:t>
            </w:r>
            <w:r w:rsidRPr="00AC41E0">
              <w:rPr>
                <w:rFonts w:ascii="Arial" w:hAnsi="Arial" w:cs="Arial"/>
                <w:i/>
                <w:iCs/>
                <w:sz w:val="22"/>
                <w:szCs w:val="22"/>
              </w:rPr>
              <w:t>you will generate more ideas and the transparency of the process can assist with getting project buy-in.</w:t>
            </w:r>
            <w:r w:rsidRPr="00AC41E0">
              <w:rPr>
                <w:rFonts w:ascii="Arial" w:hAnsi="Arial" w:cs="Arial"/>
                <w:sz w:val="22"/>
                <w:szCs w:val="22"/>
              </w:rPr>
              <w:t> </w:t>
            </w:r>
          </w:p>
        </w:tc>
        <w:tc>
          <w:tcPr>
            <w:tcW w:w="1024" w:type="pct"/>
            <w:tcBorders>
              <w:top w:val="single" w:sz="4" w:space="0" w:color="auto"/>
            </w:tcBorders>
          </w:tcPr>
          <w:p w14:paraId="7E1A68CD" w14:textId="77777777" w:rsidR="00D41361" w:rsidRPr="00AC41E0" w:rsidRDefault="00D41361" w:rsidP="00E60B8D">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C41E0">
              <w:rPr>
                <w:rFonts w:ascii="Arial" w:hAnsi="Arial" w:cs="Arial"/>
                <w:sz w:val="22"/>
                <w:szCs w:val="22"/>
              </w:rPr>
              <w:t>5 minutes</w:t>
            </w:r>
          </w:p>
        </w:tc>
      </w:tr>
      <w:tr w:rsidR="00D41361" w:rsidRPr="00AC41E0" w14:paraId="69D0C75B" w14:textId="77777777" w:rsidTr="4E49D50C">
        <w:tc>
          <w:tcPr>
            <w:cnfStyle w:val="001000000000" w:firstRow="0" w:lastRow="0" w:firstColumn="1" w:lastColumn="0" w:oddVBand="0" w:evenVBand="0" w:oddHBand="0" w:evenHBand="0" w:firstRowFirstColumn="0" w:firstRowLastColumn="0" w:lastRowFirstColumn="0" w:lastRowLastColumn="0"/>
            <w:tcW w:w="442" w:type="pct"/>
          </w:tcPr>
          <w:p w14:paraId="1015E799" w14:textId="77777777" w:rsidR="00D41361" w:rsidRPr="00AC41E0" w:rsidRDefault="00D41361" w:rsidP="00E60B8D">
            <w:pPr>
              <w:spacing w:after="120"/>
              <w:jc w:val="center"/>
              <w:rPr>
                <w:rFonts w:ascii="Arial" w:hAnsi="Arial" w:cs="Arial"/>
                <w:sz w:val="22"/>
                <w:szCs w:val="22"/>
              </w:rPr>
            </w:pPr>
            <w:r w:rsidRPr="00AC41E0">
              <w:rPr>
                <w:rFonts w:ascii="Arial" w:hAnsi="Arial" w:cs="Arial"/>
                <w:sz w:val="22"/>
                <w:szCs w:val="22"/>
              </w:rPr>
              <w:t>2</w:t>
            </w:r>
          </w:p>
        </w:tc>
        <w:tc>
          <w:tcPr>
            <w:tcW w:w="3534" w:type="pct"/>
          </w:tcPr>
          <w:p w14:paraId="336282FE" w14:textId="77777777" w:rsidR="00D41361" w:rsidRPr="00AC41E0" w:rsidRDefault="00D41361" w:rsidP="00E60B8D">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46FB0">
              <w:rPr>
                <w:rFonts w:ascii="Arial" w:hAnsi="Arial" w:cs="Arial"/>
                <w:noProof/>
                <w:sz w:val="22"/>
                <w:szCs w:val="22"/>
              </w:rPr>
              <w:drawing>
                <wp:anchor distT="0" distB="0" distL="114300" distR="114300" simplePos="0" relativeHeight="251658247" behindDoc="1" locked="0" layoutInCell="1" allowOverlap="1" wp14:anchorId="33BA2FE4" wp14:editId="5F2C73D8">
                  <wp:simplePos x="0" y="0"/>
                  <wp:positionH relativeFrom="margin">
                    <wp:posOffset>25400</wp:posOffset>
                  </wp:positionH>
                  <wp:positionV relativeFrom="paragraph">
                    <wp:posOffset>358568</wp:posOffset>
                  </wp:positionV>
                  <wp:extent cx="389255" cy="389255"/>
                  <wp:effectExtent l="0" t="0" r="0" b="0"/>
                  <wp:wrapTight wrapText="bothSides">
                    <wp:wrapPolygon edited="0">
                      <wp:start x="7400" y="0"/>
                      <wp:lineTo x="0" y="5285"/>
                      <wp:lineTo x="0" y="13742"/>
                      <wp:lineTo x="6343" y="20085"/>
                      <wp:lineTo x="12685" y="20085"/>
                      <wp:lineTo x="14799" y="16914"/>
                      <wp:lineTo x="20085" y="10571"/>
                      <wp:lineTo x="20085" y="5285"/>
                      <wp:lineTo x="11628" y="0"/>
                      <wp:lineTo x="7400" y="0"/>
                    </wp:wrapPolygon>
                  </wp:wrapTight>
                  <wp:docPr id="26" name="Graphic 26"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r w:rsidRPr="00E46FB0">
              <w:rPr>
                <w:rFonts w:ascii="Arial" w:hAnsi="Arial" w:cs="Arial"/>
                <w:sz w:val="22"/>
                <w:szCs w:val="22"/>
              </w:rPr>
              <w:t>Group chooses a date in the future and imagines tha</w:t>
            </w:r>
            <w:r w:rsidRPr="00AC41E0">
              <w:rPr>
                <w:rFonts w:ascii="Arial" w:hAnsi="Arial" w:cs="Arial"/>
                <w:sz w:val="22"/>
                <w:szCs w:val="22"/>
              </w:rPr>
              <w:t>t the project has failed. </w:t>
            </w:r>
          </w:p>
          <w:p w14:paraId="65481CC4" w14:textId="77777777" w:rsidR="00D41361" w:rsidRPr="00AC41E0" w:rsidRDefault="00D41361" w:rsidP="00E60B8D">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C41E0">
              <w:rPr>
                <w:rFonts w:ascii="Arial" w:hAnsi="Arial" w:cs="Arial"/>
                <w:i/>
                <w:iCs/>
                <w:sz w:val="22"/>
                <w:szCs w:val="22"/>
              </w:rPr>
              <w:t>Tip: Play with different failure scenarios. Different failure scenarios will raise different themes.</w:t>
            </w:r>
          </w:p>
        </w:tc>
        <w:tc>
          <w:tcPr>
            <w:tcW w:w="1024" w:type="pct"/>
          </w:tcPr>
          <w:p w14:paraId="1A848AE2" w14:textId="77777777" w:rsidR="00D41361" w:rsidRPr="00AC41E0" w:rsidRDefault="00D41361" w:rsidP="00E60B8D">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C41E0">
              <w:rPr>
                <w:rFonts w:ascii="Arial" w:hAnsi="Arial" w:cs="Arial"/>
                <w:sz w:val="22"/>
                <w:szCs w:val="22"/>
              </w:rPr>
              <w:t>5 minutes</w:t>
            </w:r>
          </w:p>
        </w:tc>
      </w:tr>
      <w:tr w:rsidR="004B4A8D" w:rsidRPr="00AC41E0" w14:paraId="689E62E9" w14:textId="77777777" w:rsidTr="4E49D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097CE44D" w14:textId="77777777" w:rsidR="00D41361" w:rsidRPr="00AC41E0" w:rsidRDefault="00D41361" w:rsidP="00E60B8D">
            <w:pPr>
              <w:spacing w:after="120"/>
              <w:jc w:val="center"/>
              <w:rPr>
                <w:rFonts w:ascii="Arial" w:hAnsi="Arial" w:cs="Arial"/>
                <w:sz w:val="22"/>
                <w:szCs w:val="22"/>
              </w:rPr>
            </w:pPr>
            <w:r w:rsidRPr="00AC41E0">
              <w:rPr>
                <w:rFonts w:ascii="Arial" w:hAnsi="Arial" w:cs="Arial"/>
                <w:sz w:val="22"/>
                <w:szCs w:val="22"/>
              </w:rPr>
              <w:t>3</w:t>
            </w:r>
          </w:p>
        </w:tc>
        <w:tc>
          <w:tcPr>
            <w:tcW w:w="3534" w:type="pct"/>
          </w:tcPr>
          <w:p w14:paraId="174F0337" w14:textId="77777777" w:rsidR="00D41361" w:rsidRPr="00AC41E0" w:rsidRDefault="00D41361" w:rsidP="00E60B8D">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C41E0">
              <w:rPr>
                <w:rFonts w:ascii="Arial" w:hAnsi="Arial" w:cs="Arial"/>
                <w:sz w:val="22"/>
                <w:szCs w:val="22"/>
              </w:rPr>
              <w:t xml:space="preserve">Individually, group members write down every reason they can think of for the project’s failure, with as much detail as possible, without fear of being impolite. </w:t>
            </w:r>
          </w:p>
          <w:p w14:paraId="4D3B1305" w14:textId="77777777" w:rsidR="00D41361" w:rsidRPr="00AC41E0" w:rsidRDefault="00D41361" w:rsidP="00E60B8D">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C41E0">
              <w:rPr>
                <w:rFonts w:ascii="Arial" w:hAnsi="Arial" w:cs="Arial"/>
                <w:sz w:val="22"/>
                <w:szCs w:val="22"/>
              </w:rPr>
              <w:t xml:space="preserve">This can be done with sticky notes or in a Google Document. </w:t>
            </w:r>
          </w:p>
          <w:p w14:paraId="6E558FF0" w14:textId="77777777" w:rsidR="00D41361" w:rsidRPr="00AC41E0" w:rsidRDefault="00D41361" w:rsidP="00E60B8D">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C41E0">
              <w:rPr>
                <w:rFonts w:ascii="Arial" w:hAnsi="Arial" w:cs="Arial"/>
                <w:sz w:val="22"/>
                <w:szCs w:val="22"/>
              </w:rPr>
              <w:t>Questions to think about can include: </w:t>
            </w:r>
          </w:p>
          <w:p w14:paraId="637FE452" w14:textId="77777777" w:rsidR="00D41361" w:rsidRPr="00AC41E0" w:rsidRDefault="00D41361" w:rsidP="00FD1A92">
            <w:pPr>
              <w:pStyle w:val="ListParagraph"/>
              <w:numPr>
                <w:ilvl w:val="0"/>
                <w:numId w:val="15"/>
              </w:numPr>
              <w:spacing w:after="120" w:line="240" w:lineRule="auto"/>
              <w:ind w:left="714"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What went wrong and what were the possible causes? </w:t>
            </w:r>
          </w:p>
          <w:p w14:paraId="3C66FAA0" w14:textId="77777777" w:rsidR="00D41361" w:rsidRPr="00AC41E0" w:rsidRDefault="00D41361" w:rsidP="00FD1A92">
            <w:pPr>
              <w:pStyle w:val="ListParagraph"/>
              <w:numPr>
                <w:ilvl w:val="0"/>
                <w:numId w:val="15"/>
              </w:numPr>
              <w:spacing w:after="120" w:line="240" w:lineRule="auto"/>
              <w:ind w:left="714"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Were there warning signs? </w:t>
            </w:r>
          </w:p>
        </w:tc>
        <w:tc>
          <w:tcPr>
            <w:tcW w:w="1024" w:type="pct"/>
          </w:tcPr>
          <w:p w14:paraId="55A9A7FC" w14:textId="77777777" w:rsidR="00D41361" w:rsidRPr="00AC41E0" w:rsidRDefault="00D41361" w:rsidP="00E60B8D">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C41E0">
              <w:rPr>
                <w:rFonts w:ascii="Arial" w:hAnsi="Arial" w:cs="Arial"/>
                <w:sz w:val="22"/>
                <w:szCs w:val="22"/>
              </w:rPr>
              <w:t>10 minutes</w:t>
            </w:r>
          </w:p>
        </w:tc>
      </w:tr>
      <w:tr w:rsidR="00D41361" w:rsidRPr="00AC41E0" w14:paraId="30394098" w14:textId="77777777" w:rsidTr="4E49D50C">
        <w:tc>
          <w:tcPr>
            <w:cnfStyle w:val="001000000000" w:firstRow="0" w:lastRow="0" w:firstColumn="1" w:lastColumn="0" w:oddVBand="0" w:evenVBand="0" w:oddHBand="0" w:evenHBand="0" w:firstRowFirstColumn="0" w:firstRowLastColumn="0" w:lastRowFirstColumn="0" w:lastRowLastColumn="0"/>
            <w:tcW w:w="442" w:type="pct"/>
          </w:tcPr>
          <w:p w14:paraId="1F4561DC" w14:textId="77777777" w:rsidR="00D41361" w:rsidRPr="00AC41E0" w:rsidRDefault="00D41361" w:rsidP="00E60B8D">
            <w:pPr>
              <w:spacing w:after="120"/>
              <w:jc w:val="center"/>
              <w:rPr>
                <w:rFonts w:ascii="Arial" w:hAnsi="Arial" w:cs="Arial"/>
                <w:sz w:val="22"/>
                <w:szCs w:val="22"/>
              </w:rPr>
            </w:pPr>
            <w:r w:rsidRPr="00AC41E0">
              <w:rPr>
                <w:rFonts w:ascii="Arial" w:hAnsi="Arial" w:cs="Arial"/>
                <w:sz w:val="22"/>
                <w:szCs w:val="22"/>
              </w:rPr>
              <w:t>4</w:t>
            </w:r>
          </w:p>
        </w:tc>
        <w:tc>
          <w:tcPr>
            <w:tcW w:w="3534" w:type="pct"/>
          </w:tcPr>
          <w:p w14:paraId="43C7E6E6" w14:textId="77777777" w:rsidR="00D41361" w:rsidRPr="00AC41E0" w:rsidRDefault="00D41361" w:rsidP="00E60B8D">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C41E0">
              <w:rPr>
                <w:rFonts w:ascii="Arial" w:hAnsi="Arial" w:cs="Arial"/>
                <w:sz w:val="22"/>
                <w:szCs w:val="22"/>
              </w:rPr>
              <w:t>The group discusses the identified reasons for the project failure by theme: </w:t>
            </w:r>
          </w:p>
          <w:p w14:paraId="66F1E550" w14:textId="77777777" w:rsidR="00D41361" w:rsidRPr="00AC41E0" w:rsidRDefault="00D41361" w:rsidP="00FD1A92">
            <w:pPr>
              <w:pStyle w:val="ListParagraph"/>
              <w:numPr>
                <w:ilvl w:val="0"/>
                <w:numId w:val="9"/>
              </w:numPr>
              <w:spacing w:after="120" w:line="240" w:lineRule="auto"/>
              <w:ind w:left="714"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What are the themes? </w:t>
            </w:r>
          </w:p>
          <w:p w14:paraId="68F70D25" w14:textId="77777777" w:rsidR="00D41361" w:rsidRPr="00AC41E0" w:rsidRDefault="00D41361" w:rsidP="00FD1A92">
            <w:pPr>
              <w:pStyle w:val="ListParagraph"/>
              <w:numPr>
                <w:ilvl w:val="0"/>
                <w:numId w:val="9"/>
              </w:numPr>
              <w:spacing w:after="120" w:line="240" w:lineRule="auto"/>
              <w:ind w:left="714"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AC41E0">
              <w:rPr>
                <w:rFonts w:ascii="Arial" w:hAnsi="Arial" w:cs="Arial"/>
              </w:rPr>
              <w:t>What is within the team’s control? </w:t>
            </w:r>
          </w:p>
        </w:tc>
        <w:tc>
          <w:tcPr>
            <w:tcW w:w="1024" w:type="pct"/>
          </w:tcPr>
          <w:p w14:paraId="68C03189" w14:textId="77777777" w:rsidR="00D41361" w:rsidRPr="00AC41E0" w:rsidRDefault="00D41361" w:rsidP="00E60B8D">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C41E0">
              <w:rPr>
                <w:rFonts w:ascii="Arial" w:hAnsi="Arial" w:cs="Arial"/>
                <w:sz w:val="22"/>
                <w:szCs w:val="22"/>
              </w:rPr>
              <w:t>40 minutes</w:t>
            </w:r>
          </w:p>
        </w:tc>
      </w:tr>
      <w:tr w:rsidR="004B4A8D" w:rsidRPr="00AC41E0" w14:paraId="544725DB" w14:textId="77777777" w:rsidTr="4E49D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1F6FC94F" w14:textId="77777777" w:rsidR="00D41361" w:rsidRPr="00AC41E0" w:rsidRDefault="00D41361" w:rsidP="00E60B8D">
            <w:pPr>
              <w:spacing w:after="120"/>
              <w:jc w:val="center"/>
              <w:rPr>
                <w:rFonts w:ascii="Arial" w:hAnsi="Arial" w:cs="Arial"/>
                <w:sz w:val="22"/>
                <w:szCs w:val="22"/>
              </w:rPr>
            </w:pPr>
            <w:r w:rsidRPr="00AC41E0">
              <w:rPr>
                <w:rFonts w:ascii="Arial" w:hAnsi="Arial" w:cs="Arial"/>
                <w:sz w:val="22"/>
                <w:szCs w:val="22"/>
              </w:rPr>
              <w:t>5</w:t>
            </w:r>
          </w:p>
        </w:tc>
        <w:tc>
          <w:tcPr>
            <w:tcW w:w="3534" w:type="pct"/>
          </w:tcPr>
          <w:p w14:paraId="1E8A971F" w14:textId="77777777" w:rsidR="00D41361" w:rsidRPr="00AC41E0" w:rsidRDefault="00D41361" w:rsidP="00E60B8D">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C41E0">
              <w:rPr>
                <w:rFonts w:ascii="Arial" w:hAnsi="Arial" w:cs="Arial"/>
                <w:sz w:val="22"/>
                <w:szCs w:val="22"/>
              </w:rPr>
              <w:t xml:space="preserve">For each identified reason for failure, consider what actions could be taken to mitigate that risk, and where possible, build the action into the project. </w:t>
            </w:r>
          </w:p>
          <w:p w14:paraId="45D43550" w14:textId="77777777" w:rsidR="00D41361" w:rsidRPr="00AC41E0" w:rsidRDefault="00D41361" w:rsidP="00E60B8D">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C41E0">
              <w:rPr>
                <w:rFonts w:ascii="Arial" w:hAnsi="Arial" w:cs="Arial"/>
                <w:sz w:val="22"/>
                <w:szCs w:val="22"/>
              </w:rPr>
              <w:t>You can follow this exercise by identifying any red flags which, should they occur, could prompt action: </w:t>
            </w:r>
          </w:p>
          <w:p w14:paraId="790E089D" w14:textId="77777777" w:rsidR="00D41361" w:rsidRPr="00AC41E0" w:rsidRDefault="00D41361" w:rsidP="00FD1A92">
            <w:pPr>
              <w:pStyle w:val="ListParagraph"/>
              <w:numPr>
                <w:ilvl w:val="0"/>
                <w:numId w:val="10"/>
              </w:numPr>
              <w:spacing w:after="120" w:line="240" w:lineRule="auto"/>
              <w:ind w:left="714"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What are the actions? </w:t>
            </w:r>
          </w:p>
          <w:p w14:paraId="2A6D64F9" w14:textId="77777777" w:rsidR="00D41361" w:rsidRPr="00AC41E0" w:rsidRDefault="00D41361" w:rsidP="00FD1A92">
            <w:pPr>
              <w:pStyle w:val="ListParagraph"/>
              <w:numPr>
                <w:ilvl w:val="0"/>
                <w:numId w:val="10"/>
              </w:numPr>
              <w:spacing w:after="120" w:line="240" w:lineRule="auto"/>
              <w:ind w:left="714"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Who is responsible for doing what? </w:t>
            </w:r>
          </w:p>
          <w:p w14:paraId="41C77AB3" w14:textId="6E24ED5B" w:rsidR="00D41361" w:rsidRPr="00AC41E0" w:rsidRDefault="00D41361" w:rsidP="00FD1A92">
            <w:pPr>
              <w:pStyle w:val="ListParagraph"/>
              <w:numPr>
                <w:ilvl w:val="0"/>
                <w:numId w:val="10"/>
              </w:numPr>
              <w:spacing w:after="120" w:line="240" w:lineRule="auto"/>
              <w:ind w:left="714"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AC41E0">
              <w:rPr>
                <w:rFonts w:ascii="Arial" w:hAnsi="Arial" w:cs="Arial"/>
              </w:rPr>
              <w:t>What are the red flags to prompt action?</w:t>
            </w:r>
          </w:p>
          <w:p w14:paraId="1CBB017E" w14:textId="19B2ACC1" w:rsidR="00D41361" w:rsidRPr="00AC41E0" w:rsidRDefault="003F2A58" w:rsidP="00E60B8D">
            <w:pPr>
              <w:spacing w:before="240" w:after="12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46FB0">
              <w:rPr>
                <w:rFonts w:ascii="Arial" w:hAnsi="Arial" w:cs="Arial"/>
                <w:i/>
                <w:noProof/>
                <w:sz w:val="22"/>
                <w:szCs w:val="22"/>
              </w:rPr>
              <w:drawing>
                <wp:anchor distT="0" distB="0" distL="114300" distR="114300" simplePos="0" relativeHeight="251658248" behindDoc="1" locked="0" layoutInCell="1" allowOverlap="1" wp14:anchorId="1927C79F" wp14:editId="47651D94">
                  <wp:simplePos x="0" y="0"/>
                  <wp:positionH relativeFrom="margin">
                    <wp:posOffset>-31750</wp:posOffset>
                  </wp:positionH>
                  <wp:positionV relativeFrom="paragraph">
                    <wp:posOffset>39370</wp:posOffset>
                  </wp:positionV>
                  <wp:extent cx="429260" cy="429260"/>
                  <wp:effectExtent l="0" t="0" r="0" b="8890"/>
                  <wp:wrapTight wrapText="bothSides">
                    <wp:wrapPolygon edited="0">
                      <wp:start x="7669" y="0"/>
                      <wp:lineTo x="959" y="3834"/>
                      <wp:lineTo x="0" y="9586"/>
                      <wp:lineTo x="2876" y="16296"/>
                      <wp:lineTo x="7669" y="21089"/>
                      <wp:lineTo x="13420" y="21089"/>
                      <wp:lineTo x="13420" y="16296"/>
                      <wp:lineTo x="20130" y="16296"/>
                      <wp:lineTo x="20130" y="3834"/>
                      <wp:lineTo x="12462" y="0"/>
                      <wp:lineTo x="7669" y="0"/>
                    </wp:wrapPolygon>
                  </wp:wrapTight>
                  <wp:docPr id="28" name="Graphic 28"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BulbAndGea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29260" cy="429260"/>
                          </a:xfrm>
                          <a:prstGeom prst="rect">
                            <a:avLst/>
                          </a:prstGeom>
                        </pic:spPr>
                      </pic:pic>
                    </a:graphicData>
                  </a:graphic>
                  <wp14:sizeRelH relativeFrom="margin">
                    <wp14:pctWidth>0</wp14:pctWidth>
                  </wp14:sizeRelH>
                  <wp14:sizeRelV relativeFrom="margin">
                    <wp14:pctHeight>0</wp14:pctHeight>
                  </wp14:sizeRelV>
                </wp:anchor>
              </w:drawing>
            </w:r>
            <w:r w:rsidR="00D41361" w:rsidRPr="00E46FB0">
              <w:rPr>
                <w:rFonts w:ascii="Arial" w:hAnsi="Arial" w:cs="Arial"/>
                <w:i/>
                <w:iCs/>
                <w:sz w:val="22"/>
                <w:szCs w:val="22"/>
              </w:rPr>
              <w:t>Tip: The clearer and more granular you can be, the better.</w:t>
            </w:r>
            <w:r w:rsidR="00D41361" w:rsidRPr="00AC41E0">
              <w:rPr>
                <w:rFonts w:ascii="Arial" w:hAnsi="Arial" w:cs="Arial"/>
                <w:sz w:val="22"/>
                <w:szCs w:val="22"/>
              </w:rPr>
              <w:t> </w:t>
            </w:r>
          </w:p>
          <w:p w14:paraId="4D34F7CB" w14:textId="77777777" w:rsidR="00D41361" w:rsidRPr="00AC41E0" w:rsidRDefault="00D41361" w:rsidP="00E60B8D">
            <w:pPr>
              <w:spacing w:after="120"/>
              <w:ind w:left="744"/>
              <w:cnfStyle w:val="000000100000" w:firstRow="0" w:lastRow="0" w:firstColumn="0" w:lastColumn="0" w:oddVBand="0" w:evenVBand="0" w:oddHBand="1" w:evenHBand="0" w:firstRowFirstColumn="0" w:firstRowLastColumn="0" w:lastRowFirstColumn="0" w:lastRowLastColumn="0"/>
              <w:rPr>
                <w:rFonts w:ascii="Arial" w:hAnsi="Arial" w:cs="Arial"/>
                <w:i/>
                <w:iCs/>
                <w:sz w:val="22"/>
                <w:szCs w:val="22"/>
              </w:rPr>
            </w:pPr>
            <w:r w:rsidRPr="00AC41E0">
              <w:rPr>
                <w:rFonts w:ascii="Arial" w:hAnsi="Arial" w:cs="Arial"/>
                <w:i/>
                <w:iCs/>
                <w:sz w:val="22"/>
                <w:szCs w:val="22"/>
              </w:rPr>
              <w:t>If possible, add the name of the person or position responsible, so that accountability is clear.</w:t>
            </w:r>
          </w:p>
          <w:p w14:paraId="0413095B" w14:textId="77777777" w:rsidR="00D41361" w:rsidRPr="00AC41E0" w:rsidRDefault="00D41361" w:rsidP="00E60B8D">
            <w:pPr>
              <w:spacing w:after="120"/>
              <w:ind w:left="744"/>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C41E0">
              <w:rPr>
                <w:rFonts w:ascii="Arial" w:hAnsi="Arial" w:cs="Arial"/>
                <w:i/>
                <w:sz w:val="22"/>
                <w:szCs w:val="22"/>
              </w:rPr>
              <w:t>Once you have finished step 5, do not file the results away to be forgotten about. Keep your Risk Register up to date and do not be afraid to repeat this pre-mortem exercise at various points during your project.</w:t>
            </w:r>
          </w:p>
        </w:tc>
        <w:tc>
          <w:tcPr>
            <w:tcW w:w="1024" w:type="pct"/>
          </w:tcPr>
          <w:p w14:paraId="695A9D08" w14:textId="77777777" w:rsidR="00D41361" w:rsidRPr="00AC41E0" w:rsidRDefault="00D41361" w:rsidP="00E60B8D">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C41E0">
              <w:rPr>
                <w:rFonts w:ascii="Arial" w:hAnsi="Arial" w:cs="Arial"/>
                <w:sz w:val="22"/>
                <w:szCs w:val="22"/>
              </w:rPr>
              <w:t>As much time as required</w:t>
            </w:r>
          </w:p>
        </w:tc>
      </w:tr>
    </w:tbl>
    <w:p w14:paraId="4C70CA41" w14:textId="77777777" w:rsidR="0009710F" w:rsidRPr="00AC41E0" w:rsidRDefault="0009710F">
      <w:pPr>
        <w:rPr>
          <w:rFonts w:ascii="Arial" w:eastAsia="Arial Bold" w:hAnsi="Arial" w:cs="Arial"/>
          <w:b/>
          <w:color w:val="000000"/>
          <w:sz w:val="22"/>
          <w:szCs w:val="40"/>
        </w:rPr>
      </w:pPr>
      <w:r w:rsidRPr="00AC41E0">
        <w:rPr>
          <w:rFonts w:ascii="Arial" w:hAnsi="Arial" w:cs="Arial"/>
        </w:rPr>
        <w:br w:type="page"/>
      </w:r>
    </w:p>
    <w:p w14:paraId="2A123BED" w14:textId="6BC700A6" w:rsidR="00D41361" w:rsidRPr="00AC41E0" w:rsidRDefault="00D41361" w:rsidP="0009710F">
      <w:pPr>
        <w:pStyle w:val="Heading4"/>
        <w:numPr>
          <w:ilvl w:val="0"/>
          <w:numId w:val="0"/>
        </w:numPr>
        <w:rPr>
          <w:rFonts w:ascii="Arial" w:hAnsi="Arial"/>
        </w:rPr>
      </w:pPr>
      <w:r w:rsidRPr="00AC41E0">
        <w:rPr>
          <w:rFonts w:ascii="Arial" w:hAnsi="Arial"/>
        </w:rPr>
        <w:lastRenderedPageBreak/>
        <w:t>Example pre-mortem exercise</w:t>
      </w:r>
    </w:p>
    <w:tbl>
      <w:tblPr>
        <w:tblStyle w:val="GridTable4-Accent1"/>
        <w:tblW w:w="5000" w:type="pct"/>
        <w:tblInd w:w="0" w:type="dxa"/>
        <w:tblCellMar>
          <w:bottom w:w="34" w:type="dxa"/>
        </w:tblCellMar>
        <w:tblLook w:val="04A0" w:firstRow="1" w:lastRow="0" w:firstColumn="1" w:lastColumn="0" w:noHBand="0" w:noVBand="1"/>
      </w:tblPr>
      <w:tblGrid>
        <w:gridCol w:w="693"/>
        <w:gridCol w:w="1439"/>
        <w:gridCol w:w="7496"/>
      </w:tblGrid>
      <w:tr w:rsidR="00D41361" w:rsidRPr="00AC41E0" w14:paraId="3425218B" w14:textId="77777777" w:rsidTr="00110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shd w:val="clear" w:color="auto" w:fill="1F497D" w:themeFill="text2"/>
          </w:tcPr>
          <w:p w14:paraId="1891C8F8" w14:textId="77777777" w:rsidR="00D41361" w:rsidRPr="00AC41E0" w:rsidRDefault="00D41361" w:rsidP="00AB65DB">
            <w:pPr>
              <w:jc w:val="center"/>
              <w:rPr>
                <w:rFonts w:ascii="Arial" w:hAnsi="Arial" w:cs="Arial"/>
                <w:sz w:val="22"/>
                <w:szCs w:val="22"/>
              </w:rPr>
            </w:pPr>
            <w:r w:rsidRPr="00AC41E0">
              <w:rPr>
                <w:rFonts w:ascii="Arial" w:hAnsi="Arial" w:cs="Arial"/>
                <w:sz w:val="22"/>
                <w:szCs w:val="22"/>
              </w:rPr>
              <w:t>Step</w:t>
            </w:r>
          </w:p>
        </w:tc>
        <w:tc>
          <w:tcPr>
            <w:tcW w:w="0" w:type="pct"/>
            <w:tcBorders>
              <w:top w:val="single" w:sz="4" w:space="0" w:color="auto"/>
              <w:left w:val="single" w:sz="4" w:space="0" w:color="auto"/>
              <w:bottom w:val="single" w:sz="4" w:space="0" w:color="auto"/>
              <w:right w:val="single" w:sz="4" w:space="0" w:color="auto"/>
            </w:tcBorders>
            <w:shd w:val="clear" w:color="auto" w:fill="1F497D" w:themeFill="text2"/>
          </w:tcPr>
          <w:p w14:paraId="2BD78BB7" w14:textId="77777777" w:rsidR="00D41361" w:rsidRPr="00AC41E0" w:rsidRDefault="00D41361" w:rsidP="00AB65D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C41E0">
              <w:rPr>
                <w:rFonts w:ascii="Arial" w:hAnsi="Arial" w:cs="Arial"/>
                <w:sz w:val="22"/>
                <w:szCs w:val="22"/>
              </w:rPr>
              <w:t>Issue</w:t>
            </w:r>
          </w:p>
        </w:tc>
        <w:tc>
          <w:tcPr>
            <w:tcW w:w="0" w:type="pct"/>
            <w:tcBorders>
              <w:top w:val="single" w:sz="4" w:space="0" w:color="auto"/>
              <w:left w:val="single" w:sz="4" w:space="0" w:color="auto"/>
              <w:bottom w:val="single" w:sz="4" w:space="0" w:color="auto"/>
              <w:right w:val="single" w:sz="4" w:space="0" w:color="auto"/>
            </w:tcBorders>
            <w:shd w:val="clear" w:color="auto" w:fill="1F497D" w:themeFill="text2"/>
          </w:tcPr>
          <w:p w14:paraId="0717B91C" w14:textId="77777777" w:rsidR="00D41361" w:rsidRPr="00AC41E0" w:rsidRDefault="00D41361" w:rsidP="00AB65D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C41E0">
              <w:rPr>
                <w:rFonts w:ascii="Arial" w:hAnsi="Arial" w:cs="Arial"/>
                <w:sz w:val="22"/>
                <w:szCs w:val="22"/>
              </w:rPr>
              <w:t>Brainstorming</w:t>
            </w:r>
          </w:p>
        </w:tc>
      </w:tr>
      <w:tr w:rsidR="00D41361" w:rsidRPr="00AC41E0" w14:paraId="39E5402B" w14:textId="77777777" w:rsidTr="00B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pct"/>
            <w:tcBorders>
              <w:top w:val="single" w:sz="4" w:space="0" w:color="auto"/>
            </w:tcBorders>
          </w:tcPr>
          <w:p w14:paraId="0F849815" w14:textId="77777777" w:rsidR="00D41361" w:rsidRPr="00AC41E0" w:rsidRDefault="00D41361" w:rsidP="00AB65DB">
            <w:pPr>
              <w:spacing w:afterLines="50" w:after="120"/>
              <w:jc w:val="center"/>
              <w:rPr>
                <w:rFonts w:ascii="Arial" w:hAnsi="Arial" w:cs="Arial"/>
                <w:color w:val="000000" w:themeColor="text1"/>
                <w:sz w:val="22"/>
                <w:szCs w:val="22"/>
              </w:rPr>
            </w:pPr>
            <w:r w:rsidRPr="00AC41E0">
              <w:rPr>
                <w:rFonts w:ascii="Arial" w:hAnsi="Arial" w:cs="Arial"/>
                <w:color w:val="000000" w:themeColor="text1"/>
                <w:sz w:val="22"/>
                <w:szCs w:val="22"/>
              </w:rPr>
              <w:t>1</w:t>
            </w:r>
          </w:p>
        </w:tc>
        <w:tc>
          <w:tcPr>
            <w:tcW w:w="742" w:type="pct"/>
            <w:tcBorders>
              <w:top w:val="single" w:sz="4" w:space="0" w:color="auto"/>
            </w:tcBorders>
          </w:tcPr>
          <w:p w14:paraId="6CCB1526" w14:textId="77777777" w:rsidR="00D41361" w:rsidRPr="00AC41E0" w:rsidRDefault="00D41361" w:rsidP="00AB65DB">
            <w:pPr>
              <w:spacing w:afterLines="50" w:after="12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AC41E0">
              <w:rPr>
                <w:rFonts w:ascii="Arial" w:hAnsi="Arial" w:cs="Arial"/>
                <w:color w:val="000000" w:themeColor="text1"/>
                <w:sz w:val="22"/>
                <w:szCs w:val="22"/>
              </w:rPr>
              <w:t>Project brief</w:t>
            </w:r>
          </w:p>
        </w:tc>
        <w:tc>
          <w:tcPr>
            <w:tcW w:w="3898" w:type="pct"/>
            <w:tcBorders>
              <w:top w:val="single" w:sz="4" w:space="0" w:color="auto"/>
            </w:tcBorders>
          </w:tcPr>
          <w:p w14:paraId="45F7437F" w14:textId="77777777" w:rsidR="00D41361" w:rsidRPr="00AC41E0" w:rsidRDefault="00D41361" w:rsidP="00AB65DB">
            <w:pPr>
              <w:spacing w:afterLines="50" w:after="12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AC41E0">
              <w:rPr>
                <w:rFonts w:ascii="Arial" w:hAnsi="Arial" w:cs="Arial"/>
                <w:color w:val="000000" w:themeColor="text1"/>
                <w:sz w:val="22"/>
                <w:szCs w:val="22"/>
              </w:rPr>
              <w:t>We want to install smart street lights that turn on when motion is detected on the street. Stakeholders include the project sponsor, the team who will manage the lights and the general public.  </w:t>
            </w:r>
          </w:p>
        </w:tc>
      </w:tr>
      <w:tr w:rsidR="00D41361" w:rsidRPr="00AC41E0" w14:paraId="26F52C3A" w14:textId="77777777" w:rsidTr="00B96A43">
        <w:tc>
          <w:tcPr>
            <w:cnfStyle w:val="001000000000" w:firstRow="0" w:lastRow="0" w:firstColumn="1" w:lastColumn="0" w:oddVBand="0" w:evenVBand="0" w:oddHBand="0" w:evenHBand="0" w:firstRowFirstColumn="0" w:firstRowLastColumn="0" w:lastRowFirstColumn="0" w:lastRowLastColumn="0"/>
            <w:tcW w:w="360" w:type="pct"/>
          </w:tcPr>
          <w:p w14:paraId="2ADB9414" w14:textId="77777777" w:rsidR="00D41361" w:rsidRPr="00AC41E0" w:rsidRDefault="00D41361" w:rsidP="00AB65DB">
            <w:pPr>
              <w:spacing w:afterLines="50" w:after="120"/>
              <w:jc w:val="center"/>
              <w:rPr>
                <w:rFonts w:ascii="Arial" w:hAnsi="Arial" w:cs="Arial"/>
                <w:color w:val="000000" w:themeColor="text1"/>
                <w:sz w:val="22"/>
                <w:szCs w:val="22"/>
              </w:rPr>
            </w:pPr>
            <w:r w:rsidRPr="00AC41E0">
              <w:rPr>
                <w:rFonts w:ascii="Arial" w:hAnsi="Arial" w:cs="Arial"/>
                <w:color w:val="000000" w:themeColor="text1"/>
                <w:sz w:val="22"/>
                <w:szCs w:val="22"/>
              </w:rPr>
              <w:t>2</w:t>
            </w:r>
          </w:p>
        </w:tc>
        <w:tc>
          <w:tcPr>
            <w:tcW w:w="742" w:type="pct"/>
          </w:tcPr>
          <w:p w14:paraId="44CC90AB" w14:textId="77777777" w:rsidR="00D41361" w:rsidRPr="00AC41E0" w:rsidRDefault="00D41361" w:rsidP="00AB65DB">
            <w:pPr>
              <w:spacing w:afterLines="5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AC41E0">
              <w:rPr>
                <w:rFonts w:ascii="Arial" w:hAnsi="Arial" w:cs="Arial"/>
                <w:color w:val="000000" w:themeColor="text1"/>
                <w:sz w:val="22"/>
                <w:szCs w:val="22"/>
              </w:rPr>
              <w:t>Fast forward to the future</w:t>
            </w:r>
          </w:p>
        </w:tc>
        <w:tc>
          <w:tcPr>
            <w:tcW w:w="3898" w:type="pct"/>
          </w:tcPr>
          <w:p w14:paraId="76D6BBF2" w14:textId="09D54F32" w:rsidR="00D41361" w:rsidRPr="00AC41E0" w:rsidRDefault="00D41361" w:rsidP="00AB65DB">
            <w:pPr>
              <w:spacing w:afterLines="5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AC41E0">
              <w:rPr>
                <w:rFonts w:ascii="Arial" w:hAnsi="Arial" w:cs="Arial"/>
                <w:color w:val="000000" w:themeColor="text1"/>
                <w:sz w:val="22"/>
                <w:szCs w:val="22"/>
              </w:rPr>
              <w:t>One year later… failure. The lights have to be uninstalled and the project is cancelled. The public </w:t>
            </w:r>
            <w:r w:rsidR="005B33C2" w:rsidRPr="00AC41E0">
              <w:rPr>
                <w:rFonts w:ascii="Arial" w:hAnsi="Arial" w:cs="Arial"/>
                <w:color w:val="000000" w:themeColor="text1"/>
                <w:sz w:val="22"/>
                <w:szCs w:val="22"/>
              </w:rPr>
              <w:t>was angry that</w:t>
            </w:r>
            <w:r w:rsidRPr="00AC41E0">
              <w:rPr>
                <w:rFonts w:ascii="Arial" w:hAnsi="Arial" w:cs="Arial"/>
                <w:color w:val="000000" w:themeColor="text1"/>
                <w:sz w:val="22"/>
                <w:szCs w:val="22"/>
              </w:rPr>
              <w:t xml:space="preserve"> data was being collected about their movements and sold by the </w:t>
            </w:r>
            <w:r w:rsidR="007D26F9" w:rsidRPr="00AC41E0">
              <w:rPr>
                <w:rFonts w:ascii="Arial" w:hAnsi="Arial" w:cs="Arial"/>
                <w:color w:val="000000" w:themeColor="text1"/>
                <w:sz w:val="22"/>
                <w:szCs w:val="22"/>
              </w:rPr>
              <w:t>supplier</w:t>
            </w:r>
            <w:r w:rsidRPr="00AC41E0">
              <w:rPr>
                <w:rFonts w:ascii="Arial" w:hAnsi="Arial" w:cs="Arial"/>
                <w:color w:val="000000" w:themeColor="text1"/>
                <w:sz w:val="22"/>
                <w:szCs w:val="22"/>
              </w:rPr>
              <w:t xml:space="preserve"> of the sensors to third parties.   </w:t>
            </w:r>
          </w:p>
        </w:tc>
      </w:tr>
      <w:tr w:rsidR="00D41361" w:rsidRPr="00AC41E0" w14:paraId="15491BF8" w14:textId="77777777" w:rsidTr="00B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pct"/>
            <w:vMerge w:val="restart"/>
          </w:tcPr>
          <w:p w14:paraId="26AE638C" w14:textId="77777777" w:rsidR="00D41361" w:rsidRPr="00AC41E0" w:rsidRDefault="00D41361" w:rsidP="00AB65DB">
            <w:pPr>
              <w:spacing w:afterLines="50" w:after="120"/>
              <w:jc w:val="center"/>
              <w:rPr>
                <w:rFonts w:ascii="Arial" w:hAnsi="Arial" w:cs="Arial"/>
                <w:color w:val="000000" w:themeColor="text1"/>
                <w:sz w:val="22"/>
                <w:szCs w:val="22"/>
              </w:rPr>
            </w:pPr>
            <w:r w:rsidRPr="00AC41E0">
              <w:rPr>
                <w:rFonts w:ascii="Arial" w:hAnsi="Arial" w:cs="Arial"/>
                <w:color w:val="000000" w:themeColor="text1"/>
                <w:sz w:val="22"/>
                <w:szCs w:val="22"/>
              </w:rPr>
              <w:t>3</w:t>
            </w:r>
          </w:p>
        </w:tc>
        <w:tc>
          <w:tcPr>
            <w:tcW w:w="742" w:type="pct"/>
          </w:tcPr>
          <w:p w14:paraId="0B2DA75D" w14:textId="77777777" w:rsidR="00D41361" w:rsidRPr="00AC41E0" w:rsidRDefault="00D41361" w:rsidP="00AB65DB">
            <w:pPr>
              <w:spacing w:afterLines="50" w:after="12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AC41E0">
              <w:rPr>
                <w:rFonts w:ascii="Arial" w:hAnsi="Arial" w:cs="Arial"/>
                <w:color w:val="000000" w:themeColor="text1"/>
                <w:sz w:val="22"/>
                <w:szCs w:val="22"/>
              </w:rPr>
              <w:t>What went wrong and why?</w:t>
            </w:r>
          </w:p>
        </w:tc>
        <w:tc>
          <w:tcPr>
            <w:tcW w:w="3898" w:type="pct"/>
          </w:tcPr>
          <w:p w14:paraId="717A426B" w14:textId="12F54471" w:rsidR="00D41361" w:rsidRPr="00AC41E0" w:rsidRDefault="00D41361" w:rsidP="00AB65DB">
            <w:pPr>
              <w:pStyle w:val="ListParagraph"/>
              <w:numPr>
                <w:ilvl w:val="0"/>
                <w:numId w:val="16"/>
              </w:numPr>
              <w:spacing w:afterLines="50" w:after="120" w:line="240" w:lineRule="auto"/>
              <w:ind w:left="357" w:hanging="327"/>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C41E0">
              <w:rPr>
                <w:rFonts w:ascii="Arial" w:hAnsi="Arial" w:cs="Arial"/>
                <w:color w:val="000000" w:themeColor="text1"/>
              </w:rPr>
              <w:t xml:space="preserve">We did not </w:t>
            </w:r>
            <w:r w:rsidR="00A276AA" w:rsidRPr="00AC41E0">
              <w:rPr>
                <w:rFonts w:ascii="Arial" w:hAnsi="Arial" w:cs="Arial"/>
                <w:color w:val="000000" w:themeColor="text1"/>
              </w:rPr>
              <w:t xml:space="preserve">check </w:t>
            </w:r>
            <w:r w:rsidRPr="00AC41E0">
              <w:rPr>
                <w:rFonts w:ascii="Arial" w:hAnsi="Arial" w:cs="Arial"/>
                <w:color w:val="000000" w:themeColor="text1"/>
              </w:rPr>
              <w:t xml:space="preserve">that data collected would not be owned or accessible to the sensor </w:t>
            </w:r>
            <w:r w:rsidR="000B19BB" w:rsidRPr="00AC41E0">
              <w:rPr>
                <w:rFonts w:ascii="Arial" w:hAnsi="Arial" w:cs="Arial"/>
                <w:color w:val="000000" w:themeColor="text1"/>
              </w:rPr>
              <w:t xml:space="preserve">supplier </w:t>
            </w:r>
            <w:r w:rsidRPr="00AC41E0">
              <w:rPr>
                <w:rFonts w:ascii="Arial" w:hAnsi="Arial" w:cs="Arial"/>
                <w:color w:val="000000" w:themeColor="text1"/>
              </w:rPr>
              <w:t>– “</w:t>
            </w:r>
            <w:r w:rsidRPr="00AC41E0">
              <w:rPr>
                <w:rFonts w:ascii="Arial" w:hAnsi="Arial" w:cs="Arial"/>
                <w:i/>
                <w:iCs/>
                <w:color w:val="000000" w:themeColor="text1"/>
              </w:rPr>
              <w:t>We we</w:t>
            </w:r>
            <w:r w:rsidR="007B6A04" w:rsidRPr="00AC41E0">
              <w:rPr>
                <w:rFonts w:ascii="Arial" w:hAnsi="Arial" w:cs="Arial"/>
                <w:i/>
                <w:iCs/>
                <w:color w:val="000000" w:themeColor="text1"/>
              </w:rPr>
              <w:t>re not</w:t>
            </w:r>
            <w:r w:rsidRPr="00AC41E0">
              <w:rPr>
                <w:rFonts w:ascii="Arial" w:hAnsi="Arial" w:cs="Arial"/>
                <w:i/>
                <w:iCs/>
                <w:color w:val="000000" w:themeColor="text1"/>
              </w:rPr>
              <w:t xml:space="preserve"> sure </w:t>
            </w:r>
            <w:r w:rsidR="00402A60" w:rsidRPr="00AC41E0">
              <w:rPr>
                <w:rFonts w:ascii="Arial" w:hAnsi="Arial" w:cs="Arial"/>
                <w:i/>
                <w:iCs/>
                <w:color w:val="000000" w:themeColor="text1"/>
              </w:rPr>
              <w:t>if</w:t>
            </w:r>
            <w:r w:rsidRPr="00AC41E0">
              <w:rPr>
                <w:rFonts w:ascii="Arial" w:hAnsi="Arial" w:cs="Arial"/>
                <w:i/>
                <w:iCs/>
                <w:color w:val="000000" w:themeColor="text1"/>
              </w:rPr>
              <w:t xml:space="preserve"> data would be collected…”</w:t>
            </w:r>
            <w:r w:rsidRPr="00AC41E0">
              <w:rPr>
                <w:rFonts w:ascii="Arial" w:hAnsi="Arial" w:cs="Arial"/>
                <w:color w:val="000000" w:themeColor="text1"/>
              </w:rPr>
              <w:t>  </w:t>
            </w:r>
          </w:p>
          <w:p w14:paraId="7A530671" w14:textId="1A6C42E2" w:rsidR="00D41361" w:rsidRPr="00AC41E0" w:rsidRDefault="00D41361" w:rsidP="00AB65DB">
            <w:pPr>
              <w:pStyle w:val="ListParagraph"/>
              <w:numPr>
                <w:ilvl w:val="0"/>
                <w:numId w:val="16"/>
              </w:numPr>
              <w:spacing w:afterLines="50" w:after="120" w:line="240" w:lineRule="auto"/>
              <w:ind w:left="357" w:hanging="327"/>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C41E0">
              <w:rPr>
                <w:rFonts w:ascii="Arial" w:hAnsi="Arial" w:cs="Arial"/>
                <w:color w:val="000000" w:themeColor="text1"/>
              </w:rPr>
              <w:t>We did not engage with the general public sufficiently during the process to hear and understand their concerns</w:t>
            </w:r>
            <w:r w:rsidR="00466D0B" w:rsidRPr="00AC41E0">
              <w:rPr>
                <w:rFonts w:ascii="Arial" w:hAnsi="Arial" w:cs="Arial"/>
                <w:color w:val="000000" w:themeColor="text1"/>
              </w:rPr>
              <w:t xml:space="preserve"> </w:t>
            </w:r>
            <w:r w:rsidRPr="00AC41E0">
              <w:rPr>
                <w:rFonts w:ascii="Arial" w:hAnsi="Arial" w:cs="Arial"/>
                <w:color w:val="000000" w:themeColor="text1"/>
              </w:rPr>
              <w:t>– “</w:t>
            </w:r>
            <w:r w:rsidRPr="00AC41E0">
              <w:rPr>
                <w:rFonts w:ascii="Arial" w:hAnsi="Arial" w:cs="Arial"/>
                <w:i/>
                <w:iCs/>
                <w:color w:val="000000" w:themeColor="text1"/>
              </w:rPr>
              <w:t>We did not have time to engage with the public more…</w:t>
            </w:r>
            <w:r w:rsidRPr="00AC41E0">
              <w:rPr>
                <w:rFonts w:ascii="Arial" w:hAnsi="Arial" w:cs="Arial"/>
                <w:color w:val="000000" w:themeColor="text1"/>
              </w:rPr>
              <w:t>”</w:t>
            </w:r>
          </w:p>
          <w:p w14:paraId="5E2B1BC1" w14:textId="464E8ECD" w:rsidR="00D41361" w:rsidRPr="00AC41E0" w:rsidRDefault="00D41361" w:rsidP="00AB65DB">
            <w:pPr>
              <w:pStyle w:val="ListParagraph"/>
              <w:numPr>
                <w:ilvl w:val="0"/>
                <w:numId w:val="16"/>
              </w:numPr>
              <w:spacing w:afterLines="50" w:after="120" w:line="240" w:lineRule="auto"/>
              <w:ind w:left="357" w:hanging="327"/>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C41E0">
              <w:rPr>
                <w:rFonts w:ascii="Arial" w:hAnsi="Arial" w:cs="Arial"/>
                <w:color w:val="000000" w:themeColor="text1"/>
              </w:rPr>
              <w:t>We did not adequately plan stakeholder engagement</w:t>
            </w:r>
            <w:r w:rsidR="00466D0B" w:rsidRPr="00AC41E0">
              <w:rPr>
                <w:rFonts w:ascii="Arial" w:hAnsi="Arial" w:cs="Arial"/>
                <w:color w:val="000000" w:themeColor="text1"/>
              </w:rPr>
              <w:t xml:space="preserve"> </w:t>
            </w:r>
            <w:r w:rsidRPr="00AC41E0">
              <w:rPr>
                <w:rFonts w:ascii="Arial" w:hAnsi="Arial" w:cs="Arial"/>
                <w:color w:val="000000" w:themeColor="text1"/>
              </w:rPr>
              <w:t>– “</w:t>
            </w:r>
            <w:r w:rsidRPr="00AC41E0">
              <w:rPr>
                <w:rFonts w:ascii="Arial" w:hAnsi="Arial" w:cs="Arial"/>
                <w:i/>
                <w:iCs/>
                <w:color w:val="000000" w:themeColor="text1"/>
              </w:rPr>
              <w:t>We thought engaging with the project sponsor and releasing an announcement would be enough, we have never done a communications stakeholder plan…” </w:t>
            </w:r>
            <w:r w:rsidRPr="00AC41E0">
              <w:rPr>
                <w:rFonts w:ascii="Arial" w:hAnsi="Arial" w:cs="Arial"/>
                <w:color w:val="000000" w:themeColor="text1"/>
              </w:rPr>
              <w:t> </w:t>
            </w:r>
          </w:p>
          <w:p w14:paraId="36D49AF3" w14:textId="4EC918E0" w:rsidR="00D41361" w:rsidRPr="00AC41E0" w:rsidRDefault="00D41361" w:rsidP="00AB65DB">
            <w:pPr>
              <w:pStyle w:val="ListParagraph"/>
              <w:numPr>
                <w:ilvl w:val="0"/>
                <w:numId w:val="16"/>
              </w:numPr>
              <w:spacing w:afterLines="50" w:after="120" w:line="240" w:lineRule="auto"/>
              <w:ind w:left="357" w:hanging="327"/>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C41E0">
              <w:rPr>
                <w:rFonts w:ascii="Arial" w:hAnsi="Arial" w:cs="Arial"/>
                <w:color w:val="000000" w:themeColor="text1"/>
              </w:rPr>
              <w:t>We missed critical steps in the procurement process</w:t>
            </w:r>
            <w:r w:rsidR="00466D0B" w:rsidRPr="00AC41E0">
              <w:rPr>
                <w:rFonts w:ascii="Arial" w:hAnsi="Arial" w:cs="Arial"/>
                <w:color w:val="000000" w:themeColor="text1"/>
              </w:rPr>
              <w:t xml:space="preserve"> </w:t>
            </w:r>
            <w:r w:rsidRPr="00AC41E0">
              <w:rPr>
                <w:rFonts w:ascii="Arial" w:hAnsi="Arial" w:cs="Arial"/>
                <w:color w:val="000000" w:themeColor="text1"/>
              </w:rPr>
              <w:t>– “</w:t>
            </w:r>
            <w:r w:rsidRPr="00AC41E0">
              <w:rPr>
                <w:rFonts w:ascii="Arial" w:hAnsi="Arial" w:cs="Arial"/>
                <w:i/>
                <w:iCs/>
                <w:color w:val="000000" w:themeColor="text1"/>
              </w:rPr>
              <w:t>We did not think about the data when procuring sensors, we had no example to follow, we did not know who to talk to as a sounding board, we did not have procurement experience, we did not do due diligence...”</w:t>
            </w:r>
          </w:p>
        </w:tc>
      </w:tr>
      <w:tr w:rsidR="00D41361" w:rsidRPr="00AC41E0" w14:paraId="76437B02" w14:textId="77777777" w:rsidTr="00B96A43">
        <w:tc>
          <w:tcPr>
            <w:cnfStyle w:val="001000000000" w:firstRow="0" w:lastRow="0" w:firstColumn="1" w:lastColumn="0" w:oddVBand="0" w:evenVBand="0" w:oddHBand="0" w:evenHBand="0" w:firstRowFirstColumn="0" w:firstRowLastColumn="0" w:lastRowFirstColumn="0" w:lastRowLastColumn="0"/>
            <w:tcW w:w="360" w:type="pct"/>
            <w:vMerge/>
            <w:shd w:val="clear" w:color="auto" w:fill="DBE5F1" w:themeFill="accent1" w:themeFillTint="33"/>
          </w:tcPr>
          <w:p w14:paraId="30C2BBB5" w14:textId="77777777" w:rsidR="00D41361" w:rsidRPr="00AC41E0" w:rsidRDefault="00D41361" w:rsidP="00AB65DB">
            <w:pPr>
              <w:spacing w:afterLines="50" w:after="120"/>
              <w:jc w:val="center"/>
              <w:rPr>
                <w:rFonts w:ascii="Arial" w:hAnsi="Arial" w:cs="Arial"/>
                <w:color w:val="000000" w:themeColor="text1"/>
                <w:sz w:val="22"/>
                <w:szCs w:val="22"/>
              </w:rPr>
            </w:pPr>
          </w:p>
        </w:tc>
        <w:tc>
          <w:tcPr>
            <w:tcW w:w="742" w:type="pct"/>
            <w:shd w:val="clear" w:color="auto" w:fill="DBE5F1" w:themeFill="accent1" w:themeFillTint="33"/>
          </w:tcPr>
          <w:p w14:paraId="39A7D496" w14:textId="77777777" w:rsidR="00D41361" w:rsidRPr="00AC41E0" w:rsidRDefault="00D41361" w:rsidP="00AB65DB">
            <w:pPr>
              <w:spacing w:afterLines="5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AC41E0">
              <w:rPr>
                <w:rFonts w:ascii="Arial" w:hAnsi="Arial" w:cs="Arial"/>
                <w:color w:val="000000" w:themeColor="text1"/>
                <w:sz w:val="22"/>
                <w:szCs w:val="22"/>
              </w:rPr>
              <w:t>Were there warning signs? </w:t>
            </w:r>
          </w:p>
          <w:p w14:paraId="7693636B" w14:textId="77777777" w:rsidR="00D41361" w:rsidRPr="00AC41E0" w:rsidRDefault="00D41361" w:rsidP="00AB65DB">
            <w:pPr>
              <w:spacing w:afterLines="5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c>
          <w:tcPr>
            <w:tcW w:w="3898" w:type="pct"/>
            <w:shd w:val="clear" w:color="auto" w:fill="DBE5F1" w:themeFill="accent1" w:themeFillTint="33"/>
          </w:tcPr>
          <w:p w14:paraId="0F59F36A" w14:textId="0E74C07B" w:rsidR="00D41361" w:rsidRPr="00AC41E0" w:rsidRDefault="00D41361" w:rsidP="00AB65DB">
            <w:pPr>
              <w:pStyle w:val="ListParagraph"/>
              <w:numPr>
                <w:ilvl w:val="0"/>
                <w:numId w:val="8"/>
              </w:numPr>
              <w:spacing w:afterLines="50" w:after="120" w:line="240" w:lineRule="auto"/>
              <w:ind w:left="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C41E0">
              <w:rPr>
                <w:rFonts w:ascii="Arial" w:hAnsi="Arial" w:cs="Arial"/>
                <w:color w:val="000000" w:themeColor="text1"/>
              </w:rPr>
              <w:t xml:space="preserve">The </w:t>
            </w:r>
            <w:r w:rsidR="000B19BB" w:rsidRPr="00AC41E0">
              <w:rPr>
                <w:rFonts w:ascii="Arial" w:hAnsi="Arial" w:cs="Arial"/>
                <w:color w:val="000000" w:themeColor="text1"/>
              </w:rPr>
              <w:t xml:space="preserve">IoT service provider </w:t>
            </w:r>
            <w:r w:rsidRPr="00AC41E0">
              <w:rPr>
                <w:rFonts w:ascii="Arial" w:hAnsi="Arial" w:cs="Arial"/>
                <w:color w:val="000000" w:themeColor="text1"/>
              </w:rPr>
              <w:t>did not specify who would own the data collected – “</w:t>
            </w:r>
            <w:r w:rsidRPr="00AC41E0">
              <w:rPr>
                <w:rFonts w:ascii="Arial" w:hAnsi="Arial" w:cs="Arial"/>
                <w:i/>
                <w:iCs/>
                <w:color w:val="000000" w:themeColor="text1"/>
              </w:rPr>
              <w:t>We assumed we would</w:t>
            </w:r>
            <w:r w:rsidRPr="00AC41E0">
              <w:rPr>
                <w:rFonts w:ascii="Arial" w:hAnsi="Arial" w:cs="Arial"/>
                <w:i/>
                <w:color w:val="000000" w:themeColor="text1"/>
              </w:rPr>
              <w:t> own the data</w:t>
            </w:r>
            <w:r w:rsidRPr="00AC41E0">
              <w:rPr>
                <w:rFonts w:ascii="Arial" w:hAnsi="Arial" w:cs="Arial"/>
                <w:color w:val="000000" w:themeColor="text1"/>
              </w:rPr>
              <w:t>…”</w:t>
            </w:r>
          </w:p>
          <w:p w14:paraId="08DBE095" w14:textId="00333A88" w:rsidR="00D41361" w:rsidRPr="00AC41E0" w:rsidRDefault="00D41361" w:rsidP="00AB65DB">
            <w:pPr>
              <w:pStyle w:val="ListParagraph"/>
              <w:numPr>
                <w:ilvl w:val="0"/>
                <w:numId w:val="8"/>
              </w:numPr>
              <w:spacing w:afterLines="50" w:after="120" w:line="240" w:lineRule="auto"/>
              <w:ind w:left="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C41E0">
              <w:rPr>
                <w:rFonts w:ascii="Arial" w:hAnsi="Arial" w:cs="Arial"/>
                <w:color w:val="000000" w:themeColor="text1"/>
              </w:rPr>
              <w:t>There was previous discontent from the public </w:t>
            </w:r>
            <w:r w:rsidR="0030298D" w:rsidRPr="00AC41E0">
              <w:rPr>
                <w:rFonts w:ascii="Arial" w:hAnsi="Arial" w:cs="Arial"/>
                <w:color w:val="000000" w:themeColor="text1"/>
              </w:rPr>
              <w:t>around</w:t>
            </w:r>
            <w:r w:rsidRPr="00AC41E0">
              <w:rPr>
                <w:rFonts w:ascii="Arial" w:hAnsi="Arial" w:cs="Arial"/>
                <w:color w:val="000000" w:themeColor="text1"/>
              </w:rPr>
              <w:t> smart technology, including smart bins – “</w:t>
            </w:r>
            <w:r w:rsidRPr="00AC41E0">
              <w:rPr>
                <w:rFonts w:ascii="Arial" w:hAnsi="Arial" w:cs="Arial"/>
                <w:i/>
                <w:iCs/>
                <w:color w:val="000000" w:themeColor="text1"/>
              </w:rPr>
              <w:t>We did not think people would care about smart lighting data being collected</w:t>
            </w:r>
            <w:r w:rsidRPr="00AC41E0">
              <w:rPr>
                <w:rFonts w:ascii="Arial" w:hAnsi="Arial" w:cs="Arial"/>
                <w:color w:val="000000" w:themeColor="text1"/>
              </w:rPr>
              <w:t>…”</w:t>
            </w:r>
          </w:p>
        </w:tc>
      </w:tr>
      <w:tr w:rsidR="00D41361" w:rsidRPr="00AC41E0" w14:paraId="3432B81D" w14:textId="77777777" w:rsidTr="00B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pct"/>
            <w:vMerge w:val="restart"/>
            <w:shd w:val="clear" w:color="auto" w:fill="FFFFFF" w:themeFill="background1"/>
          </w:tcPr>
          <w:p w14:paraId="15D2F57D" w14:textId="77777777" w:rsidR="00D41361" w:rsidRPr="00AC41E0" w:rsidRDefault="00D41361" w:rsidP="00AB65DB">
            <w:pPr>
              <w:spacing w:afterLines="50" w:after="120"/>
              <w:jc w:val="center"/>
              <w:rPr>
                <w:rFonts w:ascii="Arial" w:hAnsi="Arial" w:cs="Arial"/>
                <w:color w:val="000000" w:themeColor="text1"/>
                <w:sz w:val="22"/>
                <w:szCs w:val="22"/>
              </w:rPr>
            </w:pPr>
            <w:r w:rsidRPr="00AC41E0">
              <w:rPr>
                <w:rFonts w:ascii="Arial" w:hAnsi="Arial" w:cs="Arial"/>
                <w:color w:val="000000" w:themeColor="text1"/>
                <w:sz w:val="22"/>
                <w:szCs w:val="22"/>
              </w:rPr>
              <w:t>4</w:t>
            </w:r>
          </w:p>
        </w:tc>
        <w:tc>
          <w:tcPr>
            <w:tcW w:w="742" w:type="pct"/>
            <w:shd w:val="clear" w:color="auto" w:fill="FFFFFF" w:themeFill="background1"/>
          </w:tcPr>
          <w:p w14:paraId="59207654" w14:textId="77777777" w:rsidR="00D41361" w:rsidRPr="00AC41E0" w:rsidRDefault="00D41361" w:rsidP="00AB65DB">
            <w:pPr>
              <w:spacing w:afterLines="50" w:after="12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AC41E0">
              <w:rPr>
                <w:rFonts w:ascii="Arial" w:hAnsi="Arial" w:cs="Arial"/>
                <w:color w:val="000000" w:themeColor="text1"/>
                <w:sz w:val="22"/>
                <w:szCs w:val="22"/>
              </w:rPr>
              <w:t>Themes</w:t>
            </w:r>
          </w:p>
        </w:tc>
        <w:tc>
          <w:tcPr>
            <w:tcW w:w="3898" w:type="pct"/>
            <w:shd w:val="clear" w:color="auto" w:fill="FFFFFF" w:themeFill="background1"/>
          </w:tcPr>
          <w:p w14:paraId="4D685E04" w14:textId="77777777" w:rsidR="00D41361" w:rsidRPr="00AC41E0" w:rsidRDefault="00D41361" w:rsidP="00AB65DB">
            <w:pPr>
              <w:pStyle w:val="ListParagraph"/>
              <w:numPr>
                <w:ilvl w:val="0"/>
                <w:numId w:val="7"/>
              </w:numPr>
              <w:spacing w:afterLines="50" w:after="120" w:line="240" w:lineRule="auto"/>
              <w:ind w:left="351" w:hanging="3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C41E0">
              <w:rPr>
                <w:rFonts w:ascii="Arial" w:hAnsi="Arial" w:cs="Arial"/>
                <w:color w:val="000000" w:themeColor="text1"/>
              </w:rPr>
              <w:t>Data collection </w:t>
            </w:r>
          </w:p>
          <w:p w14:paraId="37EB8FB4" w14:textId="77777777" w:rsidR="00D41361" w:rsidRPr="00AC41E0" w:rsidRDefault="00D41361" w:rsidP="00AB65DB">
            <w:pPr>
              <w:pStyle w:val="ListParagraph"/>
              <w:numPr>
                <w:ilvl w:val="0"/>
                <w:numId w:val="7"/>
              </w:numPr>
              <w:spacing w:afterLines="50" w:after="120" w:line="240" w:lineRule="auto"/>
              <w:ind w:left="351" w:hanging="3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C41E0">
              <w:rPr>
                <w:rFonts w:ascii="Arial" w:hAnsi="Arial" w:cs="Arial"/>
                <w:color w:val="000000" w:themeColor="text1"/>
              </w:rPr>
              <w:t>Data ownership </w:t>
            </w:r>
          </w:p>
          <w:p w14:paraId="62F4B478" w14:textId="77777777" w:rsidR="00D41361" w:rsidRPr="00AC41E0" w:rsidRDefault="00D41361" w:rsidP="00AB65DB">
            <w:pPr>
              <w:pStyle w:val="ListParagraph"/>
              <w:numPr>
                <w:ilvl w:val="0"/>
                <w:numId w:val="7"/>
              </w:numPr>
              <w:spacing w:afterLines="50" w:after="120" w:line="240" w:lineRule="auto"/>
              <w:ind w:left="351" w:hanging="3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C41E0">
              <w:rPr>
                <w:rFonts w:ascii="Arial" w:hAnsi="Arial" w:cs="Arial"/>
                <w:color w:val="000000" w:themeColor="text1"/>
              </w:rPr>
              <w:t>Stakeholder engagement </w:t>
            </w:r>
          </w:p>
          <w:p w14:paraId="60BC55C1" w14:textId="77777777" w:rsidR="00D41361" w:rsidRPr="00AC41E0" w:rsidRDefault="00D41361" w:rsidP="00AB65DB">
            <w:pPr>
              <w:pStyle w:val="ListParagraph"/>
              <w:numPr>
                <w:ilvl w:val="0"/>
                <w:numId w:val="7"/>
              </w:numPr>
              <w:spacing w:afterLines="50" w:after="120" w:line="240" w:lineRule="auto"/>
              <w:ind w:left="351" w:hanging="357"/>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C41E0">
              <w:rPr>
                <w:rFonts w:ascii="Arial" w:hAnsi="Arial" w:cs="Arial"/>
                <w:color w:val="000000" w:themeColor="text1"/>
              </w:rPr>
              <w:t>Expertise within the project team. </w:t>
            </w:r>
          </w:p>
        </w:tc>
      </w:tr>
      <w:tr w:rsidR="00D41361" w:rsidRPr="00AC41E0" w14:paraId="453B6F67" w14:textId="77777777" w:rsidTr="00B96A43">
        <w:tc>
          <w:tcPr>
            <w:cnfStyle w:val="001000000000" w:firstRow="0" w:lastRow="0" w:firstColumn="1" w:lastColumn="0" w:oddVBand="0" w:evenVBand="0" w:oddHBand="0" w:evenHBand="0" w:firstRowFirstColumn="0" w:firstRowLastColumn="0" w:lastRowFirstColumn="0" w:lastRowLastColumn="0"/>
            <w:tcW w:w="360" w:type="pct"/>
            <w:vMerge/>
            <w:shd w:val="clear" w:color="auto" w:fill="FFFFFF" w:themeFill="background1"/>
          </w:tcPr>
          <w:p w14:paraId="18CDF2B3" w14:textId="77777777" w:rsidR="00D41361" w:rsidRPr="00AC41E0" w:rsidRDefault="00D41361" w:rsidP="00AB65DB">
            <w:pPr>
              <w:spacing w:afterLines="50" w:after="120"/>
              <w:jc w:val="center"/>
              <w:rPr>
                <w:rFonts w:ascii="Arial" w:hAnsi="Arial" w:cs="Arial"/>
                <w:color w:val="000000" w:themeColor="text1"/>
                <w:sz w:val="22"/>
                <w:szCs w:val="22"/>
              </w:rPr>
            </w:pPr>
          </w:p>
        </w:tc>
        <w:tc>
          <w:tcPr>
            <w:tcW w:w="742" w:type="pct"/>
            <w:shd w:val="clear" w:color="auto" w:fill="FFFFFF" w:themeFill="background1"/>
          </w:tcPr>
          <w:p w14:paraId="2FE47F6A" w14:textId="77777777" w:rsidR="00D41361" w:rsidRPr="00AC41E0" w:rsidRDefault="00D41361" w:rsidP="00AB65DB">
            <w:pPr>
              <w:spacing w:afterLines="5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AC41E0">
              <w:rPr>
                <w:rFonts w:ascii="Arial" w:hAnsi="Arial" w:cs="Arial"/>
                <w:color w:val="000000" w:themeColor="text1"/>
                <w:sz w:val="22"/>
                <w:szCs w:val="22"/>
              </w:rPr>
              <w:t>What is in our control? </w:t>
            </w:r>
          </w:p>
        </w:tc>
        <w:tc>
          <w:tcPr>
            <w:tcW w:w="3898" w:type="pct"/>
            <w:shd w:val="clear" w:color="auto" w:fill="FFFFFF" w:themeFill="background1"/>
          </w:tcPr>
          <w:p w14:paraId="6BF8DCCC" w14:textId="77777777" w:rsidR="00D41361" w:rsidRPr="00AC41E0" w:rsidRDefault="00D41361" w:rsidP="00AB65DB">
            <w:pPr>
              <w:spacing w:afterLines="5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AC41E0">
              <w:rPr>
                <w:rFonts w:ascii="Arial" w:hAnsi="Arial" w:cs="Arial"/>
                <w:color w:val="000000" w:themeColor="text1"/>
                <w:sz w:val="22"/>
                <w:szCs w:val="22"/>
              </w:rPr>
              <w:t>All of the themes above. </w:t>
            </w:r>
          </w:p>
        </w:tc>
      </w:tr>
      <w:tr w:rsidR="00D41361" w:rsidRPr="00AC41E0" w14:paraId="029CCE46" w14:textId="77777777" w:rsidTr="00B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pct"/>
            <w:vMerge w:val="restart"/>
          </w:tcPr>
          <w:p w14:paraId="142D8E79" w14:textId="77777777" w:rsidR="00D41361" w:rsidRPr="00AC41E0" w:rsidRDefault="00D41361" w:rsidP="00AB65DB">
            <w:pPr>
              <w:spacing w:afterLines="50" w:after="120"/>
              <w:jc w:val="center"/>
              <w:rPr>
                <w:rFonts w:ascii="Arial" w:hAnsi="Arial" w:cs="Arial"/>
                <w:color w:val="000000" w:themeColor="text1"/>
                <w:sz w:val="22"/>
                <w:szCs w:val="22"/>
              </w:rPr>
            </w:pPr>
            <w:r w:rsidRPr="00AC41E0">
              <w:rPr>
                <w:rFonts w:ascii="Arial" w:hAnsi="Arial" w:cs="Arial"/>
                <w:color w:val="000000" w:themeColor="text1"/>
                <w:sz w:val="22"/>
                <w:szCs w:val="22"/>
              </w:rPr>
              <w:t>5</w:t>
            </w:r>
          </w:p>
          <w:p w14:paraId="32BF7972" w14:textId="77777777" w:rsidR="00D41361" w:rsidRPr="00AC41E0" w:rsidRDefault="00D41361" w:rsidP="00AB65DB">
            <w:pPr>
              <w:spacing w:afterLines="50" w:after="120"/>
              <w:rPr>
                <w:rFonts w:ascii="Arial" w:hAnsi="Arial" w:cs="Arial"/>
                <w:color w:val="000000" w:themeColor="text1"/>
                <w:sz w:val="22"/>
                <w:szCs w:val="22"/>
              </w:rPr>
            </w:pPr>
          </w:p>
        </w:tc>
        <w:tc>
          <w:tcPr>
            <w:tcW w:w="742" w:type="pct"/>
          </w:tcPr>
          <w:p w14:paraId="76A2DACF" w14:textId="77777777" w:rsidR="00D41361" w:rsidRPr="00AC41E0" w:rsidRDefault="00D41361" w:rsidP="00AB65DB">
            <w:pPr>
              <w:spacing w:afterLines="50" w:after="12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AC41E0">
              <w:rPr>
                <w:rFonts w:ascii="Arial" w:hAnsi="Arial" w:cs="Arial"/>
                <w:color w:val="000000" w:themeColor="text1"/>
                <w:sz w:val="22"/>
                <w:szCs w:val="22"/>
              </w:rPr>
              <w:t>What actions can we take to avoid failure? </w:t>
            </w:r>
          </w:p>
        </w:tc>
        <w:tc>
          <w:tcPr>
            <w:tcW w:w="3898" w:type="pct"/>
          </w:tcPr>
          <w:p w14:paraId="60B13394" w14:textId="569E56B7" w:rsidR="00D41361" w:rsidRPr="00AC41E0" w:rsidRDefault="00D41361" w:rsidP="00AB65DB">
            <w:pPr>
              <w:pStyle w:val="ListParagraph"/>
              <w:numPr>
                <w:ilvl w:val="0"/>
                <w:numId w:val="11"/>
              </w:numPr>
              <w:spacing w:afterLines="5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C41E0">
              <w:rPr>
                <w:rFonts w:ascii="Arial" w:hAnsi="Arial" w:cs="Arial"/>
                <w:color w:val="000000" w:themeColor="text1"/>
              </w:rPr>
              <w:t xml:space="preserve">Include a clause in our contract with the </w:t>
            </w:r>
            <w:r w:rsidR="000B19BB" w:rsidRPr="00AC41E0">
              <w:rPr>
                <w:rFonts w:ascii="Arial" w:hAnsi="Arial" w:cs="Arial"/>
                <w:color w:val="000000" w:themeColor="text1"/>
              </w:rPr>
              <w:t xml:space="preserve">IoT service provider </w:t>
            </w:r>
            <w:r w:rsidRPr="00AC41E0">
              <w:rPr>
                <w:rFonts w:ascii="Arial" w:hAnsi="Arial" w:cs="Arial"/>
                <w:color w:val="000000" w:themeColor="text1"/>
              </w:rPr>
              <w:t xml:space="preserve">which stipulates </w:t>
            </w:r>
            <w:r w:rsidR="00C126DE" w:rsidRPr="00AC41E0">
              <w:rPr>
                <w:rFonts w:ascii="Arial" w:hAnsi="Arial" w:cs="Arial"/>
                <w:color w:val="000000" w:themeColor="text1"/>
              </w:rPr>
              <w:t xml:space="preserve">that </w:t>
            </w:r>
            <w:r w:rsidRPr="00AC41E0">
              <w:rPr>
                <w:rFonts w:ascii="Arial" w:hAnsi="Arial" w:cs="Arial"/>
                <w:color w:val="000000" w:themeColor="text1"/>
              </w:rPr>
              <w:t>data is owned by the user (NSW Government)</w:t>
            </w:r>
            <w:r w:rsidR="0077010D" w:rsidRPr="00AC41E0">
              <w:rPr>
                <w:rFonts w:ascii="Arial" w:hAnsi="Arial" w:cs="Arial"/>
                <w:color w:val="000000" w:themeColor="text1"/>
              </w:rPr>
              <w:t>.</w:t>
            </w:r>
            <w:r w:rsidRPr="00AC41E0">
              <w:rPr>
                <w:rFonts w:ascii="Arial" w:hAnsi="Arial" w:cs="Arial"/>
                <w:color w:val="000000" w:themeColor="text1"/>
              </w:rPr>
              <w:t>  </w:t>
            </w:r>
          </w:p>
          <w:p w14:paraId="0914A2B0" w14:textId="6D991E09" w:rsidR="00D41361" w:rsidRPr="00AC41E0" w:rsidRDefault="00D41361" w:rsidP="00AB65DB">
            <w:pPr>
              <w:pStyle w:val="ListParagraph"/>
              <w:numPr>
                <w:ilvl w:val="0"/>
                <w:numId w:val="11"/>
              </w:numPr>
              <w:spacing w:afterLines="5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C41E0">
              <w:rPr>
                <w:rFonts w:ascii="Arial" w:hAnsi="Arial" w:cs="Arial"/>
                <w:color w:val="000000" w:themeColor="text1"/>
              </w:rPr>
              <w:t>Engage the public by developing a process map that specifies who needs to be contacted and when and why. Review it weekly</w:t>
            </w:r>
            <w:r w:rsidR="0077010D" w:rsidRPr="00AC41E0">
              <w:rPr>
                <w:rFonts w:ascii="Arial" w:hAnsi="Arial" w:cs="Arial"/>
                <w:color w:val="000000" w:themeColor="text1"/>
              </w:rPr>
              <w:t>.</w:t>
            </w:r>
            <w:r w:rsidRPr="00AC41E0">
              <w:rPr>
                <w:rFonts w:ascii="Arial" w:hAnsi="Arial" w:cs="Arial"/>
                <w:color w:val="000000" w:themeColor="text1"/>
              </w:rPr>
              <w:t> </w:t>
            </w:r>
          </w:p>
          <w:p w14:paraId="77B1FF51" w14:textId="77777777" w:rsidR="00D41361" w:rsidRPr="00AC41E0" w:rsidRDefault="00D41361" w:rsidP="00AB65DB">
            <w:pPr>
              <w:pStyle w:val="ListParagraph"/>
              <w:numPr>
                <w:ilvl w:val="0"/>
                <w:numId w:val="11"/>
              </w:numPr>
              <w:spacing w:afterLines="5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C41E0">
              <w:rPr>
                <w:rFonts w:ascii="Arial" w:hAnsi="Arial" w:cs="Arial"/>
                <w:color w:val="000000" w:themeColor="text1"/>
              </w:rPr>
              <w:t>Create a register of feedback and complaints to be monitored throughout the project, to detect warning signs and discontent. </w:t>
            </w:r>
          </w:p>
        </w:tc>
      </w:tr>
      <w:tr w:rsidR="00D41361" w:rsidRPr="00AC41E0" w14:paraId="6A9C9050" w14:textId="77777777" w:rsidTr="00B96A43">
        <w:tc>
          <w:tcPr>
            <w:cnfStyle w:val="001000000000" w:firstRow="0" w:lastRow="0" w:firstColumn="1" w:lastColumn="0" w:oddVBand="0" w:evenVBand="0" w:oddHBand="0" w:evenHBand="0" w:firstRowFirstColumn="0" w:firstRowLastColumn="0" w:lastRowFirstColumn="0" w:lastRowLastColumn="0"/>
            <w:tcW w:w="360" w:type="pct"/>
            <w:vMerge/>
          </w:tcPr>
          <w:p w14:paraId="54A2130B" w14:textId="77777777" w:rsidR="00D41361" w:rsidRPr="00AC41E0" w:rsidRDefault="00D41361" w:rsidP="00AB65DB">
            <w:pPr>
              <w:spacing w:afterLines="50" w:after="120"/>
              <w:jc w:val="center"/>
              <w:rPr>
                <w:rFonts w:ascii="Arial" w:hAnsi="Arial" w:cs="Arial"/>
                <w:color w:val="000000" w:themeColor="text1"/>
                <w:sz w:val="22"/>
                <w:szCs w:val="22"/>
              </w:rPr>
            </w:pPr>
          </w:p>
        </w:tc>
        <w:tc>
          <w:tcPr>
            <w:tcW w:w="742" w:type="pct"/>
            <w:shd w:val="clear" w:color="auto" w:fill="DBE5F1" w:themeFill="accent1" w:themeFillTint="33"/>
          </w:tcPr>
          <w:p w14:paraId="68C16F01" w14:textId="77777777" w:rsidR="00D41361" w:rsidRPr="00AC41E0" w:rsidRDefault="00D41361" w:rsidP="00AB65DB">
            <w:pPr>
              <w:spacing w:afterLines="50" w:after="12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AC41E0">
              <w:rPr>
                <w:rFonts w:ascii="Arial" w:hAnsi="Arial" w:cs="Arial"/>
                <w:color w:val="000000" w:themeColor="text1"/>
                <w:sz w:val="22"/>
                <w:szCs w:val="22"/>
              </w:rPr>
              <w:t>Who is responsible for doing what? </w:t>
            </w:r>
          </w:p>
        </w:tc>
        <w:tc>
          <w:tcPr>
            <w:tcW w:w="3898" w:type="pct"/>
            <w:shd w:val="clear" w:color="auto" w:fill="DBE5F1" w:themeFill="accent1" w:themeFillTint="33"/>
          </w:tcPr>
          <w:p w14:paraId="5FCC5A52" w14:textId="10627663" w:rsidR="00D41361" w:rsidRPr="00AC41E0" w:rsidRDefault="00D41361" w:rsidP="00AB65DB">
            <w:pPr>
              <w:pStyle w:val="ListParagraph"/>
              <w:numPr>
                <w:ilvl w:val="0"/>
                <w:numId w:val="12"/>
              </w:numPr>
              <w:spacing w:afterLines="50" w:after="12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C41E0">
              <w:rPr>
                <w:rFonts w:ascii="Arial" w:hAnsi="Arial" w:cs="Arial"/>
                <w:color w:val="000000" w:themeColor="text1"/>
              </w:rPr>
              <w:t>Project team and procurement team</w:t>
            </w:r>
            <w:r w:rsidR="00466D0B" w:rsidRPr="00AC41E0">
              <w:rPr>
                <w:rFonts w:ascii="Arial" w:hAnsi="Arial" w:cs="Arial"/>
                <w:color w:val="000000" w:themeColor="text1"/>
              </w:rPr>
              <w:t xml:space="preserve"> -</w:t>
            </w:r>
            <w:r w:rsidR="006F174B" w:rsidRPr="00AC41E0">
              <w:rPr>
                <w:rFonts w:ascii="Arial" w:hAnsi="Arial" w:cs="Arial"/>
                <w:color w:val="000000" w:themeColor="text1"/>
              </w:rPr>
              <w:t xml:space="preserve"> </w:t>
            </w:r>
            <w:r w:rsidRPr="00AC41E0">
              <w:rPr>
                <w:rFonts w:ascii="Arial" w:hAnsi="Arial" w:cs="Arial"/>
                <w:color w:val="000000" w:themeColor="text1"/>
              </w:rPr>
              <w:t>responsible for data ownership in the contract</w:t>
            </w:r>
            <w:r w:rsidR="005C240F" w:rsidRPr="00AC41E0">
              <w:rPr>
                <w:rFonts w:ascii="Arial" w:hAnsi="Arial" w:cs="Arial"/>
                <w:color w:val="000000" w:themeColor="text1"/>
              </w:rPr>
              <w:t>.</w:t>
            </w:r>
            <w:r w:rsidRPr="00AC41E0">
              <w:rPr>
                <w:rFonts w:ascii="Arial" w:hAnsi="Arial" w:cs="Arial"/>
                <w:color w:val="000000" w:themeColor="text1"/>
              </w:rPr>
              <w:t> </w:t>
            </w:r>
          </w:p>
          <w:p w14:paraId="3DB1D747" w14:textId="2C647D19" w:rsidR="00D41361" w:rsidRPr="00AC41E0" w:rsidRDefault="00D41361" w:rsidP="00AB65DB">
            <w:pPr>
              <w:pStyle w:val="ListParagraph"/>
              <w:numPr>
                <w:ilvl w:val="0"/>
                <w:numId w:val="12"/>
              </w:numPr>
              <w:spacing w:afterLines="50" w:after="12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C41E0">
              <w:rPr>
                <w:rFonts w:ascii="Arial" w:hAnsi="Arial" w:cs="Arial"/>
                <w:color w:val="000000" w:themeColor="text1"/>
              </w:rPr>
              <w:t>Project sponsor and project manager</w:t>
            </w:r>
            <w:r w:rsidR="00466D0B" w:rsidRPr="00AC41E0">
              <w:rPr>
                <w:rFonts w:ascii="Arial" w:hAnsi="Arial" w:cs="Arial"/>
                <w:color w:val="000000" w:themeColor="text1"/>
              </w:rPr>
              <w:t xml:space="preserve"> -</w:t>
            </w:r>
            <w:r w:rsidRPr="00AC41E0">
              <w:rPr>
                <w:rFonts w:ascii="Arial" w:hAnsi="Arial" w:cs="Arial"/>
                <w:color w:val="000000" w:themeColor="text1"/>
              </w:rPr>
              <w:t xml:space="preserve"> responsible for citizen engagement.</w:t>
            </w:r>
          </w:p>
        </w:tc>
      </w:tr>
      <w:tr w:rsidR="00D41361" w:rsidRPr="00AC41E0" w14:paraId="6118B6FF" w14:textId="77777777" w:rsidTr="00B96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pct"/>
            <w:vMerge/>
          </w:tcPr>
          <w:p w14:paraId="13593EE2" w14:textId="77777777" w:rsidR="00D41361" w:rsidRPr="00AC41E0" w:rsidRDefault="00D41361" w:rsidP="00AB65DB">
            <w:pPr>
              <w:spacing w:afterLines="50" w:after="120"/>
              <w:jc w:val="center"/>
              <w:rPr>
                <w:rFonts w:ascii="Arial" w:hAnsi="Arial" w:cs="Arial"/>
                <w:color w:val="000000" w:themeColor="text1"/>
                <w:sz w:val="22"/>
                <w:szCs w:val="22"/>
              </w:rPr>
            </w:pPr>
          </w:p>
        </w:tc>
        <w:tc>
          <w:tcPr>
            <w:tcW w:w="742" w:type="pct"/>
          </w:tcPr>
          <w:p w14:paraId="61CE1434" w14:textId="50E01480" w:rsidR="00D41361" w:rsidRPr="00AC41E0" w:rsidRDefault="00C74CAA" w:rsidP="00AB65DB">
            <w:pPr>
              <w:spacing w:afterLines="50" w:after="12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AC41E0">
              <w:rPr>
                <w:rFonts w:ascii="Arial" w:hAnsi="Arial" w:cs="Arial"/>
                <w:color w:val="000000" w:themeColor="text1"/>
                <w:sz w:val="22"/>
                <w:szCs w:val="22"/>
              </w:rPr>
              <w:t xml:space="preserve">Are there red </w:t>
            </w:r>
            <w:r w:rsidR="00D41361" w:rsidRPr="00AC41E0">
              <w:rPr>
                <w:rFonts w:ascii="Arial" w:hAnsi="Arial" w:cs="Arial"/>
                <w:color w:val="000000" w:themeColor="text1"/>
                <w:sz w:val="22"/>
                <w:szCs w:val="22"/>
              </w:rPr>
              <w:t>flags?</w:t>
            </w:r>
          </w:p>
        </w:tc>
        <w:tc>
          <w:tcPr>
            <w:tcW w:w="3898" w:type="pct"/>
          </w:tcPr>
          <w:p w14:paraId="39EA0042" w14:textId="3CABCF04" w:rsidR="000B1B6C" w:rsidRPr="00AC41E0" w:rsidRDefault="000B19BB" w:rsidP="000B19BB">
            <w:pPr>
              <w:pStyle w:val="ListParagraph"/>
              <w:numPr>
                <w:ilvl w:val="0"/>
                <w:numId w:val="13"/>
              </w:numPr>
              <w:spacing w:afterLines="50" w:after="120" w:line="240"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C41E0">
              <w:rPr>
                <w:rFonts w:ascii="Arial" w:hAnsi="Arial" w:cs="Arial"/>
                <w:color w:val="000000" w:themeColor="text1"/>
              </w:rPr>
              <w:t xml:space="preserve">IoT service providers </w:t>
            </w:r>
            <w:r w:rsidR="00D41361" w:rsidRPr="00AC41E0">
              <w:rPr>
                <w:rFonts w:ascii="Arial" w:hAnsi="Arial" w:cs="Arial"/>
                <w:color w:val="000000" w:themeColor="text1"/>
              </w:rPr>
              <w:t>do not respond to questions about data ownership.</w:t>
            </w:r>
          </w:p>
        </w:tc>
      </w:tr>
    </w:tbl>
    <w:p w14:paraId="1492D857" w14:textId="77777777" w:rsidR="00C6007D" w:rsidRPr="00AC41E0" w:rsidRDefault="00C6007D" w:rsidP="00885658">
      <w:pPr>
        <w:pStyle w:val="Heading2"/>
        <w:numPr>
          <w:ilvl w:val="0"/>
          <w:numId w:val="0"/>
        </w:numPr>
        <w:rPr>
          <w:rFonts w:ascii="Arial" w:hAnsi="Arial"/>
        </w:rPr>
        <w:sectPr w:rsidR="00C6007D" w:rsidRPr="00AC41E0" w:rsidSect="002771AA">
          <w:pgSz w:w="11906" w:h="16838"/>
          <w:pgMar w:top="1418" w:right="1134" w:bottom="1134" w:left="1134" w:header="851" w:footer="425" w:gutter="0"/>
          <w:cols w:space="708"/>
          <w:titlePg/>
          <w:docGrid w:linePitch="360"/>
        </w:sectPr>
      </w:pPr>
      <w:bookmarkStart w:id="1937" w:name="_Appendix_B_-"/>
      <w:bookmarkEnd w:id="1937"/>
    </w:p>
    <w:p w14:paraId="34AC5DEC" w14:textId="36A289F2" w:rsidR="00DC5AE4" w:rsidRPr="00AC41E0" w:rsidRDefault="00DC5AE4" w:rsidP="00885658">
      <w:pPr>
        <w:pStyle w:val="Heading2"/>
        <w:numPr>
          <w:ilvl w:val="0"/>
          <w:numId w:val="0"/>
        </w:numPr>
        <w:rPr>
          <w:rFonts w:ascii="Arial" w:hAnsi="Arial"/>
        </w:rPr>
      </w:pPr>
      <w:bookmarkStart w:id="1938" w:name="_Toc65760610"/>
      <w:r w:rsidRPr="00E46FB0">
        <w:rPr>
          <w:rFonts w:ascii="Arial" w:hAnsi="Arial"/>
        </w:rPr>
        <w:lastRenderedPageBreak/>
        <w:t xml:space="preserve">Appendix B </w:t>
      </w:r>
      <w:r w:rsidR="000A5AAF" w:rsidRPr="00AC41E0">
        <w:rPr>
          <w:rFonts w:ascii="Arial" w:hAnsi="Arial"/>
        </w:rPr>
        <w:t>–</w:t>
      </w:r>
      <w:r w:rsidRPr="00AC41E0">
        <w:rPr>
          <w:rFonts w:ascii="Arial" w:hAnsi="Arial"/>
        </w:rPr>
        <w:t xml:space="preserve"> Privacy Collection Statement template</w:t>
      </w:r>
      <w:bookmarkEnd w:id="1938"/>
    </w:p>
    <w:p w14:paraId="539BE5D3" w14:textId="77777777" w:rsidR="00DC5AE4" w:rsidRPr="00E46FB0" w:rsidRDefault="00DC5AE4" w:rsidP="00885658">
      <w:pPr>
        <w:pStyle w:val="DCSbodytext"/>
        <w:spacing w:afterLines="80" w:after="192"/>
        <w:ind w:left="0"/>
        <w:rPr>
          <w:b/>
          <w:color w:val="000000" w:themeColor="text1"/>
          <w:szCs w:val="22"/>
        </w:rPr>
      </w:pPr>
      <w:r w:rsidRPr="00AC41E0">
        <w:rPr>
          <w:b/>
          <w:color w:val="000000" w:themeColor="text1"/>
          <w:szCs w:val="22"/>
        </w:rPr>
        <w:t>We are [Insert, e.g. The Office of Widgets]</w:t>
      </w:r>
    </w:p>
    <w:p w14:paraId="1ECCA73F" w14:textId="77777777" w:rsidR="00DC5AE4" w:rsidRPr="00AC41E0" w:rsidRDefault="00DC5AE4" w:rsidP="00885658">
      <w:pPr>
        <w:pStyle w:val="DCSbodytext"/>
        <w:spacing w:afterLines="80" w:after="192"/>
        <w:ind w:left="0"/>
        <w:rPr>
          <w:color w:val="000000" w:themeColor="text1"/>
          <w:szCs w:val="22"/>
        </w:rPr>
      </w:pPr>
      <w:r w:rsidRPr="00AC41E0">
        <w:rPr>
          <w:color w:val="000000" w:themeColor="text1"/>
          <w:szCs w:val="22"/>
        </w:rPr>
        <w:t>The [Office of Widgets]</w:t>
      </w:r>
      <w:r w:rsidRPr="00E46FB0">
        <w:rPr>
          <w:color w:val="000000" w:themeColor="text1"/>
          <w:szCs w:val="22"/>
        </w:rPr>
        <w:t xml:space="preserve"> is part of the </w:t>
      </w:r>
      <w:r w:rsidRPr="00AC41E0">
        <w:rPr>
          <w:color w:val="000000" w:themeColor="text1"/>
          <w:szCs w:val="22"/>
        </w:rPr>
        <w:t>[NSW Department of Things]</w:t>
      </w:r>
      <w:r w:rsidRPr="00E46FB0">
        <w:rPr>
          <w:color w:val="000000" w:themeColor="text1"/>
          <w:szCs w:val="22"/>
        </w:rPr>
        <w:t xml:space="preserve">. We </w:t>
      </w:r>
      <w:r w:rsidRPr="00AC41E0">
        <w:rPr>
          <w:color w:val="000000" w:themeColor="text1"/>
          <w:szCs w:val="22"/>
        </w:rPr>
        <w:t>[make widgets]</w:t>
      </w:r>
      <w:r w:rsidRPr="00E46FB0">
        <w:rPr>
          <w:color w:val="000000" w:themeColor="text1"/>
          <w:szCs w:val="22"/>
        </w:rPr>
        <w:t>.</w:t>
      </w:r>
    </w:p>
    <w:p w14:paraId="2C38DC54" w14:textId="77777777" w:rsidR="00DC5AE4" w:rsidRPr="00AC41E0" w:rsidRDefault="00DC5AE4" w:rsidP="00885658">
      <w:pPr>
        <w:pStyle w:val="DCSbodytext"/>
        <w:spacing w:afterLines="80" w:after="192"/>
        <w:ind w:left="0"/>
        <w:rPr>
          <w:b/>
          <w:color w:val="000000" w:themeColor="text1"/>
          <w:szCs w:val="22"/>
        </w:rPr>
      </w:pPr>
      <w:r w:rsidRPr="00AC41E0">
        <w:rPr>
          <w:b/>
          <w:color w:val="000000" w:themeColor="text1"/>
          <w:szCs w:val="22"/>
        </w:rPr>
        <w:t>What personal information are we collecting?</w:t>
      </w:r>
    </w:p>
    <w:p w14:paraId="1C693E16" w14:textId="77777777" w:rsidR="00DC5AE4" w:rsidRPr="00AC41E0" w:rsidRDefault="00DC5AE4" w:rsidP="00885658">
      <w:pPr>
        <w:pStyle w:val="DCSbodytext"/>
        <w:spacing w:afterLines="80" w:after="192"/>
        <w:ind w:left="0"/>
        <w:rPr>
          <w:color w:val="000000" w:themeColor="text1"/>
          <w:szCs w:val="22"/>
        </w:rPr>
      </w:pPr>
      <w:r w:rsidRPr="00AC41E0">
        <w:rPr>
          <w:color w:val="000000" w:themeColor="text1"/>
          <w:szCs w:val="22"/>
        </w:rPr>
        <w:t>We are collecting information about [the kinds of widgets you use]</w:t>
      </w:r>
      <w:r w:rsidRPr="00E46FB0">
        <w:rPr>
          <w:color w:val="000000" w:themeColor="text1"/>
          <w:szCs w:val="22"/>
        </w:rPr>
        <w:t xml:space="preserve">, including </w:t>
      </w:r>
      <w:r w:rsidRPr="00AC41E0">
        <w:rPr>
          <w:color w:val="000000" w:themeColor="text1"/>
          <w:szCs w:val="22"/>
        </w:rPr>
        <w:t>[how many times you use widgets, and where you use them]</w:t>
      </w:r>
      <w:r w:rsidRPr="00E46FB0">
        <w:rPr>
          <w:color w:val="000000" w:themeColor="text1"/>
          <w:szCs w:val="22"/>
        </w:rPr>
        <w:t xml:space="preserve">. </w:t>
      </w:r>
    </w:p>
    <w:p w14:paraId="0C7F94FB" w14:textId="77777777" w:rsidR="00DC5AE4" w:rsidRPr="00AC41E0" w:rsidRDefault="00DC5AE4" w:rsidP="00885658">
      <w:pPr>
        <w:pStyle w:val="DCSbodytext"/>
        <w:spacing w:afterLines="80" w:after="192"/>
        <w:ind w:left="0"/>
        <w:rPr>
          <w:b/>
          <w:color w:val="000000" w:themeColor="text1"/>
          <w:szCs w:val="22"/>
        </w:rPr>
      </w:pPr>
      <w:r w:rsidRPr="00AC41E0">
        <w:rPr>
          <w:b/>
          <w:color w:val="000000" w:themeColor="text1"/>
          <w:szCs w:val="22"/>
        </w:rPr>
        <w:t xml:space="preserve">How are we collecting your personal information? </w:t>
      </w:r>
    </w:p>
    <w:p w14:paraId="15832380" w14:textId="77777777" w:rsidR="00DC5AE4" w:rsidRPr="00AC41E0" w:rsidRDefault="00DC5AE4" w:rsidP="00885658">
      <w:pPr>
        <w:pStyle w:val="DCSbodytext"/>
        <w:spacing w:afterLines="80" w:after="192"/>
        <w:ind w:left="0"/>
        <w:rPr>
          <w:szCs w:val="22"/>
        </w:rPr>
      </w:pPr>
      <w:r w:rsidRPr="00AC41E0">
        <w:rPr>
          <w:color w:val="000000" w:themeColor="text1"/>
          <w:szCs w:val="22"/>
        </w:rPr>
        <w:t xml:space="preserve">We collect information [when you use our widgets. Our widgets are connected to the internet, and collect data when they </w:t>
      </w:r>
      <w:r w:rsidRPr="00AC41E0">
        <w:rPr>
          <w:szCs w:val="22"/>
        </w:rPr>
        <w:t>are used]</w:t>
      </w:r>
      <w:r w:rsidRPr="00E46FB0">
        <w:rPr>
          <w:szCs w:val="22"/>
        </w:rPr>
        <w:t>.</w:t>
      </w:r>
    </w:p>
    <w:p w14:paraId="62F58F75" w14:textId="77777777" w:rsidR="00DC5AE4" w:rsidRPr="00AC41E0" w:rsidRDefault="00DC5AE4" w:rsidP="00885658">
      <w:pPr>
        <w:pStyle w:val="DCSbodytext"/>
        <w:spacing w:afterLines="80" w:after="192"/>
        <w:ind w:left="0"/>
        <w:rPr>
          <w:b/>
          <w:color w:val="000000" w:themeColor="text1"/>
          <w:szCs w:val="22"/>
        </w:rPr>
      </w:pPr>
      <w:r w:rsidRPr="00AC41E0">
        <w:rPr>
          <w:b/>
          <w:color w:val="000000" w:themeColor="text1"/>
          <w:szCs w:val="22"/>
        </w:rPr>
        <w:t>Why are we collecting your information?</w:t>
      </w:r>
    </w:p>
    <w:p w14:paraId="018D70EC" w14:textId="4567D3ED" w:rsidR="00DC5AE4" w:rsidRPr="00AC41E0" w:rsidRDefault="00DC5AE4" w:rsidP="00885658">
      <w:pPr>
        <w:pStyle w:val="DCSbodytext"/>
        <w:spacing w:afterLines="80" w:after="192"/>
        <w:ind w:left="0"/>
        <w:rPr>
          <w:color w:val="000000" w:themeColor="text1"/>
          <w:szCs w:val="22"/>
        </w:rPr>
      </w:pPr>
      <w:r w:rsidRPr="00AC41E0">
        <w:rPr>
          <w:color w:val="000000" w:themeColor="text1"/>
          <w:szCs w:val="22"/>
        </w:rPr>
        <w:t>We</w:t>
      </w:r>
      <w:r w:rsidR="00A700D4" w:rsidRPr="00AC41E0">
        <w:rPr>
          <w:color w:val="000000" w:themeColor="text1"/>
          <w:szCs w:val="22"/>
        </w:rPr>
        <w:t xml:space="preserve"> a</w:t>
      </w:r>
      <w:r w:rsidRPr="00AC41E0">
        <w:rPr>
          <w:color w:val="000000" w:themeColor="text1"/>
          <w:szCs w:val="22"/>
        </w:rPr>
        <w:t>re collecting your personal information so we can [assess how many widgets we need to provide, and where we should provide them]</w:t>
      </w:r>
      <w:r w:rsidRPr="00E46FB0">
        <w:rPr>
          <w:color w:val="000000" w:themeColor="text1"/>
          <w:szCs w:val="22"/>
        </w:rPr>
        <w:t xml:space="preserve">. We may also use this information to </w:t>
      </w:r>
      <w:r w:rsidRPr="00AC41E0">
        <w:rPr>
          <w:color w:val="000000" w:themeColor="text1"/>
          <w:szCs w:val="22"/>
        </w:rPr>
        <w:t>[conduct research about things]</w:t>
      </w:r>
      <w:r w:rsidRPr="00E46FB0">
        <w:rPr>
          <w:color w:val="000000" w:themeColor="text1"/>
          <w:szCs w:val="22"/>
        </w:rPr>
        <w:t xml:space="preserve">, or </w:t>
      </w:r>
      <w:r w:rsidRPr="00AC41E0">
        <w:rPr>
          <w:color w:val="000000" w:themeColor="text1"/>
          <w:szCs w:val="22"/>
        </w:rPr>
        <w:t>[deliver better thing services]</w:t>
      </w:r>
      <w:r w:rsidRPr="00E46FB0">
        <w:rPr>
          <w:color w:val="000000" w:themeColor="text1"/>
          <w:szCs w:val="22"/>
        </w:rPr>
        <w:t>.</w:t>
      </w:r>
    </w:p>
    <w:p w14:paraId="2A31B30D" w14:textId="77777777" w:rsidR="00DC5AE4" w:rsidRPr="00AC41E0" w:rsidRDefault="00DC5AE4" w:rsidP="00885658">
      <w:pPr>
        <w:pStyle w:val="DCSbodytext"/>
        <w:spacing w:afterLines="80" w:after="192"/>
        <w:ind w:left="0"/>
        <w:rPr>
          <w:color w:val="000000" w:themeColor="text1"/>
          <w:szCs w:val="22"/>
        </w:rPr>
      </w:pPr>
      <w:r w:rsidRPr="00AC41E0">
        <w:rPr>
          <w:color w:val="000000" w:themeColor="text1"/>
          <w:szCs w:val="22"/>
        </w:rPr>
        <w:t>[</w:t>
      </w:r>
      <w:r w:rsidRPr="00AC41E0">
        <w:rPr>
          <w:i/>
          <w:color w:val="000000" w:themeColor="text1"/>
          <w:szCs w:val="22"/>
        </w:rPr>
        <w:t>If applicable</w:t>
      </w:r>
      <w:r w:rsidRPr="00AC41E0">
        <w:rPr>
          <w:color w:val="000000" w:themeColor="text1"/>
          <w:szCs w:val="22"/>
        </w:rPr>
        <w:t>: We are required by law to collect this information]</w:t>
      </w:r>
      <w:r w:rsidRPr="00E46FB0">
        <w:rPr>
          <w:color w:val="000000" w:themeColor="text1"/>
          <w:szCs w:val="22"/>
        </w:rPr>
        <w:t>.</w:t>
      </w:r>
    </w:p>
    <w:p w14:paraId="4FAEBEBB" w14:textId="77777777" w:rsidR="00DC5AE4" w:rsidRPr="00AC41E0" w:rsidRDefault="00DC5AE4" w:rsidP="00885658">
      <w:pPr>
        <w:pStyle w:val="DCSbodytext"/>
        <w:spacing w:afterLines="80" w:after="192"/>
        <w:ind w:left="0"/>
        <w:rPr>
          <w:color w:val="000000" w:themeColor="text1"/>
          <w:szCs w:val="22"/>
        </w:rPr>
      </w:pPr>
      <w:r w:rsidRPr="00AC41E0">
        <w:rPr>
          <w:color w:val="000000" w:themeColor="text1"/>
          <w:szCs w:val="22"/>
        </w:rPr>
        <w:t>If we do not collect this information, we will not be able to [provide you with information about your widgets]</w:t>
      </w:r>
      <w:r w:rsidRPr="00E46FB0">
        <w:rPr>
          <w:color w:val="000000" w:themeColor="text1"/>
          <w:szCs w:val="22"/>
        </w:rPr>
        <w:t xml:space="preserve">. You can read more about </w:t>
      </w:r>
      <w:r w:rsidRPr="00AC41E0">
        <w:rPr>
          <w:color w:val="000000" w:themeColor="text1"/>
          <w:szCs w:val="22"/>
        </w:rPr>
        <w:t>[our widget program]</w:t>
      </w:r>
      <w:r w:rsidRPr="00E46FB0">
        <w:rPr>
          <w:color w:val="000000" w:themeColor="text1"/>
          <w:szCs w:val="22"/>
        </w:rPr>
        <w:t xml:space="preserve"> here: </w:t>
      </w:r>
      <w:r w:rsidRPr="00AC41E0">
        <w:rPr>
          <w:color w:val="000000" w:themeColor="text1"/>
          <w:szCs w:val="22"/>
        </w:rPr>
        <w:t>[link to more information]</w:t>
      </w:r>
      <w:r w:rsidRPr="00E46FB0">
        <w:rPr>
          <w:color w:val="000000" w:themeColor="text1"/>
          <w:szCs w:val="22"/>
        </w:rPr>
        <w:t xml:space="preserve">. </w:t>
      </w:r>
    </w:p>
    <w:p w14:paraId="7DD7FC6F" w14:textId="77777777" w:rsidR="00DC5AE4" w:rsidRPr="00AC41E0" w:rsidRDefault="00DC5AE4" w:rsidP="00885658">
      <w:pPr>
        <w:pStyle w:val="DCSbodytext"/>
        <w:spacing w:afterLines="80" w:after="192"/>
        <w:ind w:left="0"/>
        <w:rPr>
          <w:b/>
          <w:color w:val="000000" w:themeColor="text1"/>
          <w:szCs w:val="22"/>
        </w:rPr>
      </w:pPr>
      <w:r w:rsidRPr="00AC41E0">
        <w:rPr>
          <w:b/>
          <w:color w:val="000000" w:themeColor="text1"/>
          <w:szCs w:val="22"/>
        </w:rPr>
        <w:t>What will we do with the information?</w:t>
      </w:r>
    </w:p>
    <w:p w14:paraId="61FC3771" w14:textId="01F48C98" w:rsidR="00DC5AE4" w:rsidRPr="00AC41E0" w:rsidRDefault="00DC5AE4" w:rsidP="00885658">
      <w:pPr>
        <w:pStyle w:val="DCSbodytext"/>
        <w:spacing w:afterLines="80" w:after="192"/>
        <w:ind w:left="0"/>
        <w:rPr>
          <w:szCs w:val="22"/>
        </w:rPr>
      </w:pPr>
      <w:r w:rsidRPr="00AC41E0">
        <w:rPr>
          <w:szCs w:val="22"/>
        </w:rPr>
        <w:t>We</w:t>
      </w:r>
      <w:r w:rsidR="00B64327" w:rsidRPr="00AC41E0">
        <w:rPr>
          <w:szCs w:val="22"/>
        </w:rPr>
        <w:t xml:space="preserve"> wi</w:t>
      </w:r>
      <w:r w:rsidRPr="00AC41E0">
        <w:rPr>
          <w:szCs w:val="22"/>
        </w:rPr>
        <w:t>ll use the information you give us to [deliver our widget program, and conduct thing research]</w:t>
      </w:r>
      <w:r w:rsidRPr="00E46FB0">
        <w:rPr>
          <w:szCs w:val="22"/>
        </w:rPr>
        <w:t>.</w:t>
      </w:r>
    </w:p>
    <w:p w14:paraId="23E7D37A" w14:textId="74A19F97" w:rsidR="00DC5AE4" w:rsidRPr="00AC41E0" w:rsidRDefault="00DC5AE4" w:rsidP="00885658">
      <w:pPr>
        <w:pStyle w:val="DCSbodytext"/>
        <w:spacing w:afterLines="80" w:after="192"/>
        <w:ind w:left="0"/>
        <w:rPr>
          <w:szCs w:val="22"/>
        </w:rPr>
      </w:pPr>
      <w:r w:rsidRPr="00AC41E0">
        <w:rPr>
          <w:szCs w:val="22"/>
        </w:rPr>
        <w:t>[</w:t>
      </w:r>
      <w:r w:rsidRPr="00AC41E0">
        <w:rPr>
          <w:i/>
          <w:szCs w:val="22"/>
        </w:rPr>
        <w:t>If applicable</w:t>
      </w:r>
      <w:r w:rsidRPr="00AC41E0">
        <w:rPr>
          <w:szCs w:val="22"/>
        </w:rPr>
        <w:t xml:space="preserve">: We share the information we collect with [the Department of Boxes] to [help them plan their widgets in boxes </w:t>
      </w:r>
      <w:r w:rsidR="00951724" w:rsidRPr="00AC41E0">
        <w:rPr>
          <w:szCs w:val="22"/>
        </w:rPr>
        <w:t>program]</w:t>
      </w:r>
      <w:r w:rsidRPr="00AC41E0">
        <w:rPr>
          <w:szCs w:val="22"/>
        </w:rPr>
        <w:t>]</w:t>
      </w:r>
      <w:r w:rsidRPr="00E46FB0">
        <w:rPr>
          <w:szCs w:val="22"/>
        </w:rPr>
        <w:t xml:space="preserve">. </w:t>
      </w:r>
    </w:p>
    <w:p w14:paraId="0FA8B89A" w14:textId="2267A7C7" w:rsidR="00DC5AE4" w:rsidRPr="00AC41E0" w:rsidRDefault="00DC5AE4" w:rsidP="00885658">
      <w:pPr>
        <w:pStyle w:val="DCSbodytext"/>
        <w:spacing w:afterLines="80" w:after="192"/>
        <w:ind w:left="0"/>
        <w:rPr>
          <w:szCs w:val="22"/>
        </w:rPr>
      </w:pPr>
      <w:r w:rsidRPr="00AC41E0">
        <w:rPr>
          <w:szCs w:val="22"/>
        </w:rPr>
        <w:t>We will keep your information for [X years]</w:t>
      </w:r>
      <w:r w:rsidRPr="00E46FB0">
        <w:rPr>
          <w:szCs w:val="22"/>
        </w:rPr>
        <w:t xml:space="preserve">. After that time we will securely </w:t>
      </w:r>
      <w:r w:rsidRPr="00AC41E0">
        <w:rPr>
          <w:szCs w:val="22"/>
        </w:rPr>
        <w:t>[destroy/</w:t>
      </w:r>
      <w:r w:rsidR="00AF4059" w:rsidRPr="00AC41E0">
        <w:rPr>
          <w:szCs w:val="22"/>
        </w:rPr>
        <w:t>de-identif</w:t>
      </w:r>
      <w:r w:rsidRPr="00AC41E0">
        <w:rPr>
          <w:szCs w:val="22"/>
        </w:rPr>
        <w:t>y it]</w:t>
      </w:r>
      <w:r w:rsidRPr="00E46FB0">
        <w:rPr>
          <w:szCs w:val="22"/>
        </w:rPr>
        <w:t xml:space="preserve">. We may keep </w:t>
      </w:r>
      <w:r w:rsidR="00AF4059" w:rsidRPr="00AC41E0">
        <w:rPr>
          <w:szCs w:val="22"/>
        </w:rPr>
        <w:t>de-identif</w:t>
      </w:r>
      <w:r w:rsidRPr="00AC41E0">
        <w:rPr>
          <w:szCs w:val="22"/>
        </w:rPr>
        <w:t xml:space="preserve">ied or aggregated records indefinitely. </w:t>
      </w:r>
    </w:p>
    <w:p w14:paraId="56BEB825" w14:textId="77777777" w:rsidR="00DC5AE4" w:rsidRPr="00AC41E0" w:rsidRDefault="00DC5AE4" w:rsidP="00885658">
      <w:pPr>
        <w:pStyle w:val="DCSbodytext"/>
        <w:spacing w:afterLines="80" w:after="192"/>
        <w:ind w:left="0"/>
        <w:rPr>
          <w:b/>
          <w:color w:val="000000" w:themeColor="text1"/>
          <w:szCs w:val="22"/>
        </w:rPr>
      </w:pPr>
      <w:bookmarkStart w:id="1939" w:name="_Toc14700291"/>
      <w:r w:rsidRPr="00AC41E0">
        <w:rPr>
          <w:b/>
          <w:color w:val="000000" w:themeColor="text1"/>
          <w:szCs w:val="22"/>
        </w:rPr>
        <w:t>Access and correction</w:t>
      </w:r>
      <w:bookmarkEnd w:id="1939"/>
    </w:p>
    <w:p w14:paraId="6DAB593A" w14:textId="792D9395" w:rsidR="00DC5AE4" w:rsidRPr="00AC41E0" w:rsidRDefault="00DC5AE4" w:rsidP="00885658">
      <w:pPr>
        <w:pStyle w:val="DCSbodytext"/>
        <w:spacing w:afterLines="80" w:after="192"/>
        <w:ind w:left="0"/>
        <w:rPr>
          <w:color w:val="000000" w:themeColor="text1"/>
          <w:szCs w:val="22"/>
        </w:rPr>
      </w:pPr>
      <w:r w:rsidRPr="00AC41E0">
        <w:rPr>
          <w:color w:val="000000" w:themeColor="text1"/>
          <w:szCs w:val="22"/>
        </w:rPr>
        <w:t>You can access any information we hold about you and ask us to correct it if it</w:t>
      </w:r>
      <w:r w:rsidR="008417F7" w:rsidRPr="00AC41E0">
        <w:rPr>
          <w:color w:val="000000" w:themeColor="text1"/>
          <w:szCs w:val="22"/>
        </w:rPr>
        <w:t xml:space="preserve"> i</w:t>
      </w:r>
      <w:r w:rsidRPr="00AC41E0">
        <w:rPr>
          <w:color w:val="000000" w:themeColor="text1"/>
          <w:szCs w:val="22"/>
        </w:rPr>
        <w:t>s wrong. If you</w:t>
      </w:r>
      <w:r w:rsidR="0016192C" w:rsidRPr="00AC41E0">
        <w:rPr>
          <w:color w:val="000000" w:themeColor="text1"/>
          <w:szCs w:val="22"/>
        </w:rPr>
        <w:t xml:space="preserve"> woul</w:t>
      </w:r>
      <w:r w:rsidRPr="00AC41E0">
        <w:rPr>
          <w:color w:val="000000" w:themeColor="text1"/>
          <w:szCs w:val="22"/>
        </w:rPr>
        <w:t xml:space="preserve">d like to do this, please contact us. Our contact details are set out below. </w:t>
      </w:r>
    </w:p>
    <w:p w14:paraId="618AF496" w14:textId="77777777" w:rsidR="00DC5AE4" w:rsidRPr="00AC41E0" w:rsidRDefault="00DC5AE4" w:rsidP="00885658">
      <w:pPr>
        <w:pStyle w:val="DCSbodytext"/>
        <w:spacing w:afterLines="80" w:after="192"/>
        <w:ind w:left="0"/>
        <w:rPr>
          <w:b/>
          <w:color w:val="000000" w:themeColor="text1"/>
          <w:szCs w:val="22"/>
        </w:rPr>
      </w:pPr>
      <w:bookmarkStart w:id="1940" w:name="_Toc14700292"/>
      <w:r w:rsidRPr="00AC41E0">
        <w:rPr>
          <w:b/>
          <w:color w:val="000000" w:themeColor="text1"/>
          <w:szCs w:val="22"/>
        </w:rPr>
        <w:t>Contact us</w:t>
      </w:r>
      <w:bookmarkEnd w:id="1940"/>
    </w:p>
    <w:p w14:paraId="2AD61BB3" w14:textId="2631B1E8" w:rsidR="00DC5AE4" w:rsidRPr="00AC41E0" w:rsidRDefault="00DC5AE4" w:rsidP="00885658">
      <w:pPr>
        <w:pStyle w:val="DCSbodytext"/>
        <w:spacing w:afterLines="80" w:after="192"/>
        <w:ind w:left="0"/>
        <w:rPr>
          <w:szCs w:val="22"/>
        </w:rPr>
      </w:pPr>
      <w:r w:rsidRPr="00AC41E0">
        <w:rPr>
          <w:szCs w:val="22"/>
        </w:rPr>
        <w:t>Our address is [Level 1, 123 Australia Street NSW 2000]</w:t>
      </w:r>
      <w:r w:rsidRPr="00E46FB0">
        <w:rPr>
          <w:szCs w:val="22"/>
        </w:rPr>
        <w:t xml:space="preserve">. You can call us at </w:t>
      </w:r>
      <w:r w:rsidRPr="00AC41E0">
        <w:rPr>
          <w:szCs w:val="22"/>
        </w:rPr>
        <w:t>[1800 555 555]</w:t>
      </w:r>
      <w:r w:rsidRPr="00E46FB0">
        <w:rPr>
          <w:szCs w:val="22"/>
        </w:rPr>
        <w:t xml:space="preserve">. You can write to us at </w:t>
      </w:r>
      <w:r w:rsidRPr="00AC41E0">
        <w:rPr>
          <w:szCs w:val="22"/>
        </w:rPr>
        <w:t>[</w:t>
      </w:r>
      <w:r w:rsidRPr="00AC41E0">
        <w:rPr>
          <w:rStyle w:val="Hyperlink"/>
          <w:rFonts w:cstheme="minorHAnsi"/>
          <w:szCs w:val="22"/>
        </w:rPr>
        <w:t>widgets@things.nsw.gov.au]</w:t>
      </w:r>
      <w:r w:rsidRPr="00E46FB0">
        <w:rPr>
          <w:szCs w:val="22"/>
        </w:rPr>
        <w:t xml:space="preserve"> or at </w:t>
      </w:r>
      <w:r w:rsidRPr="00AC41E0">
        <w:rPr>
          <w:szCs w:val="22"/>
        </w:rPr>
        <w:t>[postal address]</w:t>
      </w:r>
      <w:r w:rsidRPr="00E46FB0">
        <w:rPr>
          <w:szCs w:val="22"/>
        </w:rPr>
        <w:t>.</w:t>
      </w:r>
    </w:p>
    <w:p w14:paraId="72F16982" w14:textId="77777777" w:rsidR="00DC5AE4" w:rsidRPr="00AC41E0" w:rsidRDefault="00DC5AE4" w:rsidP="00885658">
      <w:pPr>
        <w:pStyle w:val="DCSbodytext"/>
        <w:spacing w:afterLines="80" w:after="192"/>
        <w:ind w:left="0"/>
        <w:rPr>
          <w:b/>
          <w:color w:val="000000" w:themeColor="text1"/>
          <w:szCs w:val="22"/>
        </w:rPr>
      </w:pPr>
      <w:bookmarkStart w:id="1941" w:name="_Toc14700293"/>
      <w:r w:rsidRPr="00AC41E0">
        <w:rPr>
          <w:b/>
          <w:color w:val="000000" w:themeColor="text1"/>
          <w:szCs w:val="22"/>
        </w:rPr>
        <w:t>Privacy Policy</w:t>
      </w:r>
      <w:bookmarkEnd w:id="1941"/>
      <w:r w:rsidRPr="00AC41E0">
        <w:rPr>
          <w:b/>
          <w:color w:val="000000" w:themeColor="text1"/>
          <w:szCs w:val="22"/>
        </w:rPr>
        <w:t xml:space="preserve"> </w:t>
      </w:r>
    </w:p>
    <w:p w14:paraId="73693010" w14:textId="5B82E8DF" w:rsidR="00DC5AE4" w:rsidRPr="00AC41E0" w:rsidRDefault="00DC5AE4" w:rsidP="00E61286">
      <w:pPr>
        <w:pStyle w:val="BodyText"/>
        <w:spacing w:afterLines="80" w:after="192" w:line="276" w:lineRule="auto"/>
        <w:ind w:left="0"/>
        <w:rPr>
          <w:szCs w:val="22"/>
          <w:lang w:eastAsia="en-AU"/>
        </w:rPr>
        <w:sectPr w:rsidR="00DC5AE4" w:rsidRPr="00AC41E0" w:rsidSect="002771AA">
          <w:pgSz w:w="11906" w:h="16838"/>
          <w:pgMar w:top="1418" w:right="1134" w:bottom="1134" w:left="1134" w:header="851" w:footer="425" w:gutter="0"/>
          <w:cols w:space="708"/>
          <w:titlePg/>
          <w:docGrid w:linePitch="360"/>
        </w:sectPr>
      </w:pPr>
      <w:r w:rsidRPr="00AC41E0">
        <w:rPr>
          <w:color w:val="000000" w:themeColor="text1"/>
          <w:szCs w:val="22"/>
        </w:rPr>
        <w:t>You can read our privacy policy here: [insert link]</w:t>
      </w:r>
      <w:r w:rsidRPr="00E46FB0">
        <w:rPr>
          <w:color w:val="000000" w:themeColor="text1"/>
          <w:szCs w:val="22"/>
        </w:rPr>
        <w:t>. Our privacy policy has more detail on how we handle personal information, including how you can make a complaint.</w:t>
      </w:r>
    </w:p>
    <w:p w14:paraId="60969514" w14:textId="34773738" w:rsidR="00D41361" w:rsidRPr="00AC41E0" w:rsidRDefault="0009710F" w:rsidP="00C65A52">
      <w:pPr>
        <w:pStyle w:val="Heading2"/>
        <w:numPr>
          <w:ilvl w:val="0"/>
          <w:numId w:val="0"/>
        </w:numPr>
        <w:rPr>
          <w:rFonts w:ascii="Arial" w:hAnsi="Arial"/>
          <w:i/>
          <w:iCs/>
        </w:rPr>
      </w:pPr>
      <w:bookmarkStart w:id="1942" w:name="_Appendix_C_–"/>
      <w:bookmarkStart w:id="1943" w:name="_Toc65760611"/>
      <w:bookmarkEnd w:id="1942"/>
      <w:r w:rsidRPr="00AC41E0">
        <w:rPr>
          <w:rFonts w:ascii="Arial" w:hAnsi="Arial"/>
        </w:rPr>
        <w:lastRenderedPageBreak/>
        <w:t xml:space="preserve">Appendix </w:t>
      </w:r>
      <w:r w:rsidR="00DC5AE4" w:rsidRPr="00AC41E0">
        <w:rPr>
          <w:rFonts w:ascii="Arial" w:hAnsi="Arial"/>
        </w:rPr>
        <w:t>C</w:t>
      </w:r>
      <w:r w:rsidRPr="00AC41E0">
        <w:rPr>
          <w:rFonts w:ascii="Arial" w:hAnsi="Arial"/>
        </w:rPr>
        <w:t xml:space="preserve"> – </w:t>
      </w:r>
      <w:r w:rsidR="00D65EDB" w:rsidRPr="00AC41E0">
        <w:rPr>
          <w:rFonts w:ascii="Arial" w:hAnsi="Arial"/>
        </w:rPr>
        <w:t>Checklist for IoT solutions</w:t>
      </w:r>
      <w:bookmarkStart w:id="1944" w:name="_Appendix_B_–"/>
      <w:bookmarkEnd w:id="1943"/>
      <w:bookmarkEnd w:id="1944"/>
      <w:r w:rsidR="00D41361" w:rsidRPr="00AC41E0">
        <w:rPr>
          <w:rFonts w:ascii="Arial" w:hAnsi="Arial"/>
        </w:rPr>
        <w:t> </w:t>
      </w:r>
    </w:p>
    <w:p w14:paraId="07F5824E" w14:textId="482C99D0" w:rsidR="00D65EDB" w:rsidRPr="00AC41E0" w:rsidRDefault="00D65EDB" w:rsidP="0003467D">
      <w:pPr>
        <w:pStyle w:val="DCSbodytext"/>
        <w:numPr>
          <w:ilvl w:val="0"/>
          <w:numId w:val="30"/>
        </w:numPr>
        <w:rPr>
          <w:rFonts w:eastAsiaTheme="minorHAnsi"/>
        </w:rPr>
      </w:pPr>
      <w:r w:rsidRPr="00AC41E0">
        <w:t xml:space="preserve">Assess your requirements around performance, business continuity and back up </w:t>
      </w:r>
      <w:r w:rsidR="00F2627A" w:rsidRPr="00AC41E0">
        <w:t>to design</w:t>
      </w:r>
      <w:r w:rsidRPr="00AC41E0">
        <w:t xml:space="preserve"> your IoT Hub and Edge and </w:t>
      </w:r>
      <w:r w:rsidR="00B259C8" w:rsidRPr="00AC41E0">
        <w:t>determine the</w:t>
      </w:r>
      <w:r w:rsidRPr="00AC41E0">
        <w:t xml:space="preserve"> level of intelligence they require</w:t>
      </w:r>
    </w:p>
    <w:p w14:paraId="12E9AA0B" w14:textId="77777777" w:rsidR="00D65EDB" w:rsidRPr="00AC41E0" w:rsidRDefault="00D65EDB" w:rsidP="0003467D">
      <w:pPr>
        <w:pStyle w:val="DCSbodytext"/>
        <w:numPr>
          <w:ilvl w:val="0"/>
          <w:numId w:val="30"/>
        </w:numPr>
        <w:spacing w:after="120"/>
        <w:ind w:hanging="357"/>
        <w:rPr>
          <w:rStyle w:val="Hyperlink"/>
          <w:color w:val="auto"/>
          <w:u w:val="none"/>
        </w:rPr>
      </w:pPr>
      <w:r w:rsidRPr="00AC41E0">
        <w:rPr>
          <w:rStyle w:val="Hyperlink"/>
          <w:color w:val="auto"/>
          <w:u w:val="none"/>
        </w:rPr>
        <w:t>Carefully consider if the solution is fit for purpose, by looking at:</w:t>
      </w:r>
    </w:p>
    <w:p w14:paraId="4345C298" w14:textId="39FA50C6" w:rsidR="00B375C2" w:rsidRPr="00AC41E0" w:rsidRDefault="00D65EDB" w:rsidP="00D978A4">
      <w:pPr>
        <w:pStyle w:val="DCSbullet"/>
        <w:numPr>
          <w:ilvl w:val="0"/>
          <w:numId w:val="48"/>
        </w:numPr>
        <w:ind w:left="723"/>
      </w:pPr>
      <w:r w:rsidRPr="00AC41E0">
        <w:t>what you want to achieve with the IoT solution</w:t>
      </w:r>
    </w:p>
    <w:p w14:paraId="00942574" w14:textId="76C516DC" w:rsidR="00B375C2" w:rsidRPr="00AC41E0" w:rsidRDefault="00D65EDB" w:rsidP="00D978A4">
      <w:pPr>
        <w:pStyle w:val="DCSbullet"/>
        <w:numPr>
          <w:ilvl w:val="0"/>
          <w:numId w:val="48"/>
        </w:numPr>
        <w:ind w:left="723"/>
      </w:pPr>
      <w:r w:rsidRPr="00AC41E0">
        <w:t xml:space="preserve">the operational context of your </w:t>
      </w:r>
      <w:r w:rsidR="00B375C2" w:rsidRPr="00AC41E0">
        <w:t>organisation</w:t>
      </w:r>
    </w:p>
    <w:p w14:paraId="1C1F3BF4" w14:textId="027DFAC9" w:rsidR="00D65EDB" w:rsidRPr="00AC41E0" w:rsidRDefault="00D65EDB" w:rsidP="00D978A4">
      <w:pPr>
        <w:pStyle w:val="DCSbullet"/>
        <w:numPr>
          <w:ilvl w:val="0"/>
          <w:numId w:val="48"/>
        </w:numPr>
        <w:ind w:left="723"/>
      </w:pPr>
      <w:r w:rsidRPr="00AC41E0">
        <w:t>what you need in a Minimum Viable Product</w:t>
      </w:r>
      <w:r w:rsidR="005A7BFE" w:rsidRPr="00AC41E0">
        <w:t>.</w:t>
      </w:r>
    </w:p>
    <w:p w14:paraId="754BC82B" w14:textId="01639DC7" w:rsidR="00D65EDB" w:rsidRPr="00AC41E0" w:rsidRDefault="00D65EDB" w:rsidP="0003467D">
      <w:pPr>
        <w:pStyle w:val="DCSbodytext"/>
        <w:numPr>
          <w:ilvl w:val="0"/>
          <w:numId w:val="31"/>
        </w:numPr>
        <w:rPr>
          <w:rStyle w:val="Hyperlink"/>
          <w:color w:val="auto"/>
          <w:u w:val="none"/>
        </w:rPr>
      </w:pPr>
      <w:r w:rsidRPr="00AC41E0">
        <w:rPr>
          <w:rStyle w:val="Hyperlink"/>
          <w:color w:val="auto"/>
          <w:u w:val="none"/>
        </w:rPr>
        <w:t>Do not use IoT solutions which do not comply with Australian regulatory requirements</w:t>
      </w:r>
    </w:p>
    <w:p w14:paraId="162D90C8" w14:textId="7A2E6F53" w:rsidR="00D65EDB" w:rsidRPr="00AC41E0" w:rsidRDefault="00D65EDB" w:rsidP="00BA085F">
      <w:pPr>
        <w:pStyle w:val="DCSbodytext"/>
        <w:numPr>
          <w:ilvl w:val="0"/>
          <w:numId w:val="31"/>
        </w:numPr>
        <w:rPr>
          <w:rStyle w:val="Hyperlink"/>
          <w:rFonts w:eastAsiaTheme="majorEastAsia"/>
          <w:color w:val="auto"/>
          <w:u w:val="none"/>
        </w:rPr>
      </w:pPr>
      <w:r w:rsidRPr="00AC41E0">
        <w:rPr>
          <w:rStyle w:val="Hyperlink"/>
          <w:color w:val="auto"/>
          <w:u w:val="none"/>
        </w:rPr>
        <w:t>Look for IoT solutions which voluntarily adhere to standards</w:t>
      </w:r>
      <w:r w:rsidR="004324D9" w:rsidRPr="00AC41E0">
        <w:rPr>
          <w:rStyle w:val="Hyperlink"/>
          <w:color w:val="auto"/>
          <w:u w:val="none"/>
        </w:rPr>
        <w:t xml:space="preserve">, and </w:t>
      </w:r>
      <w:r w:rsidRPr="00AC41E0">
        <w:rPr>
          <w:rStyle w:val="Hyperlink"/>
          <w:color w:val="auto"/>
          <w:u w:val="none"/>
        </w:rPr>
        <w:t>open systems/</w:t>
      </w:r>
      <w:r w:rsidR="004324D9" w:rsidRPr="00AC41E0">
        <w:rPr>
          <w:rStyle w:val="Hyperlink"/>
          <w:color w:val="auto"/>
          <w:u w:val="none"/>
        </w:rPr>
        <w:t xml:space="preserve"> </w:t>
      </w:r>
      <w:r w:rsidRPr="00AC41E0">
        <w:rPr>
          <w:rStyle w:val="Hyperlink"/>
          <w:color w:val="auto"/>
          <w:u w:val="none"/>
        </w:rPr>
        <w:t>standards/source to avoid vendor lock-in</w:t>
      </w:r>
    </w:p>
    <w:p w14:paraId="6D18141B" w14:textId="77777777" w:rsidR="00D65EDB" w:rsidRPr="00AC41E0" w:rsidRDefault="00D65EDB" w:rsidP="0003467D">
      <w:pPr>
        <w:pStyle w:val="DCSbodytext"/>
        <w:numPr>
          <w:ilvl w:val="0"/>
          <w:numId w:val="31"/>
        </w:numPr>
      </w:pPr>
      <w:r w:rsidRPr="00AC41E0">
        <w:t>Use Device Detection Capability if available to save time</w:t>
      </w:r>
    </w:p>
    <w:p w14:paraId="06DEDD44" w14:textId="32107D6B" w:rsidR="00297AC6" w:rsidRPr="00AC41E0" w:rsidRDefault="00D65EDB" w:rsidP="0003467D">
      <w:pPr>
        <w:pStyle w:val="DCSbodytext"/>
        <w:numPr>
          <w:ilvl w:val="0"/>
          <w:numId w:val="31"/>
        </w:numPr>
      </w:pPr>
      <w:r w:rsidRPr="00AC41E0">
        <w:rPr>
          <w:rStyle w:val="Hyperlink"/>
          <w:color w:val="auto"/>
          <w:u w:val="none"/>
        </w:rPr>
        <w:t>Undertake a security and data privacy assessment to determine the</w:t>
      </w:r>
      <w:r w:rsidRPr="00AC41E0">
        <w:t xml:space="preserve"> appropriate level of security and data privacy the IoT solution should provide</w:t>
      </w:r>
      <w:r w:rsidR="00297AC6" w:rsidRPr="00AC41E0">
        <w:t xml:space="preserve"> </w:t>
      </w:r>
    </w:p>
    <w:p w14:paraId="3C0FB8E4" w14:textId="71E65ADC" w:rsidR="00D65EDB" w:rsidRPr="00AC41E0" w:rsidRDefault="00D65EDB" w:rsidP="0003467D">
      <w:pPr>
        <w:pStyle w:val="DCSbodytext"/>
        <w:numPr>
          <w:ilvl w:val="0"/>
          <w:numId w:val="31"/>
        </w:numPr>
      </w:pPr>
      <w:r w:rsidRPr="00AC41E0">
        <w:t>Consider your network needs including range, power consumption</w:t>
      </w:r>
      <w:r w:rsidR="00DF7122" w:rsidRPr="00AC41E0">
        <w:t>,</w:t>
      </w:r>
      <w:r w:rsidRPr="00AC41E0">
        <w:t xml:space="preserve"> and bandwidth</w:t>
      </w:r>
      <w:r w:rsidR="00720B99" w:rsidRPr="00AC41E0">
        <w:t>, for now and into the future (e.g. in five years)</w:t>
      </w:r>
      <w:r w:rsidR="00B51BBB" w:rsidRPr="00AC41E0">
        <w:t xml:space="preserve">, noting that </w:t>
      </w:r>
      <w:r w:rsidRPr="00AC41E0">
        <w:t xml:space="preserve">all IoT networks </w:t>
      </w:r>
      <w:r w:rsidR="00620996" w:rsidRPr="00AC41E0">
        <w:t>may be</w:t>
      </w:r>
      <w:r w:rsidR="007D4873" w:rsidRPr="00AC41E0">
        <w:t xml:space="preserve"> currently</w:t>
      </w:r>
      <w:r w:rsidRPr="00AC41E0">
        <w:t xml:space="preserve"> available </w:t>
      </w:r>
      <w:r w:rsidR="00F51257" w:rsidRPr="00AC41E0">
        <w:t>in</w:t>
      </w:r>
      <w:r w:rsidR="00D85494" w:rsidRPr="00AC41E0">
        <w:t xml:space="preserve"> </w:t>
      </w:r>
      <w:r w:rsidRPr="00AC41E0">
        <w:t>your location</w:t>
      </w:r>
    </w:p>
    <w:p w14:paraId="4234DE51" w14:textId="77777777" w:rsidR="00D65EDB" w:rsidRPr="00AC41E0" w:rsidRDefault="00D65EDB" w:rsidP="0003467D">
      <w:pPr>
        <w:pStyle w:val="DCSbodytext"/>
        <w:numPr>
          <w:ilvl w:val="0"/>
          <w:numId w:val="31"/>
        </w:numPr>
      </w:pPr>
      <w:r w:rsidRPr="00AC41E0">
        <w:t>If using a proprietary network, check with the network provider if your device is compatible with the network</w:t>
      </w:r>
    </w:p>
    <w:p w14:paraId="01419AF4" w14:textId="368DC4E4" w:rsidR="00D65EDB" w:rsidRPr="00AC41E0" w:rsidRDefault="00BD48DE" w:rsidP="0003467D">
      <w:pPr>
        <w:pStyle w:val="DCSbodytext"/>
        <w:numPr>
          <w:ilvl w:val="0"/>
          <w:numId w:val="31"/>
        </w:numPr>
      </w:pPr>
      <w:r w:rsidRPr="00AC41E0">
        <w:t>Avoid vulnerable devices and c</w:t>
      </w:r>
      <w:r w:rsidR="00D65EDB" w:rsidRPr="00AC41E0">
        <w:t xml:space="preserve">hoose devices </w:t>
      </w:r>
      <w:r w:rsidR="002529D2" w:rsidRPr="00AC41E0">
        <w:t>that</w:t>
      </w:r>
      <w:r w:rsidR="00D65EDB" w:rsidRPr="00AC41E0">
        <w:t xml:space="preserve"> can be managed, monitored and maintained at a component level</w:t>
      </w:r>
    </w:p>
    <w:p w14:paraId="4CE227BB" w14:textId="77DC1D6A" w:rsidR="00D65EDB" w:rsidRPr="00AC41E0" w:rsidRDefault="00A276AA" w:rsidP="0003467D">
      <w:pPr>
        <w:pStyle w:val="DCSbodytext"/>
        <w:numPr>
          <w:ilvl w:val="0"/>
          <w:numId w:val="31"/>
        </w:numPr>
      </w:pPr>
      <w:r w:rsidRPr="00AC41E0">
        <w:t xml:space="preserve">Verify </w:t>
      </w:r>
      <w:r w:rsidR="00D65EDB" w:rsidRPr="00AC41E0">
        <w:t>that firmware can be updated remotely</w:t>
      </w:r>
    </w:p>
    <w:p w14:paraId="6F2D474F" w14:textId="7215A27E" w:rsidR="0086638C" w:rsidRPr="00AC41E0" w:rsidRDefault="002529D2" w:rsidP="0003467D">
      <w:pPr>
        <w:pStyle w:val="DCSbodytext"/>
        <w:numPr>
          <w:ilvl w:val="0"/>
          <w:numId w:val="31"/>
        </w:numPr>
      </w:pPr>
      <w:r w:rsidRPr="00AC41E0">
        <w:t>Check if</w:t>
      </w:r>
      <w:r w:rsidR="00205782" w:rsidRPr="00AC41E0">
        <w:t xml:space="preserve"> your preferred sensors are </w:t>
      </w:r>
      <w:r w:rsidR="00D00564" w:rsidRPr="00AC41E0">
        <w:t xml:space="preserve">available and supported in Australia, suitable for your environment, and </w:t>
      </w:r>
      <w:r w:rsidR="00DF7122" w:rsidRPr="00AC41E0">
        <w:t>field-</w:t>
      </w:r>
      <w:r w:rsidR="00D00564" w:rsidRPr="00AC41E0">
        <w:t>proven for the application you require</w:t>
      </w:r>
    </w:p>
    <w:p w14:paraId="0B4DD572" w14:textId="5D291260" w:rsidR="00F10DCC" w:rsidRPr="00AC41E0" w:rsidRDefault="00B259C8" w:rsidP="00F10DCC">
      <w:pPr>
        <w:pStyle w:val="DCSbodytext"/>
        <w:numPr>
          <w:ilvl w:val="0"/>
          <w:numId w:val="31"/>
        </w:numPr>
      </w:pPr>
      <w:r w:rsidRPr="00AC41E0">
        <w:t xml:space="preserve">Consider the capability of </w:t>
      </w:r>
      <w:r w:rsidR="00F10DCC" w:rsidRPr="00AC41E0">
        <w:t>battery solutions,</w:t>
      </w:r>
      <w:r w:rsidRPr="00AC41E0">
        <w:t xml:space="preserve"> </w:t>
      </w:r>
      <w:r w:rsidR="00F10DCC" w:rsidRPr="00AC41E0">
        <w:t>including battery life and power consumption</w:t>
      </w:r>
    </w:p>
    <w:p w14:paraId="1B1B0768" w14:textId="181C14AA" w:rsidR="00D65EDB" w:rsidRPr="00AC41E0" w:rsidRDefault="00D65EDB" w:rsidP="0003467D">
      <w:pPr>
        <w:pStyle w:val="DCSbodytext"/>
        <w:numPr>
          <w:ilvl w:val="0"/>
          <w:numId w:val="31"/>
        </w:numPr>
      </w:pPr>
      <w:r w:rsidRPr="00AC41E0">
        <w:t>Positioning devices must record spatial data to be absorbed into the NSW Digital Twin</w:t>
      </w:r>
    </w:p>
    <w:p w14:paraId="76F7D0E2" w14:textId="77777777" w:rsidR="00D65EDB" w:rsidRPr="00AC41E0" w:rsidRDefault="00D65EDB" w:rsidP="0003467D">
      <w:pPr>
        <w:pStyle w:val="DCSbodytext"/>
        <w:numPr>
          <w:ilvl w:val="0"/>
          <w:numId w:val="31"/>
        </w:numPr>
      </w:pPr>
      <w:r w:rsidRPr="00AC41E0">
        <w:t xml:space="preserve">Consider what level of automation is appropriate and if it can be customised </w:t>
      </w:r>
    </w:p>
    <w:p w14:paraId="1C155F78" w14:textId="77777777" w:rsidR="00D65EDB" w:rsidRPr="00AC41E0" w:rsidRDefault="00D65EDB" w:rsidP="0003467D">
      <w:pPr>
        <w:pStyle w:val="DCSbodytext"/>
        <w:numPr>
          <w:ilvl w:val="0"/>
          <w:numId w:val="31"/>
        </w:numPr>
      </w:pPr>
      <w:r w:rsidRPr="00AC41E0">
        <w:t>Understand the functionality available via your API and use open APIs where suitable</w:t>
      </w:r>
    </w:p>
    <w:p w14:paraId="7AFC51B0" w14:textId="77777777" w:rsidR="00D65EDB" w:rsidRPr="00AC41E0" w:rsidRDefault="00D65EDB" w:rsidP="0003467D">
      <w:pPr>
        <w:pStyle w:val="DCSbodytext"/>
        <w:numPr>
          <w:ilvl w:val="0"/>
          <w:numId w:val="31"/>
        </w:numPr>
      </w:pPr>
      <w:r w:rsidRPr="00AC41E0">
        <w:t>Consider risk mitigation strategies such as using separate servers or networks for data exposed through APIs</w:t>
      </w:r>
    </w:p>
    <w:p w14:paraId="05769301" w14:textId="4307A51F" w:rsidR="00D5149A" w:rsidRPr="00AC41E0" w:rsidRDefault="00D65EDB" w:rsidP="0003467D">
      <w:pPr>
        <w:pStyle w:val="DCSbodytext"/>
        <w:numPr>
          <w:ilvl w:val="0"/>
          <w:numId w:val="31"/>
        </w:numPr>
      </w:pPr>
      <w:r w:rsidRPr="00AC41E0">
        <w:t>Describe datasets or data sources using open standards and persistent identifiers (</w:t>
      </w:r>
      <w:r w:rsidR="00DF7122" w:rsidRPr="00AC41E0">
        <w:t>long-</w:t>
      </w:r>
      <w:r w:rsidRPr="00AC41E0">
        <w:t>lasting references of URLs</w:t>
      </w:r>
      <w:r w:rsidR="00985F6E" w:rsidRPr="00AC41E0">
        <w:t>)</w:t>
      </w:r>
      <w:r w:rsidR="00D474EE" w:rsidRPr="00AC41E0">
        <w:t>.</w:t>
      </w:r>
    </w:p>
    <w:p w14:paraId="201FDB63" w14:textId="77777777" w:rsidR="00D5149A" w:rsidRPr="00AC41E0" w:rsidRDefault="00D5149A">
      <w:pPr>
        <w:pStyle w:val="Heading2"/>
        <w:numPr>
          <w:ilvl w:val="0"/>
          <w:numId w:val="0"/>
        </w:numPr>
        <w:rPr>
          <w:rFonts w:ascii="Arial" w:hAnsi="Arial"/>
        </w:rPr>
        <w:sectPr w:rsidR="00D5149A" w:rsidRPr="00AC41E0" w:rsidSect="002771AA">
          <w:pgSz w:w="11906" w:h="16838"/>
          <w:pgMar w:top="1440" w:right="1440" w:bottom="1440" w:left="1440" w:header="708" w:footer="708" w:gutter="0"/>
          <w:cols w:space="708"/>
          <w:docGrid w:linePitch="360"/>
        </w:sectPr>
      </w:pPr>
    </w:p>
    <w:p w14:paraId="6FA0770C" w14:textId="63BA823A" w:rsidR="00D5149A" w:rsidRPr="00AC41E0" w:rsidRDefault="00D5149A" w:rsidP="00D722FB">
      <w:pPr>
        <w:pStyle w:val="Heading2"/>
        <w:numPr>
          <w:ilvl w:val="0"/>
          <w:numId w:val="0"/>
        </w:numPr>
        <w:spacing w:before="0" w:after="0"/>
        <w:ind w:left="-992"/>
        <w:rPr>
          <w:rFonts w:ascii="Arial" w:hAnsi="Arial"/>
        </w:rPr>
      </w:pPr>
      <w:bookmarkStart w:id="1945" w:name="_Appendix_D_–"/>
      <w:bookmarkStart w:id="1946" w:name="_Toc65760612"/>
      <w:bookmarkEnd w:id="1945"/>
      <w:r w:rsidRPr="00AC41E0">
        <w:rPr>
          <w:rFonts w:ascii="Arial" w:hAnsi="Arial"/>
        </w:rPr>
        <w:lastRenderedPageBreak/>
        <w:t xml:space="preserve">Appendix </w:t>
      </w:r>
      <w:r w:rsidR="00DC5AE4" w:rsidRPr="00AC41E0">
        <w:rPr>
          <w:rFonts w:ascii="Arial" w:hAnsi="Arial"/>
        </w:rPr>
        <w:t>D</w:t>
      </w:r>
      <w:r w:rsidRPr="00AC41E0">
        <w:rPr>
          <w:rFonts w:ascii="Arial" w:hAnsi="Arial"/>
        </w:rPr>
        <w:t xml:space="preserve"> – Key IoT wireless network options currently available in NSW</w:t>
      </w:r>
      <w:bookmarkEnd w:id="1946"/>
    </w:p>
    <w:tbl>
      <w:tblPr>
        <w:tblStyle w:val="TableGrid"/>
        <w:tblW w:w="5791" w:type="pct"/>
        <w:tblInd w:w="-1134" w:type="dxa"/>
        <w:tblLayout w:type="fixed"/>
        <w:tblCellMar>
          <w:bottom w:w="57" w:type="dxa"/>
        </w:tblCellMar>
        <w:tblLook w:val="04A0" w:firstRow="1" w:lastRow="0" w:firstColumn="1" w:lastColumn="0" w:noHBand="0" w:noVBand="1"/>
      </w:tblPr>
      <w:tblGrid>
        <w:gridCol w:w="1263"/>
        <w:gridCol w:w="2236"/>
        <w:gridCol w:w="2153"/>
        <w:gridCol w:w="1984"/>
        <w:gridCol w:w="1988"/>
        <w:gridCol w:w="1290"/>
        <w:gridCol w:w="1099"/>
        <w:gridCol w:w="1351"/>
        <w:gridCol w:w="1380"/>
        <w:gridCol w:w="1416"/>
      </w:tblGrid>
      <w:tr w:rsidR="00AC2A8E" w:rsidRPr="00AC41E0" w14:paraId="65D8DEB1" w14:textId="77777777" w:rsidTr="00110CB8">
        <w:tc>
          <w:tcPr>
            <w:tcW w:w="391" w:type="pct"/>
            <w:tcBorders>
              <w:top w:val="nil"/>
              <w:left w:val="nil"/>
            </w:tcBorders>
            <w:shd w:val="clear" w:color="auto" w:fill="auto"/>
          </w:tcPr>
          <w:p w14:paraId="38AE2A94" w14:textId="77777777" w:rsidR="009D4AE6" w:rsidRPr="00AC41E0" w:rsidRDefault="009D4AE6" w:rsidP="00254CB1">
            <w:pPr>
              <w:pStyle w:val="BodyText"/>
              <w:spacing w:after="0" w:line="240" w:lineRule="auto"/>
              <w:ind w:left="0"/>
              <w:rPr>
                <w:rFonts w:cs="Arial"/>
                <w:sz w:val="20"/>
                <w:szCs w:val="20"/>
                <w:lang w:eastAsia="en-AU"/>
              </w:rPr>
            </w:pPr>
          </w:p>
        </w:tc>
        <w:tc>
          <w:tcPr>
            <w:tcW w:w="2587" w:type="pct"/>
            <w:gridSpan w:val="4"/>
            <w:shd w:val="clear" w:color="auto" w:fill="DBE5F1" w:themeFill="accent1" w:themeFillTint="33"/>
          </w:tcPr>
          <w:p w14:paraId="5A07D2DA" w14:textId="4813FB16" w:rsidR="009D4AE6" w:rsidRPr="00AC41E0" w:rsidRDefault="009D4AE6" w:rsidP="00294E40">
            <w:pPr>
              <w:pStyle w:val="BodyText"/>
              <w:spacing w:after="0" w:line="240" w:lineRule="auto"/>
              <w:ind w:left="0"/>
              <w:jc w:val="center"/>
              <w:rPr>
                <w:rFonts w:cs="Arial"/>
                <w:b/>
                <w:sz w:val="20"/>
                <w:szCs w:val="20"/>
                <w:lang w:eastAsia="en-AU"/>
              </w:rPr>
            </w:pPr>
            <w:r w:rsidRPr="00AC41E0">
              <w:rPr>
                <w:rFonts w:cs="Arial"/>
                <w:b/>
                <w:sz w:val="20"/>
                <w:szCs w:val="20"/>
                <w:lang w:eastAsia="en-AU"/>
              </w:rPr>
              <w:t>Low-Power Wide-Area Network (LPWAN)</w:t>
            </w:r>
          </w:p>
        </w:tc>
        <w:tc>
          <w:tcPr>
            <w:tcW w:w="739" w:type="pct"/>
            <w:gridSpan w:val="2"/>
            <w:shd w:val="clear" w:color="auto" w:fill="C6D9F1" w:themeFill="text2" w:themeFillTint="33"/>
          </w:tcPr>
          <w:p w14:paraId="7930E223" w14:textId="59A7EC01" w:rsidR="009D4AE6" w:rsidRPr="00AC41E0" w:rsidRDefault="009D4AE6" w:rsidP="00294E40">
            <w:pPr>
              <w:pStyle w:val="BodyText"/>
              <w:spacing w:after="0" w:line="240" w:lineRule="auto"/>
              <w:ind w:left="0"/>
              <w:jc w:val="center"/>
              <w:rPr>
                <w:rFonts w:cs="Arial"/>
                <w:b/>
                <w:sz w:val="20"/>
                <w:szCs w:val="20"/>
                <w:lang w:eastAsia="en-AU"/>
              </w:rPr>
            </w:pPr>
            <w:r w:rsidRPr="00AC41E0">
              <w:rPr>
                <w:rFonts w:cs="Arial"/>
                <w:b/>
                <w:sz w:val="20"/>
                <w:szCs w:val="20"/>
              </w:rPr>
              <w:t>Cellular network</w:t>
            </w:r>
          </w:p>
        </w:tc>
        <w:tc>
          <w:tcPr>
            <w:tcW w:w="1283" w:type="pct"/>
            <w:gridSpan w:val="3"/>
            <w:shd w:val="clear" w:color="auto" w:fill="8DB3E2" w:themeFill="text2" w:themeFillTint="66"/>
          </w:tcPr>
          <w:p w14:paraId="2F52125A" w14:textId="5BA3C52C" w:rsidR="009D4AE6" w:rsidRPr="00AC41E0" w:rsidRDefault="009D4AE6" w:rsidP="00294E40">
            <w:pPr>
              <w:pStyle w:val="BodyText"/>
              <w:spacing w:after="0" w:line="240" w:lineRule="auto"/>
              <w:ind w:left="0"/>
              <w:jc w:val="center"/>
              <w:rPr>
                <w:rFonts w:cs="Arial"/>
                <w:b/>
                <w:sz w:val="20"/>
                <w:szCs w:val="20"/>
                <w:lang w:eastAsia="en-AU"/>
              </w:rPr>
            </w:pPr>
            <w:r w:rsidRPr="00AC41E0">
              <w:rPr>
                <w:rFonts w:cs="Arial"/>
                <w:b/>
                <w:sz w:val="20"/>
                <w:szCs w:val="20"/>
              </w:rPr>
              <w:t>Local/Personal Area Network (LAN/PAN)</w:t>
            </w:r>
          </w:p>
        </w:tc>
      </w:tr>
      <w:tr w:rsidR="00AC2A8E" w:rsidRPr="00AC41E0" w14:paraId="2B22C21D" w14:textId="77777777" w:rsidTr="00110CB8">
        <w:tc>
          <w:tcPr>
            <w:tcW w:w="391" w:type="pct"/>
            <w:shd w:val="clear" w:color="auto" w:fill="17365D" w:themeFill="text2" w:themeFillShade="BF"/>
          </w:tcPr>
          <w:p w14:paraId="4BE41DD1" w14:textId="646A5568" w:rsidR="009D4AE6" w:rsidRPr="00AC41E0" w:rsidRDefault="009D4AE6" w:rsidP="00254CB1">
            <w:pPr>
              <w:pStyle w:val="BodyText"/>
              <w:spacing w:after="0" w:line="240" w:lineRule="auto"/>
              <w:ind w:left="0"/>
              <w:rPr>
                <w:rFonts w:cs="Arial"/>
                <w:b/>
                <w:sz w:val="19"/>
                <w:szCs w:val="19"/>
                <w:lang w:eastAsia="en-AU"/>
              </w:rPr>
            </w:pPr>
            <w:r w:rsidRPr="00AC41E0">
              <w:rPr>
                <w:rFonts w:cs="Arial"/>
                <w:b/>
                <w:sz w:val="19"/>
                <w:szCs w:val="19"/>
                <w:lang w:eastAsia="en-AU"/>
              </w:rPr>
              <w:t>Range</w:t>
            </w:r>
          </w:p>
        </w:tc>
        <w:tc>
          <w:tcPr>
            <w:tcW w:w="2587" w:type="pct"/>
            <w:gridSpan w:val="4"/>
            <w:shd w:val="clear" w:color="auto" w:fill="DBE5F1" w:themeFill="accent1" w:themeFillTint="33"/>
          </w:tcPr>
          <w:p w14:paraId="42AAAAC5" w14:textId="570FA2C6" w:rsidR="009D4AE6" w:rsidRPr="00AC41E0" w:rsidRDefault="009D4AE6" w:rsidP="00673C9B">
            <w:pPr>
              <w:pStyle w:val="BodyText"/>
              <w:spacing w:after="0" w:line="240" w:lineRule="auto"/>
              <w:ind w:left="0"/>
              <w:jc w:val="center"/>
              <w:rPr>
                <w:rFonts w:cs="Arial"/>
                <w:sz w:val="20"/>
                <w:szCs w:val="20"/>
                <w:lang w:eastAsia="en-AU"/>
              </w:rPr>
            </w:pPr>
            <w:r w:rsidRPr="00AC41E0">
              <w:rPr>
                <w:rFonts w:cs="Arial"/>
                <w:sz w:val="20"/>
                <w:szCs w:val="20"/>
              </w:rPr>
              <w:t>High</w:t>
            </w:r>
          </w:p>
        </w:tc>
        <w:tc>
          <w:tcPr>
            <w:tcW w:w="739" w:type="pct"/>
            <w:gridSpan w:val="2"/>
            <w:shd w:val="clear" w:color="auto" w:fill="C6D9F1" w:themeFill="text2" w:themeFillTint="33"/>
          </w:tcPr>
          <w:p w14:paraId="28661292" w14:textId="4EB3EAA2" w:rsidR="009D4AE6" w:rsidRPr="00AC41E0" w:rsidRDefault="009D4AE6" w:rsidP="00673C9B">
            <w:pPr>
              <w:pStyle w:val="BodyText"/>
              <w:spacing w:after="0" w:line="240" w:lineRule="auto"/>
              <w:ind w:left="0"/>
              <w:jc w:val="center"/>
              <w:rPr>
                <w:rFonts w:cs="Arial"/>
                <w:sz w:val="20"/>
                <w:szCs w:val="20"/>
                <w:lang w:eastAsia="en-AU"/>
              </w:rPr>
            </w:pPr>
            <w:r w:rsidRPr="00AC41E0">
              <w:rPr>
                <w:rFonts w:cs="Arial"/>
                <w:sz w:val="20"/>
                <w:szCs w:val="20"/>
              </w:rPr>
              <w:t>High</w:t>
            </w:r>
          </w:p>
        </w:tc>
        <w:tc>
          <w:tcPr>
            <w:tcW w:w="1283" w:type="pct"/>
            <w:gridSpan w:val="3"/>
            <w:shd w:val="clear" w:color="auto" w:fill="8DB3E2" w:themeFill="text2" w:themeFillTint="66"/>
          </w:tcPr>
          <w:p w14:paraId="45F71A8F" w14:textId="2D1172EB" w:rsidR="009D4AE6" w:rsidRPr="00AC41E0" w:rsidRDefault="009D4AE6" w:rsidP="00673C9B">
            <w:pPr>
              <w:pStyle w:val="BodyText"/>
              <w:spacing w:after="0" w:line="240" w:lineRule="auto"/>
              <w:ind w:left="0"/>
              <w:jc w:val="center"/>
              <w:rPr>
                <w:rFonts w:cs="Arial"/>
                <w:sz w:val="20"/>
                <w:szCs w:val="20"/>
                <w:lang w:eastAsia="en-AU"/>
              </w:rPr>
            </w:pPr>
            <w:r w:rsidRPr="00AC41E0">
              <w:rPr>
                <w:rFonts w:cs="Arial"/>
                <w:sz w:val="20"/>
                <w:szCs w:val="20"/>
              </w:rPr>
              <w:t>Low</w:t>
            </w:r>
          </w:p>
        </w:tc>
      </w:tr>
      <w:tr w:rsidR="00AC2A8E" w:rsidRPr="00AC41E0" w14:paraId="0F5CCDC4" w14:textId="77777777" w:rsidTr="00110CB8">
        <w:tc>
          <w:tcPr>
            <w:tcW w:w="391" w:type="pct"/>
            <w:shd w:val="clear" w:color="auto" w:fill="17365D" w:themeFill="text2" w:themeFillShade="BF"/>
          </w:tcPr>
          <w:p w14:paraId="6F7D972B" w14:textId="35F0667C" w:rsidR="009D4AE6" w:rsidRPr="00AC41E0" w:rsidRDefault="000755D8" w:rsidP="00254CB1">
            <w:pPr>
              <w:pStyle w:val="BodyText"/>
              <w:spacing w:after="0" w:line="240" w:lineRule="auto"/>
              <w:ind w:left="0"/>
              <w:rPr>
                <w:rFonts w:cs="Arial"/>
                <w:b/>
                <w:sz w:val="19"/>
                <w:szCs w:val="19"/>
                <w:lang w:eastAsia="en-AU"/>
              </w:rPr>
            </w:pPr>
            <w:r w:rsidRPr="00AC41E0">
              <w:rPr>
                <w:rFonts w:cs="Arial"/>
                <w:b/>
                <w:sz w:val="19"/>
                <w:szCs w:val="19"/>
                <w:lang w:eastAsia="en-AU"/>
              </w:rPr>
              <w:t>Bandwidth</w:t>
            </w:r>
          </w:p>
        </w:tc>
        <w:tc>
          <w:tcPr>
            <w:tcW w:w="2587" w:type="pct"/>
            <w:gridSpan w:val="4"/>
            <w:shd w:val="clear" w:color="auto" w:fill="DBE5F1" w:themeFill="accent1" w:themeFillTint="33"/>
          </w:tcPr>
          <w:p w14:paraId="62CB638F" w14:textId="789F54CB" w:rsidR="009D4AE6" w:rsidRPr="00AC41E0" w:rsidRDefault="009D4AE6" w:rsidP="00673C9B">
            <w:pPr>
              <w:pStyle w:val="BodyText"/>
              <w:spacing w:after="0" w:line="240" w:lineRule="auto"/>
              <w:ind w:left="0"/>
              <w:jc w:val="center"/>
              <w:rPr>
                <w:rFonts w:cs="Arial"/>
                <w:sz w:val="20"/>
                <w:szCs w:val="20"/>
                <w:lang w:eastAsia="en-AU"/>
              </w:rPr>
            </w:pPr>
            <w:r w:rsidRPr="00AC41E0">
              <w:rPr>
                <w:rFonts w:cs="Arial"/>
                <w:sz w:val="20"/>
                <w:szCs w:val="20"/>
              </w:rPr>
              <w:t>Low</w:t>
            </w:r>
          </w:p>
        </w:tc>
        <w:tc>
          <w:tcPr>
            <w:tcW w:w="739" w:type="pct"/>
            <w:gridSpan w:val="2"/>
            <w:shd w:val="clear" w:color="auto" w:fill="C6D9F1" w:themeFill="text2" w:themeFillTint="33"/>
          </w:tcPr>
          <w:p w14:paraId="2FB74948" w14:textId="2DB9855F" w:rsidR="009D4AE6" w:rsidRPr="00AC41E0" w:rsidRDefault="009D4AE6" w:rsidP="00673C9B">
            <w:pPr>
              <w:pStyle w:val="BodyText"/>
              <w:spacing w:after="0" w:line="240" w:lineRule="auto"/>
              <w:ind w:left="0"/>
              <w:jc w:val="center"/>
              <w:rPr>
                <w:rFonts w:cs="Arial"/>
                <w:sz w:val="20"/>
                <w:szCs w:val="20"/>
                <w:lang w:eastAsia="en-AU"/>
              </w:rPr>
            </w:pPr>
            <w:r w:rsidRPr="00AC41E0">
              <w:rPr>
                <w:rFonts w:cs="Arial"/>
                <w:sz w:val="20"/>
                <w:szCs w:val="20"/>
              </w:rPr>
              <w:t>High</w:t>
            </w:r>
          </w:p>
        </w:tc>
        <w:tc>
          <w:tcPr>
            <w:tcW w:w="1283" w:type="pct"/>
            <w:gridSpan w:val="3"/>
            <w:shd w:val="clear" w:color="auto" w:fill="8DB3E2" w:themeFill="text2" w:themeFillTint="66"/>
          </w:tcPr>
          <w:p w14:paraId="740921EE" w14:textId="6D4FD66B" w:rsidR="009D4AE6" w:rsidRPr="00AC41E0" w:rsidRDefault="009D4AE6" w:rsidP="00673C9B">
            <w:pPr>
              <w:pStyle w:val="BodyText"/>
              <w:spacing w:after="0" w:line="240" w:lineRule="auto"/>
              <w:ind w:left="0"/>
              <w:jc w:val="center"/>
              <w:rPr>
                <w:rFonts w:cs="Arial"/>
                <w:sz w:val="20"/>
                <w:szCs w:val="20"/>
                <w:lang w:eastAsia="en-AU"/>
              </w:rPr>
            </w:pPr>
            <w:r w:rsidRPr="00AC41E0">
              <w:rPr>
                <w:rFonts w:cs="Arial"/>
                <w:sz w:val="20"/>
                <w:szCs w:val="20"/>
              </w:rPr>
              <w:t>High</w:t>
            </w:r>
          </w:p>
        </w:tc>
      </w:tr>
      <w:tr w:rsidR="008C1543" w:rsidRPr="00AC41E0" w14:paraId="6B37DC37" w14:textId="77777777" w:rsidTr="00110CB8">
        <w:tc>
          <w:tcPr>
            <w:tcW w:w="391" w:type="pct"/>
            <w:tcBorders>
              <w:bottom w:val="single" w:sz="4" w:space="0" w:color="auto"/>
            </w:tcBorders>
            <w:shd w:val="clear" w:color="auto" w:fill="17365D" w:themeFill="text2" w:themeFillShade="BF"/>
          </w:tcPr>
          <w:p w14:paraId="764E926B" w14:textId="6C564D40" w:rsidR="009D4AE6" w:rsidRPr="00AC41E0" w:rsidRDefault="00F2627A" w:rsidP="00254CB1">
            <w:pPr>
              <w:pStyle w:val="BodyText"/>
              <w:spacing w:after="0" w:line="240" w:lineRule="auto"/>
              <w:ind w:left="0"/>
              <w:rPr>
                <w:rFonts w:cs="Arial"/>
                <w:b/>
                <w:sz w:val="19"/>
                <w:szCs w:val="19"/>
                <w:lang w:eastAsia="en-AU"/>
              </w:rPr>
            </w:pPr>
            <w:r w:rsidRPr="00AC41E0">
              <w:rPr>
                <w:rFonts w:cs="Arial"/>
                <w:b/>
                <w:sz w:val="19"/>
                <w:szCs w:val="19"/>
                <w:lang w:eastAsia="en-AU"/>
              </w:rPr>
              <w:t>Power use</w:t>
            </w:r>
            <w:r w:rsidR="00ED6039" w:rsidRPr="00AC41E0">
              <w:rPr>
                <w:rFonts w:cs="Arial"/>
                <w:b/>
                <w:sz w:val="19"/>
                <w:szCs w:val="19"/>
                <w:lang w:eastAsia="en-AU"/>
              </w:rPr>
              <w:t xml:space="preserve"> </w:t>
            </w:r>
          </w:p>
        </w:tc>
        <w:tc>
          <w:tcPr>
            <w:tcW w:w="2587" w:type="pct"/>
            <w:gridSpan w:val="4"/>
            <w:shd w:val="clear" w:color="auto" w:fill="DBE5F1" w:themeFill="accent1" w:themeFillTint="33"/>
          </w:tcPr>
          <w:p w14:paraId="24DE92BF" w14:textId="79D6BEDF" w:rsidR="009D4AE6" w:rsidRPr="00AC41E0" w:rsidRDefault="009D4AE6" w:rsidP="00673C9B">
            <w:pPr>
              <w:pStyle w:val="BodyText"/>
              <w:spacing w:after="0" w:line="240" w:lineRule="auto"/>
              <w:ind w:left="0"/>
              <w:jc w:val="center"/>
              <w:rPr>
                <w:rFonts w:cs="Arial"/>
                <w:sz w:val="20"/>
                <w:szCs w:val="20"/>
                <w:lang w:eastAsia="en-AU"/>
              </w:rPr>
            </w:pPr>
            <w:r w:rsidRPr="00AC41E0">
              <w:rPr>
                <w:rFonts w:cs="Arial"/>
                <w:sz w:val="20"/>
                <w:szCs w:val="20"/>
              </w:rPr>
              <w:t>Low</w:t>
            </w:r>
          </w:p>
        </w:tc>
        <w:tc>
          <w:tcPr>
            <w:tcW w:w="739" w:type="pct"/>
            <w:gridSpan w:val="2"/>
            <w:shd w:val="clear" w:color="auto" w:fill="C6D9F1" w:themeFill="text2" w:themeFillTint="33"/>
          </w:tcPr>
          <w:p w14:paraId="09B07A03" w14:textId="12A532A5" w:rsidR="009D4AE6" w:rsidRPr="00AC41E0" w:rsidRDefault="009D4AE6" w:rsidP="00673C9B">
            <w:pPr>
              <w:pStyle w:val="BodyText"/>
              <w:spacing w:after="0" w:line="240" w:lineRule="auto"/>
              <w:ind w:left="0"/>
              <w:jc w:val="center"/>
              <w:rPr>
                <w:rFonts w:cs="Arial"/>
                <w:sz w:val="20"/>
                <w:szCs w:val="20"/>
                <w:lang w:eastAsia="en-AU"/>
              </w:rPr>
            </w:pPr>
            <w:r w:rsidRPr="00AC41E0">
              <w:rPr>
                <w:rFonts w:cs="Arial"/>
                <w:sz w:val="20"/>
                <w:szCs w:val="20"/>
              </w:rPr>
              <w:t>High</w:t>
            </w:r>
          </w:p>
        </w:tc>
        <w:tc>
          <w:tcPr>
            <w:tcW w:w="1283" w:type="pct"/>
            <w:gridSpan w:val="3"/>
            <w:shd w:val="clear" w:color="auto" w:fill="8DB3E2" w:themeFill="text2" w:themeFillTint="66"/>
          </w:tcPr>
          <w:p w14:paraId="384892CB" w14:textId="32B8D469" w:rsidR="009D4AE6" w:rsidRPr="00AC41E0" w:rsidRDefault="009D4AE6" w:rsidP="00673C9B">
            <w:pPr>
              <w:pStyle w:val="BodyText"/>
              <w:spacing w:after="0" w:line="240" w:lineRule="auto"/>
              <w:ind w:left="0"/>
              <w:jc w:val="center"/>
              <w:rPr>
                <w:rFonts w:cs="Arial"/>
                <w:sz w:val="20"/>
                <w:szCs w:val="20"/>
                <w:lang w:eastAsia="en-AU"/>
              </w:rPr>
            </w:pPr>
            <w:r w:rsidRPr="00AC41E0">
              <w:rPr>
                <w:rFonts w:cs="Arial"/>
                <w:sz w:val="20"/>
                <w:szCs w:val="20"/>
              </w:rPr>
              <w:t>Low</w:t>
            </w:r>
          </w:p>
        </w:tc>
      </w:tr>
      <w:tr w:rsidR="009B7E17" w:rsidRPr="00AC41E0" w14:paraId="3BCB8D6A" w14:textId="77777777" w:rsidTr="00110CB8">
        <w:tc>
          <w:tcPr>
            <w:tcW w:w="391" w:type="pct"/>
            <w:tcBorders>
              <w:top w:val="single" w:sz="4" w:space="0" w:color="auto"/>
              <w:left w:val="single" w:sz="4" w:space="0" w:color="auto"/>
              <w:bottom w:val="single" w:sz="4" w:space="0" w:color="auto"/>
              <w:right w:val="single" w:sz="4" w:space="0" w:color="auto"/>
            </w:tcBorders>
            <w:shd w:val="clear" w:color="auto" w:fill="17365D" w:themeFill="text2" w:themeFillShade="BF"/>
          </w:tcPr>
          <w:p w14:paraId="5908174D" w14:textId="0C90A4D0" w:rsidR="009D4AE6" w:rsidRPr="00AC41E0" w:rsidRDefault="009D4AE6" w:rsidP="00254CB1">
            <w:pPr>
              <w:pStyle w:val="BodyText"/>
              <w:spacing w:after="0" w:line="240" w:lineRule="auto"/>
              <w:ind w:left="0"/>
              <w:rPr>
                <w:rFonts w:cs="Arial"/>
                <w:b/>
                <w:sz w:val="19"/>
                <w:szCs w:val="19"/>
                <w:lang w:eastAsia="en-AU"/>
              </w:rPr>
            </w:pPr>
            <w:r w:rsidRPr="00AC41E0">
              <w:rPr>
                <w:rFonts w:cs="Arial"/>
                <w:b/>
                <w:sz w:val="19"/>
                <w:szCs w:val="19"/>
                <w:lang w:eastAsia="en-AU"/>
              </w:rPr>
              <w:t>Features</w:t>
            </w:r>
          </w:p>
        </w:tc>
        <w:tc>
          <w:tcPr>
            <w:tcW w:w="2587" w:type="pct"/>
            <w:gridSpan w:val="4"/>
            <w:tcBorders>
              <w:left w:val="single" w:sz="4" w:space="0" w:color="auto"/>
              <w:bottom w:val="single" w:sz="4" w:space="0" w:color="auto"/>
            </w:tcBorders>
            <w:shd w:val="clear" w:color="auto" w:fill="DBE5F1" w:themeFill="accent1" w:themeFillTint="33"/>
          </w:tcPr>
          <w:p w14:paraId="325EF18D" w14:textId="45DE7D6C" w:rsidR="009D4AE6" w:rsidRPr="00AC41E0" w:rsidRDefault="009D4AE6" w:rsidP="0003467D">
            <w:pPr>
              <w:pStyle w:val="BodyText"/>
              <w:numPr>
                <w:ilvl w:val="0"/>
                <w:numId w:val="32"/>
              </w:numPr>
              <w:spacing w:after="0" w:line="240" w:lineRule="auto"/>
              <w:rPr>
                <w:rFonts w:cs="Arial"/>
                <w:sz w:val="20"/>
                <w:szCs w:val="20"/>
              </w:rPr>
            </w:pPr>
            <w:r w:rsidRPr="00AC41E0">
              <w:rPr>
                <w:rFonts w:cs="Arial"/>
                <w:sz w:val="20"/>
                <w:szCs w:val="20"/>
              </w:rPr>
              <w:t xml:space="preserve">Suited to connected devices which require </w:t>
            </w:r>
            <w:r w:rsidR="00DF7122" w:rsidRPr="00AC41E0">
              <w:rPr>
                <w:rFonts w:cs="Arial"/>
                <w:sz w:val="20"/>
                <w:szCs w:val="20"/>
              </w:rPr>
              <w:t>long-</w:t>
            </w:r>
            <w:r w:rsidRPr="00AC41E0">
              <w:rPr>
                <w:rFonts w:cs="Arial"/>
                <w:sz w:val="20"/>
                <w:szCs w:val="20"/>
              </w:rPr>
              <w:t>range transmission, low power consumption, long battery life, e.g. industrial applications that require devices to continuously transmit small amounts of data over great distances for many years on a single battery</w:t>
            </w:r>
          </w:p>
          <w:p w14:paraId="2D2C3AED" w14:textId="77777777" w:rsidR="009D4AE6" w:rsidRPr="00AC41E0" w:rsidRDefault="009D4AE6" w:rsidP="0003467D">
            <w:pPr>
              <w:pStyle w:val="DCSbodytext"/>
              <w:numPr>
                <w:ilvl w:val="0"/>
                <w:numId w:val="32"/>
              </w:numPr>
              <w:spacing w:after="0" w:line="240" w:lineRule="auto"/>
              <w:rPr>
                <w:rFonts w:cs="Arial"/>
                <w:sz w:val="20"/>
                <w:szCs w:val="20"/>
              </w:rPr>
            </w:pPr>
            <w:r w:rsidRPr="00AC41E0">
              <w:rPr>
                <w:rFonts w:cs="Arial"/>
                <w:sz w:val="20"/>
                <w:szCs w:val="20"/>
              </w:rPr>
              <w:t>Suited to rural and remote locations</w:t>
            </w:r>
          </w:p>
          <w:p w14:paraId="14DD5304" w14:textId="77777777" w:rsidR="009D4AE6" w:rsidRPr="00AC41E0" w:rsidRDefault="009D4AE6" w:rsidP="0003467D">
            <w:pPr>
              <w:pStyle w:val="DCSbodytext"/>
              <w:numPr>
                <w:ilvl w:val="0"/>
                <w:numId w:val="32"/>
              </w:numPr>
              <w:spacing w:after="0" w:line="240" w:lineRule="auto"/>
              <w:rPr>
                <w:rFonts w:cs="Arial"/>
                <w:sz w:val="20"/>
                <w:szCs w:val="20"/>
              </w:rPr>
            </w:pPr>
            <w:r w:rsidRPr="00AC41E0">
              <w:rPr>
                <w:rFonts w:cs="Arial"/>
                <w:sz w:val="20"/>
                <w:szCs w:val="20"/>
              </w:rPr>
              <w:t>IoT applications include asset tracking, smart cities, agricultural and environmental monitoring and sensors</w:t>
            </w:r>
          </w:p>
          <w:p w14:paraId="25CE8177" w14:textId="45F07891" w:rsidR="009D4AE6" w:rsidRPr="00AC41E0" w:rsidRDefault="009D4AE6" w:rsidP="0003467D">
            <w:pPr>
              <w:pStyle w:val="BodyText"/>
              <w:numPr>
                <w:ilvl w:val="0"/>
                <w:numId w:val="36"/>
              </w:numPr>
              <w:spacing w:line="240" w:lineRule="auto"/>
              <w:rPr>
                <w:rFonts w:cs="Arial"/>
                <w:sz w:val="20"/>
                <w:szCs w:val="20"/>
                <w:lang w:eastAsia="en-AU"/>
              </w:rPr>
            </w:pPr>
            <w:r w:rsidRPr="00AC41E0">
              <w:rPr>
                <w:rFonts w:cs="Arial"/>
                <w:sz w:val="20"/>
                <w:szCs w:val="20"/>
              </w:rPr>
              <w:t>Not suited to applications requiring high data transmission</w:t>
            </w:r>
          </w:p>
        </w:tc>
        <w:tc>
          <w:tcPr>
            <w:tcW w:w="739" w:type="pct"/>
            <w:gridSpan w:val="2"/>
            <w:tcBorders>
              <w:bottom w:val="single" w:sz="4" w:space="0" w:color="auto"/>
            </w:tcBorders>
            <w:shd w:val="clear" w:color="auto" w:fill="C6D9F1" w:themeFill="text2" w:themeFillTint="33"/>
          </w:tcPr>
          <w:p w14:paraId="19A49F10" w14:textId="77777777" w:rsidR="009D4AE6" w:rsidRPr="00AC41E0" w:rsidRDefault="009D4AE6" w:rsidP="0003467D">
            <w:pPr>
              <w:pStyle w:val="BodyText"/>
              <w:numPr>
                <w:ilvl w:val="0"/>
                <w:numId w:val="33"/>
              </w:numPr>
              <w:spacing w:after="0" w:line="240" w:lineRule="auto"/>
              <w:ind w:left="357" w:hanging="357"/>
              <w:rPr>
                <w:rFonts w:cs="Arial"/>
                <w:sz w:val="20"/>
                <w:szCs w:val="20"/>
                <w:lang w:eastAsia="en-AU"/>
              </w:rPr>
            </w:pPr>
            <w:r w:rsidRPr="00AC41E0">
              <w:rPr>
                <w:rFonts w:cs="Arial"/>
                <w:sz w:val="20"/>
                <w:szCs w:val="20"/>
              </w:rPr>
              <w:t>Can transmit lots of data</w:t>
            </w:r>
          </w:p>
          <w:p w14:paraId="6F027A1D" w14:textId="36526FDA" w:rsidR="00193E99" w:rsidRPr="00AC41E0" w:rsidRDefault="0085530B" w:rsidP="0003467D">
            <w:pPr>
              <w:pStyle w:val="BodyText"/>
              <w:numPr>
                <w:ilvl w:val="0"/>
                <w:numId w:val="33"/>
              </w:numPr>
              <w:spacing w:after="0" w:line="240" w:lineRule="auto"/>
              <w:ind w:left="357" w:hanging="357"/>
              <w:rPr>
                <w:rFonts w:cs="Arial"/>
                <w:sz w:val="20"/>
                <w:szCs w:val="20"/>
                <w:lang w:eastAsia="en-AU"/>
              </w:rPr>
            </w:pPr>
            <w:r w:rsidRPr="00AC41E0">
              <w:rPr>
                <w:rFonts w:cs="Arial"/>
                <w:sz w:val="20"/>
                <w:szCs w:val="20"/>
                <w:lang w:eastAsia="en-AU"/>
              </w:rPr>
              <w:t>Can u</w:t>
            </w:r>
            <w:r w:rsidR="00193E99" w:rsidRPr="00AC41E0">
              <w:rPr>
                <w:rFonts w:cs="Arial"/>
                <w:sz w:val="20"/>
                <w:szCs w:val="20"/>
                <w:lang w:eastAsia="en-AU"/>
              </w:rPr>
              <w:t xml:space="preserve">se if </w:t>
            </w:r>
            <w:r w:rsidR="00DF7122" w:rsidRPr="00AC41E0">
              <w:rPr>
                <w:rFonts w:cs="Arial"/>
                <w:sz w:val="20"/>
                <w:szCs w:val="20"/>
                <w:lang w:eastAsia="en-AU"/>
              </w:rPr>
              <w:t xml:space="preserve">the </w:t>
            </w:r>
            <w:r w:rsidR="00193E99" w:rsidRPr="00AC41E0">
              <w:rPr>
                <w:rFonts w:cs="Arial"/>
                <w:sz w:val="20"/>
                <w:szCs w:val="20"/>
                <w:lang w:eastAsia="en-AU"/>
              </w:rPr>
              <w:t xml:space="preserve">device is </w:t>
            </w:r>
            <w:r w:rsidRPr="00AC41E0">
              <w:rPr>
                <w:rFonts w:cs="Arial"/>
                <w:sz w:val="20"/>
                <w:szCs w:val="20"/>
                <w:lang w:eastAsia="en-AU"/>
              </w:rPr>
              <w:t xml:space="preserve">in </w:t>
            </w:r>
            <w:r w:rsidR="00245885" w:rsidRPr="00AC41E0">
              <w:rPr>
                <w:rFonts w:cs="Arial"/>
                <w:sz w:val="20"/>
                <w:szCs w:val="20"/>
                <w:lang w:eastAsia="en-AU"/>
              </w:rPr>
              <w:t>cell tower range</w:t>
            </w:r>
          </w:p>
          <w:p w14:paraId="7E4972D1" w14:textId="037E64BD" w:rsidR="00193E99" w:rsidRPr="00AC41E0" w:rsidRDefault="00245885" w:rsidP="0003467D">
            <w:pPr>
              <w:pStyle w:val="BodyText"/>
              <w:numPr>
                <w:ilvl w:val="0"/>
                <w:numId w:val="35"/>
              </w:numPr>
              <w:spacing w:after="0" w:line="240" w:lineRule="auto"/>
              <w:rPr>
                <w:rFonts w:cs="Arial"/>
                <w:sz w:val="20"/>
                <w:szCs w:val="20"/>
                <w:lang w:eastAsia="en-AU"/>
              </w:rPr>
            </w:pPr>
            <w:r w:rsidRPr="00AC41E0">
              <w:rPr>
                <w:rFonts w:cs="Arial"/>
                <w:sz w:val="20"/>
                <w:szCs w:val="20"/>
                <w:lang w:eastAsia="en-AU"/>
              </w:rPr>
              <w:t>N</w:t>
            </w:r>
            <w:r w:rsidR="00193E99" w:rsidRPr="00AC41E0">
              <w:rPr>
                <w:rFonts w:cs="Arial"/>
                <w:sz w:val="20"/>
                <w:szCs w:val="20"/>
                <w:lang w:eastAsia="en-AU"/>
              </w:rPr>
              <w:t xml:space="preserve">ot ideal for </w:t>
            </w:r>
            <w:r w:rsidR="00DF7122" w:rsidRPr="00AC41E0">
              <w:rPr>
                <w:rFonts w:cs="Arial"/>
                <w:sz w:val="20"/>
                <w:szCs w:val="20"/>
                <w:lang w:eastAsia="en-AU"/>
              </w:rPr>
              <w:t>battery-</w:t>
            </w:r>
            <w:r w:rsidR="00193E99" w:rsidRPr="00AC41E0">
              <w:rPr>
                <w:rFonts w:cs="Arial"/>
                <w:sz w:val="20"/>
                <w:szCs w:val="20"/>
                <w:lang w:eastAsia="en-AU"/>
              </w:rPr>
              <w:t>powered IoT devices e.g. sensors</w:t>
            </w:r>
          </w:p>
        </w:tc>
        <w:tc>
          <w:tcPr>
            <w:tcW w:w="1283" w:type="pct"/>
            <w:gridSpan w:val="3"/>
            <w:tcBorders>
              <w:bottom w:val="single" w:sz="4" w:space="0" w:color="auto"/>
            </w:tcBorders>
            <w:shd w:val="clear" w:color="auto" w:fill="8DB3E2" w:themeFill="text2" w:themeFillTint="66"/>
          </w:tcPr>
          <w:p w14:paraId="4A2A55DC" w14:textId="5E75E2AD" w:rsidR="009D4AE6" w:rsidRPr="00AC41E0" w:rsidRDefault="009D4AE6" w:rsidP="0003467D">
            <w:pPr>
              <w:pStyle w:val="BodyText"/>
              <w:numPr>
                <w:ilvl w:val="0"/>
                <w:numId w:val="33"/>
              </w:numPr>
              <w:spacing w:after="0" w:line="240" w:lineRule="auto"/>
              <w:rPr>
                <w:rFonts w:cs="Arial"/>
                <w:sz w:val="20"/>
                <w:szCs w:val="20"/>
              </w:rPr>
            </w:pPr>
            <w:r w:rsidRPr="00AC41E0">
              <w:rPr>
                <w:rFonts w:cs="Arial"/>
                <w:sz w:val="20"/>
                <w:szCs w:val="20"/>
              </w:rPr>
              <w:t>IoT applications include consumer applications, building automation, in-house energy management</w:t>
            </w:r>
          </w:p>
          <w:p w14:paraId="72F86EAF" w14:textId="77777777" w:rsidR="00AA65D1" w:rsidRPr="00AC41E0" w:rsidRDefault="00AA65D1" w:rsidP="0003467D">
            <w:pPr>
              <w:pStyle w:val="BodyText"/>
              <w:numPr>
                <w:ilvl w:val="0"/>
                <w:numId w:val="34"/>
              </w:numPr>
              <w:spacing w:after="0" w:line="240" w:lineRule="auto"/>
              <w:rPr>
                <w:rFonts w:cs="Arial"/>
                <w:sz w:val="20"/>
                <w:szCs w:val="20"/>
              </w:rPr>
            </w:pPr>
            <w:r w:rsidRPr="00AC41E0">
              <w:rPr>
                <w:rFonts w:cs="Arial"/>
                <w:sz w:val="20"/>
                <w:szCs w:val="20"/>
              </w:rPr>
              <w:t>Low coverage, not scalable</w:t>
            </w:r>
          </w:p>
          <w:p w14:paraId="6B85EB40" w14:textId="3FBB3300" w:rsidR="00AA65D1" w:rsidRPr="00AC41E0" w:rsidRDefault="00AA65D1" w:rsidP="0003467D">
            <w:pPr>
              <w:pStyle w:val="BodyText"/>
              <w:numPr>
                <w:ilvl w:val="0"/>
                <w:numId w:val="34"/>
              </w:numPr>
              <w:spacing w:after="0" w:line="240" w:lineRule="auto"/>
              <w:rPr>
                <w:rFonts w:cs="Arial"/>
                <w:sz w:val="20"/>
                <w:szCs w:val="20"/>
              </w:rPr>
            </w:pPr>
            <w:r w:rsidRPr="00AC41E0">
              <w:rPr>
                <w:rFonts w:cs="Arial"/>
                <w:sz w:val="20"/>
                <w:szCs w:val="20"/>
              </w:rPr>
              <w:t>Wireless LANs may have licensing requirements</w:t>
            </w:r>
          </w:p>
          <w:p w14:paraId="366E537E" w14:textId="0CEF0F4B" w:rsidR="009D4AE6" w:rsidRPr="00AC41E0" w:rsidRDefault="009D4AE6" w:rsidP="00254CB1">
            <w:pPr>
              <w:pStyle w:val="BodyText"/>
              <w:spacing w:after="0" w:line="240" w:lineRule="auto"/>
              <w:ind w:left="0"/>
              <w:rPr>
                <w:rFonts w:cs="Arial"/>
                <w:sz w:val="20"/>
                <w:szCs w:val="20"/>
                <w:lang w:eastAsia="en-AU"/>
              </w:rPr>
            </w:pPr>
          </w:p>
        </w:tc>
      </w:tr>
      <w:tr w:rsidR="00776F36" w:rsidRPr="00AC41E0" w14:paraId="0A8703B0" w14:textId="77777777" w:rsidTr="00110CB8">
        <w:trPr>
          <w:trHeight w:val="5420"/>
        </w:trPr>
        <w:tc>
          <w:tcPr>
            <w:tcW w:w="391" w:type="pct"/>
            <w:tcBorders>
              <w:top w:val="single" w:sz="4" w:space="0" w:color="auto"/>
              <w:left w:val="single" w:sz="4" w:space="0" w:color="auto"/>
              <w:bottom w:val="single" w:sz="4" w:space="0" w:color="auto"/>
              <w:right w:val="single" w:sz="4" w:space="0" w:color="auto"/>
            </w:tcBorders>
            <w:shd w:val="clear" w:color="auto" w:fill="17365D" w:themeFill="text2" w:themeFillShade="BF"/>
          </w:tcPr>
          <w:p w14:paraId="0AFCE1CB" w14:textId="75654FAF" w:rsidR="00335ED9" w:rsidRPr="00AC41E0" w:rsidRDefault="00335ED9" w:rsidP="00254CB1">
            <w:pPr>
              <w:pStyle w:val="BodyText"/>
              <w:spacing w:after="0" w:line="240" w:lineRule="auto"/>
              <w:ind w:left="0"/>
              <w:rPr>
                <w:rFonts w:cs="Arial"/>
                <w:b/>
                <w:sz w:val="19"/>
                <w:szCs w:val="19"/>
                <w:lang w:eastAsia="en-AU"/>
              </w:rPr>
            </w:pPr>
            <w:r w:rsidRPr="00AC41E0">
              <w:rPr>
                <w:rFonts w:cs="Arial"/>
                <w:b/>
                <w:sz w:val="19"/>
                <w:szCs w:val="19"/>
                <w:lang w:eastAsia="en-AU"/>
              </w:rPr>
              <w:t>Examples</w:t>
            </w:r>
          </w:p>
        </w:tc>
        <w:tc>
          <w:tcPr>
            <w:tcW w:w="692" w:type="pct"/>
            <w:tcBorders>
              <w:left w:val="single" w:sz="4" w:space="0" w:color="auto"/>
              <w:bottom w:val="single" w:sz="4" w:space="0" w:color="auto"/>
            </w:tcBorders>
            <w:shd w:val="clear" w:color="auto" w:fill="DBE5F1" w:themeFill="accent1" w:themeFillTint="33"/>
          </w:tcPr>
          <w:p w14:paraId="5B32BC2F" w14:textId="4F5D89E1" w:rsidR="000C7F6F" w:rsidRPr="00AC41E0" w:rsidRDefault="00335ED9" w:rsidP="00437999">
            <w:pPr>
              <w:pStyle w:val="BodyText"/>
              <w:spacing w:after="0" w:line="240" w:lineRule="auto"/>
              <w:ind w:left="0"/>
              <w:rPr>
                <w:rFonts w:cs="Arial"/>
                <w:b/>
                <w:sz w:val="20"/>
                <w:szCs w:val="20"/>
                <w:lang w:eastAsia="en-AU"/>
              </w:rPr>
            </w:pPr>
            <w:r w:rsidRPr="00AC41E0">
              <w:rPr>
                <w:rFonts w:cs="Arial"/>
                <w:b/>
                <w:sz w:val="20"/>
                <w:szCs w:val="20"/>
                <w:lang w:eastAsia="en-AU"/>
              </w:rPr>
              <w:t>Sigfox</w:t>
            </w:r>
          </w:p>
          <w:p w14:paraId="4AB7036A" w14:textId="77777777" w:rsidR="005361F0" w:rsidRPr="00AC41E0" w:rsidRDefault="005361F0" w:rsidP="000C7F6F">
            <w:pPr>
              <w:pStyle w:val="BodyText"/>
              <w:spacing w:after="0" w:line="240" w:lineRule="auto"/>
              <w:ind w:left="0"/>
              <w:rPr>
                <w:rFonts w:cs="Arial"/>
                <w:sz w:val="20"/>
                <w:szCs w:val="20"/>
                <w:lang w:eastAsia="en-AU"/>
              </w:rPr>
            </w:pPr>
          </w:p>
          <w:p w14:paraId="3A0D8B15" w14:textId="7BBADCD6" w:rsidR="00335ED9" w:rsidRPr="00AC41E0" w:rsidRDefault="00335ED9" w:rsidP="00110CB8">
            <w:pPr>
              <w:pStyle w:val="BodyText"/>
              <w:spacing w:after="0" w:line="240" w:lineRule="auto"/>
              <w:ind w:left="0"/>
              <w:rPr>
                <w:rFonts w:cs="Arial"/>
                <w:sz w:val="20"/>
                <w:szCs w:val="20"/>
                <w:lang w:eastAsia="en-AU"/>
              </w:rPr>
            </w:pPr>
            <w:r w:rsidRPr="00AC41E0">
              <w:rPr>
                <w:rFonts w:cs="Arial"/>
                <w:sz w:val="20"/>
                <w:szCs w:val="20"/>
                <w:lang w:eastAsia="en-AU"/>
              </w:rPr>
              <w:t>Proprietary technology: Devices must be registered on the Sigfox portal and a subscription fee paid. Thinxtra manages the network in Australia.</w:t>
            </w:r>
          </w:p>
          <w:p w14:paraId="349D77CD" w14:textId="77777777" w:rsidR="00335ED9" w:rsidRPr="00AC41E0" w:rsidRDefault="00335ED9" w:rsidP="00294E40">
            <w:pPr>
              <w:pStyle w:val="BodyText"/>
              <w:spacing w:line="240" w:lineRule="auto"/>
              <w:ind w:left="0"/>
              <w:rPr>
                <w:rFonts w:cs="Arial"/>
                <w:sz w:val="20"/>
                <w:szCs w:val="20"/>
                <w:lang w:eastAsia="en-AU"/>
              </w:rPr>
            </w:pPr>
            <w:r w:rsidRPr="00AC41E0">
              <w:rPr>
                <w:rFonts w:cs="Arial"/>
                <w:sz w:val="20"/>
                <w:szCs w:val="20"/>
                <w:lang w:eastAsia="en-AU"/>
              </w:rPr>
              <w:t>Sigfox is also an end-to-end service where the functions and features available are those determined by Sigfox. Not ideal if device control is necessary.</w:t>
            </w:r>
          </w:p>
          <w:p w14:paraId="226EEAC3" w14:textId="1809BEC7" w:rsidR="00335ED9" w:rsidRPr="00AC41E0" w:rsidRDefault="00335ED9" w:rsidP="00294E40">
            <w:pPr>
              <w:pStyle w:val="BodyText"/>
              <w:spacing w:after="0" w:line="240" w:lineRule="auto"/>
              <w:ind w:left="0"/>
              <w:rPr>
                <w:rFonts w:cs="Arial"/>
                <w:b/>
                <w:sz w:val="20"/>
                <w:szCs w:val="20"/>
                <w:lang w:eastAsia="en-AU"/>
              </w:rPr>
            </w:pPr>
            <w:r w:rsidRPr="00AC41E0">
              <w:rPr>
                <w:rFonts w:cs="Arial"/>
                <w:sz w:val="20"/>
                <w:szCs w:val="20"/>
                <w:lang w:eastAsia="en-AU"/>
              </w:rPr>
              <w:t>Devices should be certified RCZ4 (ANATEL 506, AS/NZS 4268) for use in Australia.</w:t>
            </w:r>
          </w:p>
        </w:tc>
        <w:tc>
          <w:tcPr>
            <w:tcW w:w="666" w:type="pct"/>
            <w:shd w:val="clear" w:color="auto" w:fill="DBE5F1" w:themeFill="accent1" w:themeFillTint="33"/>
          </w:tcPr>
          <w:p w14:paraId="12C09FA6" w14:textId="527F5587" w:rsidR="00335ED9" w:rsidRPr="00AC41E0" w:rsidRDefault="00335ED9" w:rsidP="00437999">
            <w:pPr>
              <w:pStyle w:val="BodyText"/>
              <w:spacing w:after="0" w:line="240" w:lineRule="auto"/>
              <w:ind w:left="0"/>
              <w:rPr>
                <w:rFonts w:cs="Arial"/>
                <w:b/>
                <w:sz w:val="20"/>
                <w:szCs w:val="20"/>
                <w:lang w:eastAsia="en-AU"/>
              </w:rPr>
            </w:pPr>
            <w:r w:rsidRPr="00AC41E0">
              <w:rPr>
                <w:rFonts w:cs="Arial"/>
                <w:b/>
                <w:sz w:val="20"/>
                <w:szCs w:val="20"/>
                <w:lang w:eastAsia="en-AU"/>
              </w:rPr>
              <w:t>LoRaWAN</w:t>
            </w:r>
          </w:p>
          <w:p w14:paraId="5784B8E7" w14:textId="77777777" w:rsidR="00335ED9" w:rsidRPr="00AC41E0" w:rsidRDefault="00335ED9" w:rsidP="00437999">
            <w:pPr>
              <w:pStyle w:val="BodyText"/>
              <w:spacing w:after="0" w:line="240" w:lineRule="auto"/>
              <w:ind w:left="0"/>
              <w:rPr>
                <w:rFonts w:cs="Arial"/>
                <w:b/>
                <w:sz w:val="20"/>
                <w:szCs w:val="20"/>
                <w:lang w:eastAsia="en-AU"/>
              </w:rPr>
            </w:pPr>
          </w:p>
          <w:p w14:paraId="02B957FC" w14:textId="77777777" w:rsidR="00335ED9" w:rsidRPr="00AC41E0" w:rsidRDefault="00335ED9" w:rsidP="00294E40">
            <w:pPr>
              <w:pStyle w:val="BodyText"/>
              <w:spacing w:line="240" w:lineRule="auto"/>
              <w:ind w:left="0"/>
              <w:rPr>
                <w:rFonts w:cs="Arial"/>
                <w:sz w:val="20"/>
                <w:szCs w:val="20"/>
                <w:lang w:eastAsia="en-AU"/>
              </w:rPr>
            </w:pPr>
            <w:r w:rsidRPr="00AC41E0">
              <w:rPr>
                <w:rFonts w:cs="Arial"/>
                <w:sz w:val="20"/>
                <w:szCs w:val="20"/>
                <w:lang w:eastAsia="en-AU"/>
              </w:rPr>
              <w:t xml:space="preserve">LoRaWAN is an open standard. Users can manufacture LoRaWAN base stations and devices add their own gateways to the network, and/or install and operate a LoRaWAN network for free. </w:t>
            </w:r>
          </w:p>
          <w:p w14:paraId="1B710643" w14:textId="77777777" w:rsidR="00335ED9" w:rsidRPr="00AC41E0" w:rsidRDefault="00335ED9" w:rsidP="00294E40">
            <w:pPr>
              <w:pStyle w:val="BodyText"/>
              <w:spacing w:line="240" w:lineRule="auto"/>
              <w:ind w:left="0"/>
              <w:rPr>
                <w:rFonts w:cs="Arial"/>
                <w:sz w:val="20"/>
                <w:szCs w:val="20"/>
                <w:lang w:eastAsia="en-AU"/>
              </w:rPr>
            </w:pPr>
            <w:r w:rsidRPr="00AC41E0">
              <w:rPr>
                <w:rFonts w:cs="Arial"/>
                <w:sz w:val="20"/>
                <w:szCs w:val="20"/>
                <w:lang w:eastAsia="en-AU"/>
              </w:rPr>
              <w:t>Network can be public (e.g. NNNCo is Australia’s LoRaWAN network operator) or users can build and operate a private LoRaWAN network.</w:t>
            </w:r>
          </w:p>
          <w:p w14:paraId="1430EF4B" w14:textId="5A09F628" w:rsidR="00335ED9" w:rsidRPr="00AC41E0" w:rsidRDefault="00335ED9" w:rsidP="00294E40">
            <w:pPr>
              <w:pStyle w:val="BodyText"/>
              <w:spacing w:after="0" w:line="240" w:lineRule="auto"/>
              <w:ind w:left="0"/>
              <w:rPr>
                <w:rFonts w:cs="Arial"/>
                <w:b/>
                <w:sz w:val="20"/>
                <w:szCs w:val="20"/>
                <w:lang w:eastAsia="en-AU"/>
              </w:rPr>
            </w:pPr>
            <w:r w:rsidRPr="00AC41E0">
              <w:rPr>
                <w:rFonts w:cs="Arial"/>
                <w:sz w:val="20"/>
                <w:szCs w:val="20"/>
                <w:lang w:eastAsia="en-AU"/>
              </w:rPr>
              <w:t>In Australia, AU915 or AS923 band plans are supported.</w:t>
            </w:r>
          </w:p>
        </w:tc>
        <w:tc>
          <w:tcPr>
            <w:tcW w:w="614" w:type="pct"/>
            <w:shd w:val="clear" w:color="auto" w:fill="DBE5F1" w:themeFill="accent1" w:themeFillTint="33"/>
          </w:tcPr>
          <w:p w14:paraId="3B95A86F" w14:textId="19B65634" w:rsidR="00335ED9" w:rsidRPr="00AC41E0" w:rsidRDefault="00335ED9" w:rsidP="00437999">
            <w:pPr>
              <w:pStyle w:val="BodyText"/>
              <w:spacing w:after="0" w:line="240" w:lineRule="auto"/>
              <w:ind w:left="0"/>
              <w:rPr>
                <w:rFonts w:cs="Arial"/>
                <w:b/>
                <w:sz w:val="20"/>
                <w:szCs w:val="20"/>
                <w:lang w:eastAsia="en-AU"/>
              </w:rPr>
            </w:pPr>
            <w:r w:rsidRPr="00AC41E0">
              <w:rPr>
                <w:rFonts w:cs="Arial"/>
                <w:b/>
                <w:sz w:val="20"/>
                <w:szCs w:val="20"/>
                <w:lang w:eastAsia="en-AU"/>
              </w:rPr>
              <w:t>Narrowband IoT (NB-IoT)</w:t>
            </w:r>
          </w:p>
          <w:p w14:paraId="0315CC08" w14:textId="77777777" w:rsidR="00335ED9" w:rsidRPr="00AC41E0" w:rsidRDefault="00335ED9" w:rsidP="00437999">
            <w:pPr>
              <w:pStyle w:val="BodyText"/>
              <w:spacing w:after="0" w:line="240" w:lineRule="auto"/>
              <w:ind w:left="0"/>
              <w:rPr>
                <w:rFonts w:cs="Arial"/>
                <w:b/>
                <w:sz w:val="20"/>
                <w:szCs w:val="20"/>
                <w:lang w:eastAsia="en-AU"/>
              </w:rPr>
            </w:pPr>
          </w:p>
          <w:p w14:paraId="776B7BB1" w14:textId="77777777" w:rsidR="00335ED9" w:rsidRPr="00AC41E0" w:rsidRDefault="00335ED9" w:rsidP="00294E40">
            <w:pPr>
              <w:pStyle w:val="BodyText"/>
              <w:spacing w:line="240" w:lineRule="auto"/>
              <w:ind w:left="0"/>
              <w:rPr>
                <w:rFonts w:cs="Arial"/>
                <w:sz w:val="20"/>
                <w:szCs w:val="20"/>
                <w:lang w:eastAsia="en-AU"/>
              </w:rPr>
            </w:pPr>
            <w:r w:rsidRPr="00AC41E0">
              <w:rPr>
                <w:rFonts w:cs="Arial"/>
                <w:sz w:val="20"/>
                <w:szCs w:val="20"/>
                <w:lang w:eastAsia="en-AU"/>
              </w:rPr>
              <w:t>Extended coverage via existing cellular networks. Managed by major telecommunications carriers: Telstra, Optus, Vodafone. Carriers have control of the devices that use their spectrum.</w:t>
            </w:r>
          </w:p>
          <w:p w14:paraId="71753F8A" w14:textId="77777777" w:rsidR="00335ED9" w:rsidRPr="00AC41E0" w:rsidRDefault="00335ED9" w:rsidP="00294E40">
            <w:pPr>
              <w:pStyle w:val="BodyText"/>
              <w:spacing w:line="240" w:lineRule="auto"/>
              <w:ind w:left="0"/>
              <w:rPr>
                <w:rFonts w:cs="Arial"/>
                <w:sz w:val="20"/>
                <w:szCs w:val="20"/>
                <w:lang w:eastAsia="en-AU"/>
              </w:rPr>
            </w:pPr>
            <w:r w:rsidRPr="00AC41E0">
              <w:rPr>
                <w:rFonts w:cs="Arial"/>
                <w:sz w:val="20"/>
                <w:szCs w:val="20"/>
                <w:lang w:eastAsia="en-AU"/>
              </w:rPr>
              <w:t>Suited to very low data rate applications in extremely challenging radio conditions.</w:t>
            </w:r>
          </w:p>
          <w:p w14:paraId="3458C96B" w14:textId="3A139648" w:rsidR="00335ED9" w:rsidRPr="00AC41E0" w:rsidRDefault="00335ED9" w:rsidP="00294E40">
            <w:pPr>
              <w:pStyle w:val="BodyText"/>
              <w:spacing w:after="0" w:line="240" w:lineRule="auto"/>
              <w:ind w:left="0"/>
              <w:rPr>
                <w:rFonts w:cs="Arial"/>
                <w:b/>
                <w:sz w:val="20"/>
                <w:szCs w:val="20"/>
                <w:lang w:eastAsia="en-AU"/>
              </w:rPr>
            </w:pPr>
            <w:r w:rsidRPr="00AC41E0">
              <w:rPr>
                <w:rFonts w:cs="Arial"/>
                <w:sz w:val="20"/>
                <w:szCs w:val="20"/>
                <w:lang w:eastAsia="en-AU"/>
              </w:rPr>
              <w:t>Less expensive than Cat-M1.</w:t>
            </w:r>
          </w:p>
        </w:tc>
        <w:tc>
          <w:tcPr>
            <w:tcW w:w="615" w:type="pct"/>
            <w:shd w:val="clear" w:color="auto" w:fill="DBE5F1" w:themeFill="accent1" w:themeFillTint="33"/>
          </w:tcPr>
          <w:p w14:paraId="293FEC3E" w14:textId="7640F8CA" w:rsidR="00335ED9" w:rsidRPr="00AC41E0" w:rsidRDefault="00335ED9" w:rsidP="00437999">
            <w:pPr>
              <w:pStyle w:val="BodyText"/>
              <w:spacing w:after="0" w:line="240" w:lineRule="auto"/>
              <w:ind w:left="0"/>
              <w:rPr>
                <w:rFonts w:cs="Arial"/>
                <w:b/>
                <w:sz w:val="20"/>
                <w:szCs w:val="20"/>
                <w:lang w:eastAsia="en-AU"/>
              </w:rPr>
            </w:pPr>
            <w:r w:rsidRPr="00AC41E0">
              <w:rPr>
                <w:rFonts w:cs="Arial"/>
                <w:b/>
                <w:sz w:val="20"/>
                <w:szCs w:val="20"/>
                <w:lang w:eastAsia="en-AU"/>
              </w:rPr>
              <w:t>LTE Cat-M1</w:t>
            </w:r>
          </w:p>
          <w:p w14:paraId="35954BD5" w14:textId="77777777" w:rsidR="00335ED9" w:rsidRPr="00AC41E0" w:rsidRDefault="00335ED9" w:rsidP="00437999">
            <w:pPr>
              <w:pStyle w:val="BodyText"/>
              <w:spacing w:after="0" w:line="240" w:lineRule="auto"/>
              <w:ind w:left="0"/>
              <w:rPr>
                <w:rFonts w:cs="Arial"/>
                <w:b/>
                <w:sz w:val="20"/>
                <w:szCs w:val="20"/>
                <w:lang w:eastAsia="en-AU"/>
              </w:rPr>
            </w:pPr>
          </w:p>
          <w:p w14:paraId="1456CE75" w14:textId="77777777" w:rsidR="00335ED9" w:rsidRPr="00AC41E0" w:rsidRDefault="00335ED9" w:rsidP="00294E40">
            <w:pPr>
              <w:pStyle w:val="BodyText"/>
              <w:spacing w:line="240" w:lineRule="auto"/>
              <w:ind w:left="0"/>
              <w:rPr>
                <w:rFonts w:cs="Arial"/>
                <w:sz w:val="20"/>
                <w:szCs w:val="20"/>
                <w:lang w:eastAsia="en-AU"/>
              </w:rPr>
            </w:pPr>
            <w:r w:rsidRPr="00AC41E0">
              <w:rPr>
                <w:rFonts w:cs="Arial"/>
                <w:sz w:val="20"/>
                <w:szCs w:val="20"/>
                <w:lang w:eastAsia="en-AU"/>
              </w:rPr>
              <w:t>Extended coverage via existing cellular networks. Managed by major telecommunications carriers: Telstra, Optus, Vodafone. Carriers have control of the devices that use their spectrum.</w:t>
            </w:r>
          </w:p>
          <w:p w14:paraId="4D33D80D" w14:textId="613B205D" w:rsidR="00335ED9" w:rsidRPr="00AC41E0" w:rsidRDefault="00335ED9" w:rsidP="00294E40">
            <w:pPr>
              <w:pStyle w:val="BodyText"/>
              <w:spacing w:after="0" w:line="240" w:lineRule="auto"/>
              <w:ind w:left="0"/>
              <w:rPr>
                <w:rFonts w:cs="Arial"/>
                <w:b/>
                <w:sz w:val="20"/>
                <w:szCs w:val="20"/>
                <w:lang w:eastAsia="en-AU"/>
              </w:rPr>
            </w:pPr>
            <w:r w:rsidRPr="00AC41E0">
              <w:rPr>
                <w:rFonts w:cs="Arial"/>
                <w:sz w:val="20"/>
                <w:szCs w:val="20"/>
                <w:lang w:eastAsia="en-AU"/>
              </w:rPr>
              <w:t>Higher data transmission without interruptions and more accurate device positioning than NB-IoT. Good for sensors on moving devices.</w:t>
            </w:r>
          </w:p>
        </w:tc>
        <w:tc>
          <w:tcPr>
            <w:tcW w:w="399" w:type="pct"/>
            <w:shd w:val="clear" w:color="auto" w:fill="C6D9F1" w:themeFill="text2" w:themeFillTint="33"/>
          </w:tcPr>
          <w:p w14:paraId="75F129DF" w14:textId="75A9BE93" w:rsidR="00335ED9" w:rsidRPr="00AC41E0" w:rsidRDefault="00335ED9" w:rsidP="00437999">
            <w:pPr>
              <w:pStyle w:val="BodyText"/>
              <w:spacing w:after="0" w:line="240" w:lineRule="auto"/>
              <w:ind w:left="0"/>
              <w:rPr>
                <w:rFonts w:cs="Arial"/>
                <w:b/>
                <w:sz w:val="20"/>
                <w:szCs w:val="20"/>
                <w:lang w:eastAsia="en-AU"/>
              </w:rPr>
            </w:pPr>
            <w:r w:rsidRPr="00AC41E0">
              <w:rPr>
                <w:rFonts w:cs="Arial"/>
                <w:b/>
                <w:sz w:val="20"/>
                <w:szCs w:val="20"/>
                <w:lang w:eastAsia="en-AU"/>
              </w:rPr>
              <w:t>4g</w:t>
            </w:r>
          </w:p>
          <w:p w14:paraId="0C00F196" w14:textId="77777777" w:rsidR="000C7F6F" w:rsidRPr="00AC41E0" w:rsidRDefault="000C7F6F" w:rsidP="00437999">
            <w:pPr>
              <w:pStyle w:val="BodyText"/>
              <w:spacing w:after="0" w:line="240" w:lineRule="auto"/>
              <w:ind w:left="0"/>
              <w:rPr>
                <w:rFonts w:cs="Arial"/>
                <w:b/>
                <w:sz w:val="20"/>
                <w:szCs w:val="20"/>
                <w:lang w:eastAsia="en-AU"/>
              </w:rPr>
            </w:pPr>
          </w:p>
          <w:p w14:paraId="58F43DD1" w14:textId="3FE0376A" w:rsidR="00335ED9" w:rsidRPr="00AC41E0" w:rsidRDefault="00335ED9" w:rsidP="00294E40">
            <w:pPr>
              <w:pStyle w:val="BodyText"/>
              <w:spacing w:after="0" w:line="240" w:lineRule="auto"/>
              <w:ind w:left="0"/>
              <w:rPr>
                <w:rFonts w:cs="Arial"/>
                <w:b/>
                <w:sz w:val="20"/>
                <w:szCs w:val="20"/>
                <w:lang w:eastAsia="en-AU"/>
              </w:rPr>
            </w:pPr>
            <w:r w:rsidRPr="00AC41E0">
              <w:rPr>
                <w:rFonts w:cs="Arial"/>
                <w:sz w:val="20"/>
                <w:szCs w:val="20"/>
                <w:lang w:eastAsia="en-AU"/>
              </w:rPr>
              <w:t>Useful for high-bandwidth applications where there is a direct power source (or regular battery charging), limited number of devices, in populated areas.</w:t>
            </w:r>
          </w:p>
        </w:tc>
        <w:tc>
          <w:tcPr>
            <w:tcW w:w="340" w:type="pct"/>
            <w:shd w:val="clear" w:color="auto" w:fill="C6D9F1" w:themeFill="text2" w:themeFillTint="33"/>
          </w:tcPr>
          <w:p w14:paraId="084A9F62" w14:textId="7C5DD5AE" w:rsidR="00335ED9" w:rsidRPr="00AC41E0" w:rsidRDefault="00335ED9" w:rsidP="00437999">
            <w:pPr>
              <w:pStyle w:val="BodyText"/>
              <w:spacing w:after="0" w:line="240" w:lineRule="auto"/>
              <w:ind w:left="0"/>
              <w:rPr>
                <w:rFonts w:cs="Arial"/>
                <w:b/>
                <w:sz w:val="20"/>
                <w:szCs w:val="20"/>
                <w:lang w:eastAsia="en-AU"/>
              </w:rPr>
            </w:pPr>
            <w:r w:rsidRPr="00AC41E0">
              <w:rPr>
                <w:rFonts w:cs="Arial"/>
                <w:b/>
                <w:sz w:val="20"/>
                <w:szCs w:val="20"/>
                <w:lang w:eastAsia="en-AU"/>
              </w:rPr>
              <w:t>5G</w:t>
            </w:r>
          </w:p>
          <w:p w14:paraId="36DB7371" w14:textId="77777777" w:rsidR="000C7F6F" w:rsidRPr="00AC41E0" w:rsidRDefault="000C7F6F" w:rsidP="00437999">
            <w:pPr>
              <w:pStyle w:val="BodyText"/>
              <w:spacing w:after="0" w:line="240" w:lineRule="auto"/>
              <w:ind w:left="0"/>
              <w:rPr>
                <w:rFonts w:cs="Arial"/>
                <w:b/>
                <w:sz w:val="20"/>
                <w:szCs w:val="20"/>
                <w:lang w:eastAsia="en-AU"/>
              </w:rPr>
            </w:pPr>
          </w:p>
          <w:p w14:paraId="31D11AD7" w14:textId="77777777" w:rsidR="00335ED9" w:rsidRPr="00AC41E0" w:rsidRDefault="00335ED9" w:rsidP="00294E40">
            <w:pPr>
              <w:pStyle w:val="BodyText"/>
              <w:spacing w:line="240" w:lineRule="auto"/>
              <w:ind w:left="0"/>
              <w:rPr>
                <w:rFonts w:cs="Arial"/>
                <w:sz w:val="20"/>
                <w:szCs w:val="20"/>
                <w:lang w:eastAsia="en-AU"/>
              </w:rPr>
            </w:pPr>
            <w:r w:rsidRPr="00AC41E0">
              <w:rPr>
                <w:rFonts w:cs="Arial"/>
                <w:sz w:val="20"/>
                <w:szCs w:val="20"/>
                <w:lang w:eastAsia="en-AU"/>
              </w:rPr>
              <w:t xml:space="preserve">5G coverage across NSW is limited, not yet available in regional areas. </w:t>
            </w:r>
          </w:p>
          <w:p w14:paraId="2CF465A0" w14:textId="7A00FF3F" w:rsidR="00335ED9" w:rsidRPr="00AC41E0" w:rsidRDefault="00335ED9" w:rsidP="00294E40">
            <w:pPr>
              <w:pStyle w:val="BodyText"/>
              <w:spacing w:after="0" w:line="240" w:lineRule="auto"/>
              <w:ind w:left="0"/>
              <w:rPr>
                <w:rFonts w:cs="Arial"/>
                <w:b/>
                <w:sz w:val="20"/>
                <w:szCs w:val="20"/>
                <w:lang w:eastAsia="en-AU"/>
              </w:rPr>
            </w:pPr>
            <w:r w:rsidRPr="00AC41E0">
              <w:rPr>
                <w:rFonts w:cs="Arial"/>
                <w:sz w:val="20"/>
                <w:szCs w:val="20"/>
                <w:lang w:eastAsia="en-AU"/>
              </w:rPr>
              <w:t>Currently delivered by Telstra.  Optus and Vodafone are set to follow.</w:t>
            </w:r>
          </w:p>
        </w:tc>
        <w:tc>
          <w:tcPr>
            <w:tcW w:w="418" w:type="pct"/>
            <w:shd w:val="clear" w:color="auto" w:fill="8DB3E2" w:themeFill="text2" w:themeFillTint="66"/>
          </w:tcPr>
          <w:p w14:paraId="59CC041A" w14:textId="1BE87A03" w:rsidR="00335ED9" w:rsidRPr="00AC41E0" w:rsidRDefault="00335ED9" w:rsidP="00437999">
            <w:pPr>
              <w:pStyle w:val="BodyText"/>
              <w:spacing w:after="0" w:line="240" w:lineRule="auto"/>
              <w:ind w:left="0"/>
              <w:rPr>
                <w:rFonts w:cs="Arial"/>
                <w:b/>
                <w:sz w:val="20"/>
                <w:szCs w:val="20"/>
                <w:lang w:eastAsia="en-AU"/>
              </w:rPr>
            </w:pPr>
            <w:r w:rsidRPr="00AC41E0">
              <w:rPr>
                <w:rFonts w:cs="Arial"/>
                <w:b/>
                <w:sz w:val="20"/>
                <w:szCs w:val="20"/>
                <w:lang w:eastAsia="en-AU"/>
              </w:rPr>
              <w:t>ZigBee</w:t>
            </w:r>
          </w:p>
          <w:p w14:paraId="409D9543" w14:textId="77777777" w:rsidR="000C7F6F" w:rsidRPr="00AC41E0" w:rsidRDefault="000C7F6F" w:rsidP="00437999">
            <w:pPr>
              <w:pStyle w:val="BodyText"/>
              <w:spacing w:after="0" w:line="240" w:lineRule="auto"/>
              <w:ind w:left="0"/>
              <w:rPr>
                <w:rFonts w:cs="Arial"/>
                <w:b/>
                <w:sz w:val="20"/>
                <w:szCs w:val="20"/>
                <w:lang w:eastAsia="en-AU"/>
              </w:rPr>
            </w:pPr>
          </w:p>
          <w:p w14:paraId="02C63144" w14:textId="0CF0C1FC" w:rsidR="00335ED9" w:rsidRPr="00AC41E0" w:rsidRDefault="00335ED9" w:rsidP="00294E40">
            <w:pPr>
              <w:pStyle w:val="BodyText"/>
              <w:spacing w:line="240" w:lineRule="auto"/>
              <w:ind w:left="0"/>
              <w:rPr>
                <w:rFonts w:cs="Arial"/>
                <w:sz w:val="20"/>
                <w:szCs w:val="20"/>
                <w:lang w:eastAsia="en-AU"/>
              </w:rPr>
            </w:pPr>
            <w:r w:rsidRPr="00AC41E0">
              <w:rPr>
                <w:rFonts w:cs="Arial"/>
                <w:sz w:val="20"/>
                <w:szCs w:val="20"/>
                <w:lang w:eastAsia="en-AU"/>
              </w:rPr>
              <w:t xml:space="preserve">Compared to </w:t>
            </w:r>
            <w:r w:rsidR="00C165E2" w:rsidRPr="00AC41E0">
              <w:rPr>
                <w:rFonts w:cs="Arial"/>
                <w:sz w:val="20"/>
                <w:szCs w:val="20"/>
                <w:lang w:eastAsia="en-AU"/>
              </w:rPr>
              <w:t>Wi-Fi</w:t>
            </w:r>
            <w:r w:rsidRPr="00AC41E0">
              <w:rPr>
                <w:rFonts w:cs="Arial"/>
                <w:sz w:val="20"/>
                <w:szCs w:val="20"/>
                <w:lang w:eastAsia="en-AU"/>
              </w:rPr>
              <w:t xml:space="preserve">, lower power consumption but also slower.  </w:t>
            </w:r>
          </w:p>
          <w:p w14:paraId="36EB77C7" w14:textId="085CACB0" w:rsidR="00335ED9" w:rsidRPr="00AC41E0" w:rsidRDefault="00335ED9" w:rsidP="00294E40">
            <w:pPr>
              <w:pStyle w:val="BodyText"/>
              <w:spacing w:after="0" w:line="240" w:lineRule="auto"/>
              <w:ind w:left="0"/>
              <w:rPr>
                <w:rFonts w:cs="Arial"/>
                <w:b/>
                <w:sz w:val="20"/>
                <w:szCs w:val="20"/>
                <w:lang w:eastAsia="en-AU"/>
              </w:rPr>
            </w:pPr>
            <w:r w:rsidRPr="00AC41E0">
              <w:rPr>
                <w:rFonts w:cs="Arial"/>
                <w:sz w:val="20"/>
                <w:szCs w:val="20"/>
                <w:lang w:eastAsia="en-AU"/>
              </w:rPr>
              <w:t>ZigBee is often controlled by a specialised device rather than via smartphone.</w:t>
            </w:r>
          </w:p>
        </w:tc>
        <w:tc>
          <w:tcPr>
            <w:tcW w:w="427" w:type="pct"/>
            <w:shd w:val="clear" w:color="auto" w:fill="8DB3E2" w:themeFill="text2" w:themeFillTint="66"/>
          </w:tcPr>
          <w:p w14:paraId="6DBBE621" w14:textId="0B4E9B72" w:rsidR="00335ED9" w:rsidRPr="00AC41E0" w:rsidRDefault="00C165E2" w:rsidP="00437999">
            <w:pPr>
              <w:pStyle w:val="BodyText"/>
              <w:spacing w:after="0" w:line="240" w:lineRule="auto"/>
              <w:ind w:left="0"/>
              <w:rPr>
                <w:rFonts w:cs="Arial"/>
                <w:b/>
                <w:sz w:val="20"/>
                <w:szCs w:val="20"/>
                <w:lang w:eastAsia="en-AU"/>
              </w:rPr>
            </w:pPr>
            <w:r w:rsidRPr="00AC41E0">
              <w:rPr>
                <w:rFonts w:cs="Arial"/>
                <w:b/>
                <w:sz w:val="20"/>
                <w:szCs w:val="20"/>
                <w:lang w:eastAsia="en-AU"/>
              </w:rPr>
              <w:t>Wi-Fi</w:t>
            </w:r>
          </w:p>
          <w:p w14:paraId="1802AFD9" w14:textId="77777777" w:rsidR="000C7F6F" w:rsidRPr="00AC41E0" w:rsidRDefault="000C7F6F" w:rsidP="00437999">
            <w:pPr>
              <w:pStyle w:val="BodyText"/>
              <w:spacing w:after="0" w:line="240" w:lineRule="auto"/>
              <w:ind w:left="0"/>
              <w:rPr>
                <w:rFonts w:cs="Arial"/>
                <w:b/>
                <w:sz w:val="20"/>
                <w:szCs w:val="20"/>
                <w:lang w:eastAsia="en-AU"/>
              </w:rPr>
            </w:pPr>
          </w:p>
          <w:p w14:paraId="5C787FD1" w14:textId="77777777" w:rsidR="00335ED9" w:rsidRPr="00AC41E0" w:rsidRDefault="00335ED9" w:rsidP="00294E40">
            <w:pPr>
              <w:pStyle w:val="BodyText"/>
              <w:spacing w:line="240" w:lineRule="auto"/>
              <w:ind w:left="0"/>
              <w:rPr>
                <w:rFonts w:cs="Arial"/>
                <w:sz w:val="20"/>
                <w:szCs w:val="20"/>
                <w:lang w:eastAsia="en-AU"/>
              </w:rPr>
            </w:pPr>
            <w:r w:rsidRPr="00AC41E0">
              <w:rPr>
                <w:rFonts w:cs="Arial"/>
                <w:sz w:val="20"/>
                <w:szCs w:val="20"/>
                <w:lang w:eastAsia="en-AU"/>
              </w:rPr>
              <w:t xml:space="preserve">Wi-Fi controlled smart devices tend to be more expensive than ZigBee controlled devices. </w:t>
            </w:r>
          </w:p>
          <w:p w14:paraId="025EE02B" w14:textId="15CC4A46" w:rsidR="00335ED9" w:rsidRPr="00AC41E0" w:rsidRDefault="00335ED9" w:rsidP="00294E40">
            <w:pPr>
              <w:pStyle w:val="BodyText"/>
              <w:spacing w:after="0" w:line="240" w:lineRule="auto"/>
              <w:ind w:left="0"/>
              <w:rPr>
                <w:rFonts w:cs="Arial"/>
                <w:b/>
                <w:sz w:val="20"/>
                <w:szCs w:val="20"/>
                <w:lang w:eastAsia="en-AU"/>
              </w:rPr>
            </w:pPr>
            <w:r w:rsidRPr="00AC41E0">
              <w:rPr>
                <w:rFonts w:cs="Arial"/>
                <w:sz w:val="20"/>
                <w:szCs w:val="20"/>
                <w:lang w:eastAsia="en-AU"/>
              </w:rPr>
              <w:t>Relatively power-hungry compared to ZigBee or Bluetooth.</w:t>
            </w:r>
          </w:p>
        </w:tc>
        <w:tc>
          <w:tcPr>
            <w:tcW w:w="438" w:type="pct"/>
            <w:shd w:val="clear" w:color="auto" w:fill="8DB3E2" w:themeFill="text2" w:themeFillTint="66"/>
          </w:tcPr>
          <w:p w14:paraId="0507779E" w14:textId="3A20DC18" w:rsidR="00335ED9" w:rsidRPr="00AC41E0" w:rsidRDefault="00335ED9" w:rsidP="00437999">
            <w:pPr>
              <w:pStyle w:val="BodyText"/>
              <w:spacing w:after="0" w:line="240" w:lineRule="auto"/>
              <w:ind w:left="0"/>
              <w:rPr>
                <w:rFonts w:cs="Arial"/>
                <w:b/>
                <w:sz w:val="20"/>
                <w:szCs w:val="20"/>
                <w:lang w:eastAsia="en-AU"/>
              </w:rPr>
            </w:pPr>
            <w:r w:rsidRPr="00AC41E0">
              <w:rPr>
                <w:rFonts w:cs="Arial"/>
                <w:b/>
                <w:sz w:val="20"/>
                <w:szCs w:val="20"/>
                <w:lang w:eastAsia="en-AU"/>
              </w:rPr>
              <w:t>Bluetooth</w:t>
            </w:r>
          </w:p>
          <w:p w14:paraId="19A84A68" w14:textId="77777777" w:rsidR="000C7F6F" w:rsidRPr="00AC41E0" w:rsidRDefault="000C7F6F" w:rsidP="00437999">
            <w:pPr>
              <w:pStyle w:val="BodyText"/>
              <w:spacing w:after="0" w:line="240" w:lineRule="auto"/>
              <w:ind w:left="0"/>
              <w:rPr>
                <w:rFonts w:cs="Arial"/>
                <w:b/>
                <w:sz w:val="20"/>
                <w:szCs w:val="20"/>
                <w:lang w:eastAsia="en-AU"/>
              </w:rPr>
            </w:pPr>
          </w:p>
          <w:p w14:paraId="0A848C11" w14:textId="77777777" w:rsidR="00335ED9" w:rsidRPr="00AC41E0" w:rsidRDefault="00335ED9" w:rsidP="00294E40">
            <w:pPr>
              <w:pStyle w:val="BodyText"/>
              <w:spacing w:after="0" w:line="240" w:lineRule="auto"/>
              <w:ind w:left="0"/>
              <w:rPr>
                <w:rFonts w:cs="Arial"/>
                <w:sz w:val="20"/>
                <w:szCs w:val="20"/>
                <w:lang w:eastAsia="en-AU"/>
              </w:rPr>
            </w:pPr>
            <w:r w:rsidRPr="00AC41E0">
              <w:rPr>
                <w:rFonts w:cs="Arial"/>
                <w:sz w:val="20"/>
                <w:szCs w:val="20"/>
                <w:lang w:eastAsia="en-AU"/>
              </w:rPr>
              <w:t>Users can only affect control of the smart device from a relatively close range.</w:t>
            </w:r>
          </w:p>
          <w:p w14:paraId="19FE2D56" w14:textId="77777777" w:rsidR="00335ED9" w:rsidRPr="00AC41E0" w:rsidRDefault="00335ED9" w:rsidP="00294E40">
            <w:pPr>
              <w:pStyle w:val="BodyText"/>
              <w:spacing w:after="0" w:line="240" w:lineRule="auto"/>
              <w:rPr>
                <w:rFonts w:cs="Arial"/>
                <w:sz w:val="20"/>
                <w:szCs w:val="20"/>
                <w:lang w:eastAsia="en-AU"/>
              </w:rPr>
            </w:pPr>
          </w:p>
          <w:p w14:paraId="0CCA810E" w14:textId="471E08D2" w:rsidR="00335ED9" w:rsidRPr="00AC41E0" w:rsidRDefault="00335ED9" w:rsidP="00294E40">
            <w:pPr>
              <w:pStyle w:val="BodyText"/>
              <w:spacing w:after="0" w:line="240" w:lineRule="auto"/>
              <w:ind w:left="0"/>
              <w:rPr>
                <w:rFonts w:cs="Arial"/>
                <w:b/>
                <w:sz w:val="20"/>
                <w:szCs w:val="20"/>
                <w:lang w:eastAsia="en-AU"/>
              </w:rPr>
            </w:pPr>
            <w:r w:rsidRPr="00AC41E0">
              <w:rPr>
                <w:rFonts w:cs="Arial"/>
                <w:sz w:val="20"/>
                <w:szCs w:val="20"/>
                <w:lang w:eastAsia="en-AU"/>
              </w:rPr>
              <w:t>Economical as virtually every smartphone is Bluetooth enabled.</w:t>
            </w:r>
          </w:p>
        </w:tc>
      </w:tr>
    </w:tbl>
    <w:p w14:paraId="6D2B3F98" w14:textId="77777777" w:rsidR="0051520E" w:rsidRPr="00AC41E0" w:rsidRDefault="0051520E" w:rsidP="00294E40">
      <w:pPr>
        <w:pStyle w:val="BodyText"/>
        <w:ind w:left="0"/>
        <w:rPr>
          <w:lang w:eastAsia="en-AU"/>
        </w:rPr>
        <w:sectPr w:rsidR="0051520E" w:rsidRPr="00AC41E0" w:rsidSect="002771AA">
          <w:pgSz w:w="16838" w:h="11906" w:orient="landscape"/>
          <w:pgMar w:top="284" w:right="1440" w:bottom="1440" w:left="1440" w:header="708" w:footer="708" w:gutter="0"/>
          <w:cols w:space="708"/>
          <w:docGrid w:linePitch="360"/>
        </w:sectPr>
      </w:pPr>
    </w:p>
    <w:p w14:paraId="5FD8D379" w14:textId="77777777" w:rsidR="00294E40" w:rsidRPr="00AC41E0" w:rsidRDefault="00294E40" w:rsidP="00294E40">
      <w:pPr>
        <w:pStyle w:val="DCSbodytext"/>
        <w:ind w:left="0"/>
        <w:rPr>
          <w:b/>
        </w:rPr>
      </w:pPr>
      <w:r w:rsidRPr="00E46FB0">
        <w:rPr>
          <w:b/>
        </w:rPr>
        <w:lastRenderedPageBreak/>
        <w:t>Useful links for wireless network options</w:t>
      </w:r>
    </w:p>
    <w:p w14:paraId="1C35B35C" w14:textId="77777777" w:rsidR="00294E40" w:rsidRPr="00E46FB0" w:rsidRDefault="00084371" w:rsidP="0003467D">
      <w:pPr>
        <w:pStyle w:val="NormalWeb"/>
        <w:numPr>
          <w:ilvl w:val="0"/>
          <w:numId w:val="27"/>
        </w:numPr>
        <w:shd w:val="clear" w:color="auto" w:fill="FFFFFF"/>
        <w:spacing w:before="0" w:beforeAutospacing="0" w:after="120" w:afterAutospacing="0" w:line="276" w:lineRule="auto"/>
        <w:ind w:left="459" w:hanging="357"/>
        <w:rPr>
          <w:rStyle w:val="Hyperlink"/>
          <w:rFonts w:ascii="Arial" w:eastAsiaTheme="majorEastAsia" w:hAnsi="Arial" w:cs="Arial"/>
          <w:sz w:val="22"/>
          <w:szCs w:val="22"/>
          <w:lang w:eastAsia="en-US"/>
        </w:rPr>
      </w:pPr>
      <w:hyperlink r:id="rId304" w:history="1">
        <w:r w:rsidR="00294E40" w:rsidRPr="00AC41E0">
          <w:rPr>
            <w:rStyle w:val="Hyperlink"/>
            <w:rFonts w:ascii="Arial" w:hAnsi="Arial" w:cs="Arial"/>
            <w:sz w:val="22"/>
            <w:szCs w:val="22"/>
          </w:rPr>
          <w:t>The Things Network</w:t>
        </w:r>
      </w:hyperlink>
    </w:p>
    <w:p w14:paraId="532E8133" w14:textId="77777777" w:rsidR="00294E40" w:rsidRPr="00AC41E0" w:rsidRDefault="00084371" w:rsidP="0003467D">
      <w:pPr>
        <w:pStyle w:val="NormalWeb"/>
        <w:numPr>
          <w:ilvl w:val="0"/>
          <w:numId w:val="27"/>
        </w:numPr>
        <w:shd w:val="clear" w:color="auto" w:fill="FFFFFF"/>
        <w:spacing w:before="0" w:beforeAutospacing="0" w:after="120" w:afterAutospacing="0" w:line="276" w:lineRule="auto"/>
        <w:ind w:left="459" w:hanging="357"/>
        <w:rPr>
          <w:rStyle w:val="Hyperlink"/>
          <w:rFonts w:ascii="Arial" w:hAnsi="Arial" w:cs="Arial"/>
          <w:sz w:val="22"/>
          <w:szCs w:val="22"/>
        </w:rPr>
      </w:pPr>
      <w:hyperlink r:id="rId305" w:history="1">
        <w:r w:rsidR="00294E40" w:rsidRPr="00AC41E0">
          <w:rPr>
            <w:rStyle w:val="Hyperlink"/>
            <w:rFonts w:ascii="Arial" w:hAnsi="Arial" w:cs="Arial"/>
            <w:sz w:val="22"/>
            <w:szCs w:val="22"/>
          </w:rPr>
          <w:t>Sigfox</w:t>
        </w:r>
      </w:hyperlink>
      <w:r w:rsidR="00294E40" w:rsidRPr="00E46FB0" w:rsidDel="00894705">
        <w:rPr>
          <w:rStyle w:val="Hyperlink"/>
          <w:rFonts w:ascii="Arial" w:hAnsi="Arial" w:cs="Arial"/>
          <w:sz w:val="22"/>
          <w:szCs w:val="22"/>
        </w:rPr>
        <w:t xml:space="preserve"> </w:t>
      </w:r>
    </w:p>
    <w:p w14:paraId="3A1F64E2" w14:textId="77777777" w:rsidR="00294E40" w:rsidRPr="00E46FB0" w:rsidRDefault="00084371" w:rsidP="0003467D">
      <w:pPr>
        <w:pStyle w:val="NormalWeb"/>
        <w:numPr>
          <w:ilvl w:val="0"/>
          <w:numId w:val="27"/>
        </w:numPr>
        <w:shd w:val="clear" w:color="auto" w:fill="FFFFFF"/>
        <w:spacing w:before="0" w:beforeAutospacing="0" w:after="120" w:afterAutospacing="0" w:line="276" w:lineRule="auto"/>
        <w:ind w:left="459" w:hanging="357"/>
        <w:rPr>
          <w:rFonts w:ascii="Arial" w:hAnsi="Arial" w:cs="Arial"/>
          <w:sz w:val="22"/>
          <w:szCs w:val="22"/>
        </w:rPr>
      </w:pPr>
      <w:hyperlink r:id="rId306" w:history="1">
        <w:r w:rsidR="00294E40" w:rsidRPr="00AC41E0">
          <w:rPr>
            <w:rStyle w:val="Hyperlink"/>
            <w:rFonts w:ascii="Arial" w:hAnsi="Arial" w:cs="Arial"/>
            <w:sz w:val="22"/>
            <w:szCs w:val="22"/>
          </w:rPr>
          <w:t>Thinxtra</w:t>
        </w:r>
      </w:hyperlink>
    </w:p>
    <w:p w14:paraId="616E0665" w14:textId="77777777" w:rsidR="00294E40" w:rsidRPr="00E46FB0" w:rsidRDefault="00084371" w:rsidP="0003467D">
      <w:pPr>
        <w:pStyle w:val="NormalWeb"/>
        <w:numPr>
          <w:ilvl w:val="0"/>
          <w:numId w:val="27"/>
        </w:numPr>
        <w:shd w:val="clear" w:color="auto" w:fill="FFFFFF"/>
        <w:spacing w:before="0" w:beforeAutospacing="0" w:after="120" w:afterAutospacing="0" w:line="276" w:lineRule="auto"/>
        <w:ind w:left="459" w:hanging="357"/>
        <w:rPr>
          <w:rStyle w:val="Hyperlink"/>
          <w:rFonts w:ascii="Arial" w:hAnsi="Arial" w:cs="Arial"/>
          <w:sz w:val="22"/>
          <w:szCs w:val="22"/>
        </w:rPr>
      </w:pPr>
      <w:hyperlink r:id="rId307" w:history="1">
        <w:r w:rsidR="00294E40" w:rsidRPr="00AC41E0">
          <w:rPr>
            <w:rStyle w:val="Hyperlink"/>
            <w:rFonts w:ascii="Arial" w:hAnsi="Arial" w:cs="Arial"/>
            <w:sz w:val="22"/>
            <w:szCs w:val="22"/>
          </w:rPr>
          <w:t>Lora Alliance</w:t>
        </w:r>
      </w:hyperlink>
    </w:p>
    <w:p w14:paraId="54F837CB" w14:textId="77777777" w:rsidR="00294E40" w:rsidRPr="00AC41E0" w:rsidRDefault="00084371" w:rsidP="0003467D">
      <w:pPr>
        <w:pStyle w:val="NormalWeb"/>
        <w:numPr>
          <w:ilvl w:val="0"/>
          <w:numId w:val="27"/>
        </w:numPr>
        <w:shd w:val="clear" w:color="auto" w:fill="FFFFFF"/>
        <w:spacing w:before="0" w:beforeAutospacing="0" w:after="120" w:afterAutospacing="0" w:line="276" w:lineRule="auto"/>
        <w:ind w:left="459" w:hanging="357"/>
        <w:rPr>
          <w:rFonts w:ascii="Arial" w:hAnsi="Arial" w:cs="Arial"/>
          <w:sz w:val="22"/>
          <w:szCs w:val="22"/>
        </w:rPr>
      </w:pPr>
      <w:hyperlink r:id="rId308" w:history="1">
        <w:r w:rsidR="00294E40" w:rsidRPr="00AC41E0">
          <w:rPr>
            <w:rStyle w:val="Hyperlink"/>
            <w:rFonts w:ascii="Arial" w:hAnsi="Arial" w:cs="Arial"/>
            <w:sz w:val="22"/>
            <w:szCs w:val="22"/>
          </w:rPr>
          <w:t>NNN Co</w:t>
        </w:r>
      </w:hyperlink>
      <w:r w:rsidR="00294E40" w:rsidRPr="00E46FB0" w:rsidDel="00894705">
        <w:rPr>
          <w:rFonts w:ascii="Arial" w:hAnsi="Arial" w:cs="Arial"/>
          <w:sz w:val="22"/>
          <w:szCs w:val="22"/>
        </w:rPr>
        <w:t xml:space="preserve"> </w:t>
      </w:r>
    </w:p>
    <w:p w14:paraId="51813E30" w14:textId="77777777" w:rsidR="00294E40" w:rsidRPr="00AC41E0" w:rsidRDefault="00084371" w:rsidP="0003467D">
      <w:pPr>
        <w:pStyle w:val="NormalWeb"/>
        <w:numPr>
          <w:ilvl w:val="0"/>
          <w:numId w:val="27"/>
        </w:numPr>
        <w:shd w:val="clear" w:color="auto" w:fill="FFFFFF"/>
        <w:spacing w:before="0" w:beforeAutospacing="0" w:after="120" w:afterAutospacing="0" w:line="276" w:lineRule="auto"/>
        <w:ind w:left="459" w:hanging="357"/>
        <w:rPr>
          <w:rFonts w:ascii="Arial" w:hAnsi="Arial" w:cs="Arial"/>
          <w:sz w:val="22"/>
          <w:szCs w:val="22"/>
        </w:rPr>
      </w:pPr>
      <w:hyperlink r:id="rId309" w:history="1">
        <w:r w:rsidR="00294E40" w:rsidRPr="00AC41E0">
          <w:rPr>
            <w:rStyle w:val="Hyperlink"/>
            <w:rFonts w:ascii="Arial" w:hAnsi="Arial" w:cs="Arial"/>
            <w:sz w:val="22"/>
            <w:szCs w:val="22"/>
          </w:rPr>
          <w:t>Wireless LAN licensing requirements</w:t>
        </w:r>
      </w:hyperlink>
      <w:r w:rsidR="00294E40" w:rsidRPr="00E46FB0" w:rsidDel="00894705">
        <w:rPr>
          <w:rFonts w:ascii="Arial" w:hAnsi="Arial" w:cs="Arial"/>
          <w:sz w:val="22"/>
          <w:szCs w:val="22"/>
        </w:rPr>
        <w:t xml:space="preserve"> </w:t>
      </w:r>
    </w:p>
    <w:p w14:paraId="663B904D" w14:textId="75C6C54A" w:rsidR="00294E40" w:rsidRPr="00AC41E0" w:rsidRDefault="00294E40" w:rsidP="0003467D">
      <w:pPr>
        <w:pStyle w:val="ListParagraph"/>
        <w:numPr>
          <w:ilvl w:val="0"/>
          <w:numId w:val="27"/>
        </w:numPr>
        <w:spacing w:after="120" w:line="276" w:lineRule="auto"/>
        <w:ind w:left="459" w:hanging="357"/>
        <w:rPr>
          <w:rFonts w:ascii="Arial" w:hAnsi="Arial" w:cs="Arial"/>
          <w:lang w:eastAsia="en-AU"/>
        </w:rPr>
      </w:pPr>
      <w:r w:rsidRPr="00AC41E0">
        <w:rPr>
          <w:rFonts w:ascii="Arial" w:hAnsi="Arial" w:cs="Arial"/>
        </w:rPr>
        <w:t xml:space="preserve">Telecommunications carriers may publish maps of IoT networks they provide (e.g. NB-IoT and Cat-M1) and/or a list of integrated devices for use with their networks. For example, Telstra has published </w:t>
      </w:r>
      <w:r w:rsidR="00611C2C" w:rsidRPr="00AC41E0">
        <w:rPr>
          <w:rFonts w:ascii="Arial" w:hAnsi="Arial" w:cs="Arial"/>
        </w:rPr>
        <w:t xml:space="preserve">a </w:t>
      </w:r>
      <w:hyperlink r:id="rId310" w:history="1">
        <w:r w:rsidRPr="00AC41E0">
          <w:rPr>
            <w:rStyle w:val="Hyperlink"/>
            <w:rFonts w:ascii="Arial" w:hAnsi="Arial" w:cs="Arial"/>
          </w:rPr>
          <w:t>Telstra IoT network coverage map</w:t>
        </w:r>
      </w:hyperlink>
      <w:r w:rsidRPr="00E46FB0">
        <w:rPr>
          <w:rFonts w:ascii="Arial" w:hAnsi="Arial" w:cs="Arial"/>
        </w:rPr>
        <w:t xml:space="preserve"> and a </w:t>
      </w:r>
      <w:hyperlink r:id="rId311" w:history="1">
        <w:r w:rsidRPr="00AC41E0">
          <w:rPr>
            <w:rStyle w:val="Hyperlink"/>
            <w:rFonts w:ascii="Arial" w:hAnsi="Arial" w:cs="Arial"/>
          </w:rPr>
          <w:t>list of certified devices</w:t>
        </w:r>
      </w:hyperlink>
      <w:r w:rsidRPr="00E46FB0">
        <w:rPr>
          <w:rFonts w:ascii="Arial" w:hAnsi="Arial" w:cs="Arial"/>
        </w:rPr>
        <w:t xml:space="preserve"> for its network.</w:t>
      </w:r>
      <w:r w:rsidRPr="00AC41E0" w:rsidDel="00F3798E">
        <w:rPr>
          <w:rFonts w:ascii="Arial" w:hAnsi="Arial" w:cs="Arial"/>
        </w:rPr>
        <w:t xml:space="preserve"> </w:t>
      </w:r>
    </w:p>
    <w:p w14:paraId="0694AEDD" w14:textId="77777777" w:rsidR="00294E40" w:rsidRPr="00AC41E0" w:rsidRDefault="00294E40" w:rsidP="0051520E">
      <w:pPr>
        <w:pStyle w:val="Heading2"/>
        <w:numPr>
          <w:ilvl w:val="0"/>
          <w:numId w:val="0"/>
        </w:numPr>
        <w:ind w:left="794" w:hanging="794"/>
        <w:rPr>
          <w:rFonts w:ascii="Arial" w:hAnsi="Arial"/>
        </w:rPr>
      </w:pPr>
    </w:p>
    <w:p w14:paraId="67CC28E4" w14:textId="77777777" w:rsidR="00294E40" w:rsidRPr="00AC41E0" w:rsidRDefault="00294E40" w:rsidP="0051520E">
      <w:pPr>
        <w:pStyle w:val="Heading2"/>
        <w:numPr>
          <w:ilvl w:val="0"/>
          <w:numId w:val="0"/>
        </w:numPr>
        <w:ind w:left="794" w:hanging="794"/>
        <w:rPr>
          <w:rFonts w:ascii="Arial" w:hAnsi="Arial"/>
        </w:rPr>
        <w:sectPr w:rsidR="00294E40" w:rsidRPr="00AC41E0" w:rsidSect="002771AA">
          <w:pgSz w:w="11906" w:h="16838"/>
          <w:pgMar w:top="1440" w:right="1440" w:bottom="1440" w:left="1440" w:header="708" w:footer="708" w:gutter="0"/>
          <w:cols w:space="708"/>
          <w:docGrid w:linePitch="360"/>
        </w:sectPr>
      </w:pPr>
    </w:p>
    <w:p w14:paraId="12A3E8AF" w14:textId="637F732E" w:rsidR="00246055" w:rsidRPr="00AC41E0" w:rsidRDefault="0051520E" w:rsidP="0051520E">
      <w:pPr>
        <w:pStyle w:val="Heading2"/>
        <w:numPr>
          <w:ilvl w:val="0"/>
          <w:numId w:val="0"/>
        </w:numPr>
        <w:ind w:left="794" w:hanging="794"/>
        <w:rPr>
          <w:rFonts w:ascii="Arial" w:hAnsi="Arial"/>
        </w:rPr>
      </w:pPr>
      <w:bookmarkStart w:id="1947" w:name="_Appendix_E_–"/>
      <w:bookmarkStart w:id="1948" w:name="_Toc65760613"/>
      <w:bookmarkEnd w:id="1947"/>
      <w:r w:rsidRPr="00E46FB0">
        <w:rPr>
          <w:rFonts w:ascii="Arial" w:hAnsi="Arial"/>
        </w:rPr>
        <w:lastRenderedPageBreak/>
        <w:t xml:space="preserve">Appendix </w:t>
      </w:r>
      <w:r w:rsidR="00DC5AE4" w:rsidRPr="00AC41E0">
        <w:rPr>
          <w:rFonts w:ascii="Arial" w:hAnsi="Arial"/>
        </w:rPr>
        <w:t>E</w:t>
      </w:r>
      <w:r w:rsidRPr="00AC41E0">
        <w:rPr>
          <w:rFonts w:ascii="Arial" w:hAnsi="Arial"/>
        </w:rPr>
        <w:t xml:space="preserve"> – </w:t>
      </w:r>
      <w:r w:rsidR="00611CDF" w:rsidRPr="00AC41E0">
        <w:rPr>
          <w:rFonts w:ascii="Arial" w:hAnsi="Arial"/>
        </w:rPr>
        <w:t>The Five Safes</w:t>
      </w:r>
      <w:bookmarkEnd w:id="1948"/>
      <w:r w:rsidR="00611CDF" w:rsidRPr="00AC41E0">
        <w:rPr>
          <w:rFonts w:ascii="Arial" w:hAnsi="Arial"/>
        </w:rPr>
        <w:t xml:space="preserve"> </w:t>
      </w:r>
    </w:p>
    <w:p w14:paraId="19C8E557" w14:textId="7E65F347" w:rsidR="007B52D2" w:rsidRPr="00AC41E0" w:rsidRDefault="007B52D2" w:rsidP="005F4741">
      <w:pPr>
        <w:pStyle w:val="DCSbodytext"/>
        <w:ind w:left="0"/>
      </w:pPr>
      <w:r w:rsidRPr="00AC41E0">
        <w:t>The ‘Five Safes’ is an internationally recognised risk management model that can help you identify and manage data sharing risks. Under this framework, data sharing risks are managed across five 'safety' dimensions</w:t>
      </w:r>
      <w:r w:rsidR="00B53D85" w:rsidRPr="00AC41E0">
        <w:t>.</w:t>
      </w:r>
    </w:p>
    <w:p w14:paraId="4D74C0E2" w14:textId="0AB87540" w:rsidR="007B52D2" w:rsidRPr="00AC41E0" w:rsidRDefault="007B52D2" w:rsidP="00AD17B1">
      <w:pPr>
        <w:pStyle w:val="DCSbodytext"/>
        <w:ind w:left="0"/>
        <w:rPr>
          <w:rFonts w:eastAsia="Calibri"/>
        </w:rPr>
      </w:pPr>
      <w:r w:rsidRPr="00AC41E0">
        <w:rPr>
          <w:rFonts w:eastAsia="Calibri"/>
        </w:rPr>
        <w:t xml:space="preserve">For each of the safe dimensions, there are a set of questions that you should ask the </w:t>
      </w:r>
      <w:r w:rsidR="00774E09" w:rsidRPr="00AC41E0">
        <w:rPr>
          <w:rFonts w:eastAsia="Calibri"/>
        </w:rPr>
        <w:t>d</w:t>
      </w:r>
      <w:r w:rsidRPr="00AC41E0">
        <w:rPr>
          <w:rFonts w:eastAsia="Calibri"/>
        </w:rPr>
        <w:t xml:space="preserve">ata </w:t>
      </w:r>
      <w:r w:rsidR="00774E09" w:rsidRPr="00AC41E0">
        <w:rPr>
          <w:rFonts w:eastAsia="Calibri"/>
        </w:rPr>
        <w:t>r</w:t>
      </w:r>
      <w:r w:rsidRPr="00AC41E0">
        <w:rPr>
          <w:rFonts w:eastAsia="Calibri"/>
        </w:rPr>
        <w:t xml:space="preserve">equestor </w:t>
      </w:r>
      <w:r w:rsidR="000E542F" w:rsidRPr="00AC41E0">
        <w:rPr>
          <w:rFonts w:eastAsia="Calibri"/>
        </w:rPr>
        <w:t xml:space="preserve">to </w:t>
      </w:r>
      <w:r w:rsidRPr="00AC41E0">
        <w:rPr>
          <w:rFonts w:eastAsia="Calibri"/>
        </w:rPr>
        <w:t xml:space="preserve">help you identify and manage any risks. You can do this by asking them to complete a data sharing request/access form or by having a conversation with them directly. </w:t>
      </w:r>
    </w:p>
    <w:p w14:paraId="6176D82A" w14:textId="39ED0EFB" w:rsidR="005A6010" w:rsidRPr="00E46FB0" w:rsidRDefault="001E0E7F" w:rsidP="005F4741">
      <w:pPr>
        <w:pStyle w:val="DCSbodytext"/>
        <w:ind w:left="0"/>
        <w:rPr>
          <w:rStyle w:val="Hyperlink"/>
          <w:rFonts w:eastAsia="Calibri" w:cs="Arial"/>
        </w:rPr>
      </w:pPr>
      <w:r w:rsidRPr="00AC41E0">
        <w:rPr>
          <w:rFonts w:eastAsia="Calibri Light"/>
        </w:rPr>
        <w:t xml:space="preserve">For detailed guidance on applying the five safes, refer to the </w:t>
      </w:r>
      <w:hyperlink r:id="rId312" w:history="1">
        <w:r w:rsidRPr="00AC41E0">
          <w:rPr>
            <w:rStyle w:val="Hyperlink"/>
            <w:rFonts w:eastAsia="Calibri Light"/>
          </w:rPr>
          <w:t xml:space="preserve">Australian Government </w:t>
        </w:r>
        <w:r w:rsidRPr="00AC41E0">
          <w:rPr>
            <w:rStyle w:val="Hyperlink"/>
            <w:rFonts w:eastAsia="Calibri" w:cs="Arial"/>
          </w:rPr>
          <w:t>Best Practice Guide to Applying Data Sharing Principles.</w:t>
        </w:r>
      </w:hyperlink>
    </w:p>
    <w:tbl>
      <w:tblPr>
        <w:tblStyle w:val="GridTable4-Accent1"/>
        <w:tblW w:w="9634" w:type="dxa"/>
        <w:tblInd w:w="0" w:type="dxa"/>
        <w:tblLook w:val="04A0" w:firstRow="1" w:lastRow="0" w:firstColumn="1" w:lastColumn="0" w:noHBand="0" w:noVBand="1"/>
      </w:tblPr>
      <w:tblGrid>
        <w:gridCol w:w="1635"/>
        <w:gridCol w:w="7999"/>
      </w:tblGrid>
      <w:tr w:rsidR="005A6010" w:rsidRPr="00AC41E0" w14:paraId="7CDEF5C1" w14:textId="77777777" w:rsidTr="003674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1F497D" w:themeFill="text2"/>
          </w:tcPr>
          <w:p w14:paraId="215002C6" w14:textId="77777777" w:rsidR="005A6010" w:rsidRPr="00AC41E0" w:rsidRDefault="005A6010" w:rsidP="003674E7">
            <w:pPr>
              <w:pStyle w:val="DCStableheading"/>
              <w:spacing w:after="120"/>
              <w:jc w:val="center"/>
              <w:rPr>
                <w:rFonts w:eastAsia="Calibri Light"/>
                <w:b/>
                <w:bCs w:val="0"/>
                <w:szCs w:val="22"/>
              </w:rPr>
            </w:pPr>
            <w:r w:rsidRPr="00AC41E0">
              <w:rPr>
                <w:rFonts w:eastAsia="Calibri Light"/>
                <w:szCs w:val="22"/>
              </w:rPr>
              <w:t>Safe dimension</w:t>
            </w:r>
          </w:p>
        </w:tc>
        <w:tc>
          <w:tcPr>
            <w:tcW w:w="0" w:type="dxa"/>
            <w:tcBorders>
              <w:top w:val="single" w:sz="4" w:space="0" w:color="auto"/>
              <w:left w:val="single" w:sz="4" w:space="0" w:color="auto"/>
              <w:bottom w:val="single" w:sz="4" w:space="0" w:color="auto"/>
              <w:right w:val="single" w:sz="4" w:space="0" w:color="auto"/>
            </w:tcBorders>
            <w:shd w:val="clear" w:color="auto" w:fill="1F497D" w:themeFill="text2"/>
          </w:tcPr>
          <w:p w14:paraId="1587268F" w14:textId="77777777" w:rsidR="005A6010" w:rsidRPr="00AC41E0" w:rsidRDefault="005A6010" w:rsidP="003674E7">
            <w:pPr>
              <w:pStyle w:val="DCStableheading"/>
              <w:spacing w:after="120"/>
              <w:jc w:val="center"/>
              <w:cnfStyle w:val="100000000000" w:firstRow="1" w:lastRow="0" w:firstColumn="0" w:lastColumn="0" w:oddVBand="0" w:evenVBand="0" w:oddHBand="0" w:evenHBand="0" w:firstRowFirstColumn="0" w:firstRowLastColumn="0" w:lastRowFirstColumn="0" w:lastRowLastColumn="0"/>
              <w:rPr>
                <w:rFonts w:eastAsia="Calibri Light"/>
                <w:b/>
                <w:bCs w:val="0"/>
                <w:szCs w:val="22"/>
              </w:rPr>
            </w:pPr>
            <w:r w:rsidRPr="00AC41E0">
              <w:rPr>
                <w:rFonts w:eastAsia="Calibri Light"/>
                <w:szCs w:val="22"/>
              </w:rPr>
              <w:t>Questions to ask the data requestor</w:t>
            </w:r>
          </w:p>
        </w:tc>
      </w:tr>
      <w:tr w:rsidR="005A6010" w:rsidRPr="00AC41E0" w14:paraId="43714A20" w14:textId="77777777" w:rsidTr="00367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Borders>
              <w:top w:val="single" w:sz="4" w:space="0" w:color="auto"/>
            </w:tcBorders>
          </w:tcPr>
          <w:p w14:paraId="1086DF58" w14:textId="77777777" w:rsidR="005A6010" w:rsidRPr="00AC41E0" w:rsidRDefault="005A6010" w:rsidP="003674E7">
            <w:pPr>
              <w:pStyle w:val="DCSbodytext"/>
              <w:spacing w:after="120"/>
              <w:ind w:left="0"/>
              <w:rPr>
                <w:rFonts w:eastAsia="Calibri"/>
                <w:lang w:val="en-US"/>
              </w:rPr>
            </w:pPr>
            <w:r w:rsidRPr="00AC41E0">
              <w:rPr>
                <w:rFonts w:eastAsia="Calibri"/>
                <w:lang w:val="en-US"/>
              </w:rPr>
              <w:t>Safe People</w:t>
            </w:r>
          </w:p>
          <w:p w14:paraId="2132F655" w14:textId="77777777" w:rsidR="005A6010" w:rsidRPr="00AC41E0" w:rsidRDefault="005A6010" w:rsidP="003674E7">
            <w:pPr>
              <w:pStyle w:val="DCSbodytext"/>
              <w:spacing w:after="120"/>
              <w:ind w:left="0"/>
              <w:rPr>
                <w:rFonts w:eastAsia="Calibri Light"/>
              </w:rPr>
            </w:pPr>
            <w:r w:rsidRPr="00AC41E0">
              <w:rPr>
                <w:rFonts w:eastAsia="Calibri"/>
                <w:lang w:val="en-US"/>
              </w:rPr>
              <w:t>The knowledge, skills, incentives of the users to store and use the data appropriately.</w:t>
            </w:r>
          </w:p>
        </w:tc>
        <w:tc>
          <w:tcPr>
            <w:tcW w:w="7999" w:type="dxa"/>
            <w:tcBorders>
              <w:top w:val="single" w:sz="4" w:space="0" w:color="auto"/>
            </w:tcBorders>
          </w:tcPr>
          <w:p w14:paraId="3B20D9AB" w14:textId="77777777" w:rsidR="005A6010" w:rsidRPr="00AC41E0" w:rsidRDefault="005A6010" w:rsidP="003674E7">
            <w:pPr>
              <w:pStyle w:val="DCSbodytext"/>
              <w:spacing w:after="120"/>
              <w:ind w:left="0"/>
              <w:cnfStyle w:val="000000100000" w:firstRow="0" w:lastRow="0" w:firstColumn="0" w:lastColumn="0" w:oddVBand="0" w:evenVBand="0" w:oddHBand="1" w:evenHBand="0" w:firstRowFirstColumn="0" w:firstRowLastColumn="0" w:lastRowFirstColumn="0" w:lastRowLastColumn="0"/>
              <w:rPr>
                <w:rFonts w:eastAsia="Calibri"/>
                <w:lang w:val="en-US"/>
              </w:rPr>
            </w:pPr>
            <w:r w:rsidRPr="00AC41E0">
              <w:rPr>
                <w:rFonts w:eastAsia="Calibri"/>
                <w:lang w:val="en-US"/>
              </w:rPr>
              <w:t xml:space="preserve">Rationale: The individual/s or </w:t>
            </w:r>
            <w:r w:rsidRPr="00AC41E0">
              <w:rPr>
                <w:rFonts w:eastAsia="Calibri"/>
              </w:rPr>
              <w:t>organisation</w:t>
            </w:r>
            <w:r w:rsidRPr="00AC41E0">
              <w:rPr>
                <w:rFonts w:eastAsia="Calibri"/>
                <w:lang w:val="en-US"/>
              </w:rPr>
              <w:t>/s receiving the data must be an appropriate recipient:</w:t>
            </w:r>
          </w:p>
          <w:p w14:paraId="764B5733" w14:textId="77777777" w:rsidR="005A6010" w:rsidRPr="00AC41E0" w:rsidRDefault="005A6010" w:rsidP="003674E7">
            <w:pPr>
              <w:pStyle w:val="DCSbodytext"/>
              <w:numPr>
                <w:ilvl w:val="0"/>
                <w:numId w:val="64"/>
              </w:numPr>
              <w:spacing w:after="120"/>
              <w:cnfStyle w:val="000000100000" w:firstRow="0" w:lastRow="0" w:firstColumn="0" w:lastColumn="0" w:oddVBand="0" w:evenVBand="0" w:oddHBand="1" w:evenHBand="0" w:firstRowFirstColumn="0" w:firstRowLastColumn="0" w:lastRowFirstColumn="0" w:lastRowLastColumn="0"/>
              <w:rPr>
                <w:rFonts w:eastAsia="Calibri"/>
                <w:lang w:val="en-US"/>
              </w:rPr>
            </w:pPr>
            <w:r w:rsidRPr="00AC41E0">
              <w:rPr>
                <w:rFonts w:eastAsia="Calibri"/>
                <w:lang w:val="en-US"/>
              </w:rPr>
              <w:t>Are they appropriately equipped and do they possess the relevant skills and experience to effectively use the data for the proposed purpose?</w:t>
            </w:r>
          </w:p>
          <w:p w14:paraId="435D36D0" w14:textId="77777777" w:rsidR="005A6010" w:rsidRPr="00AC41E0" w:rsidRDefault="005A6010" w:rsidP="003674E7">
            <w:pPr>
              <w:pStyle w:val="DCSbodytext"/>
              <w:numPr>
                <w:ilvl w:val="0"/>
                <w:numId w:val="64"/>
              </w:numPr>
              <w:spacing w:after="120"/>
              <w:cnfStyle w:val="000000100000" w:firstRow="0" w:lastRow="0" w:firstColumn="0" w:lastColumn="0" w:oddVBand="0" w:evenVBand="0" w:oddHBand="1" w:evenHBand="0" w:firstRowFirstColumn="0" w:firstRowLastColumn="0" w:lastRowFirstColumn="0" w:lastRowLastColumn="0"/>
              <w:rPr>
                <w:rFonts w:eastAsia="Calibri"/>
                <w:lang w:val="en-US"/>
              </w:rPr>
            </w:pPr>
            <w:r w:rsidRPr="00AC41E0">
              <w:rPr>
                <w:rFonts w:eastAsia="Calibri"/>
                <w:lang w:val="en-US"/>
              </w:rPr>
              <w:t>Will they restrict data access to only specified persons with the appropriate security clearance/s?</w:t>
            </w:r>
          </w:p>
          <w:p w14:paraId="6A0CA9FE" w14:textId="77777777" w:rsidR="005A6010" w:rsidRPr="00AC41E0" w:rsidRDefault="005A6010" w:rsidP="003674E7">
            <w:pPr>
              <w:pStyle w:val="DCSbodytext"/>
              <w:numPr>
                <w:ilvl w:val="0"/>
                <w:numId w:val="64"/>
              </w:numPr>
              <w:spacing w:after="120"/>
              <w:cnfStyle w:val="000000100000" w:firstRow="0" w:lastRow="0" w:firstColumn="0" w:lastColumn="0" w:oddVBand="0" w:evenVBand="0" w:oddHBand="1" w:evenHBand="0" w:firstRowFirstColumn="0" w:firstRowLastColumn="0" w:lastRowFirstColumn="0" w:lastRowLastColumn="0"/>
              <w:rPr>
                <w:rFonts w:eastAsia="Calibri"/>
                <w:lang w:val="en-US"/>
              </w:rPr>
            </w:pPr>
            <w:r w:rsidRPr="00AC41E0">
              <w:rPr>
                <w:rFonts w:eastAsia="Calibri"/>
                <w:lang w:val="en-US"/>
              </w:rPr>
              <w:t>Can they or will they engage with the organisation providing the information to support the use of the data for the proposed purpose?</w:t>
            </w:r>
          </w:p>
          <w:p w14:paraId="02E26CB7" w14:textId="77777777" w:rsidR="005A6010" w:rsidRPr="00AC41E0" w:rsidRDefault="005A6010" w:rsidP="003674E7">
            <w:pPr>
              <w:pStyle w:val="DCSbodytext"/>
              <w:numPr>
                <w:ilvl w:val="0"/>
                <w:numId w:val="64"/>
              </w:numPr>
              <w:spacing w:after="120"/>
              <w:cnfStyle w:val="000000100000" w:firstRow="0" w:lastRow="0" w:firstColumn="0" w:lastColumn="0" w:oddVBand="0" w:evenVBand="0" w:oddHBand="1" w:evenHBand="0" w:firstRowFirstColumn="0" w:firstRowLastColumn="0" w:lastRowFirstColumn="0" w:lastRowLastColumn="0"/>
              <w:rPr>
                <w:rFonts w:eastAsia="Calibri Light"/>
              </w:rPr>
            </w:pPr>
            <w:r w:rsidRPr="00AC41E0">
              <w:rPr>
                <w:rFonts w:eastAsia="Calibri"/>
                <w:lang w:val="en-US"/>
              </w:rPr>
              <w:t>Are other persons or bodies in addition to the data recipient invested in the outputs of the project and the motivations of those persons or bodies?</w:t>
            </w:r>
          </w:p>
        </w:tc>
      </w:tr>
      <w:tr w:rsidR="005A6010" w:rsidRPr="00AC41E0" w14:paraId="143B0878" w14:textId="77777777" w:rsidTr="003674E7">
        <w:tc>
          <w:tcPr>
            <w:cnfStyle w:val="001000000000" w:firstRow="0" w:lastRow="0" w:firstColumn="1" w:lastColumn="0" w:oddVBand="0" w:evenVBand="0" w:oddHBand="0" w:evenHBand="0" w:firstRowFirstColumn="0" w:firstRowLastColumn="0" w:lastRowFirstColumn="0" w:lastRowLastColumn="0"/>
            <w:tcW w:w="1635" w:type="dxa"/>
          </w:tcPr>
          <w:p w14:paraId="6C357675" w14:textId="77777777" w:rsidR="005A6010" w:rsidRPr="00AC41E0" w:rsidRDefault="005A6010" w:rsidP="003674E7">
            <w:pPr>
              <w:pStyle w:val="DCSbodytext"/>
              <w:spacing w:after="120"/>
              <w:ind w:left="0"/>
              <w:rPr>
                <w:rFonts w:eastAsia="Calibri"/>
                <w:lang w:val="en-US"/>
              </w:rPr>
            </w:pPr>
            <w:r w:rsidRPr="00AC41E0">
              <w:rPr>
                <w:rFonts w:eastAsia="Calibri"/>
                <w:lang w:val="en-US"/>
              </w:rPr>
              <w:t>Safe Settings</w:t>
            </w:r>
          </w:p>
          <w:p w14:paraId="5A0E4643" w14:textId="77777777" w:rsidR="005A6010" w:rsidRPr="00AC41E0" w:rsidRDefault="005A6010" w:rsidP="003674E7">
            <w:pPr>
              <w:pStyle w:val="DCSbodytext"/>
              <w:spacing w:after="120"/>
              <w:ind w:left="0"/>
              <w:rPr>
                <w:rFonts w:eastAsia="Calibri Light"/>
              </w:rPr>
            </w:pPr>
            <w:r w:rsidRPr="00AC41E0">
              <w:rPr>
                <w:rFonts w:eastAsia="Calibri"/>
                <w:lang w:val="en-US"/>
              </w:rPr>
              <w:t>The practical controls on the way the data is accessed.</w:t>
            </w:r>
          </w:p>
        </w:tc>
        <w:tc>
          <w:tcPr>
            <w:tcW w:w="7999" w:type="dxa"/>
          </w:tcPr>
          <w:p w14:paraId="70AA5792" w14:textId="77777777" w:rsidR="005A6010" w:rsidRPr="00AC41E0" w:rsidRDefault="005A6010" w:rsidP="003674E7">
            <w:pPr>
              <w:pStyle w:val="DCSbodytext"/>
              <w:spacing w:after="120"/>
              <w:ind w:left="0"/>
              <w:cnfStyle w:val="000000000000" w:firstRow="0" w:lastRow="0" w:firstColumn="0" w:lastColumn="0" w:oddVBand="0" w:evenVBand="0" w:oddHBand="0" w:evenHBand="0" w:firstRowFirstColumn="0" w:firstRowLastColumn="0" w:lastRowFirstColumn="0" w:lastRowLastColumn="0"/>
              <w:rPr>
                <w:rFonts w:eastAsia="Calibri"/>
                <w:lang w:val="en-US"/>
              </w:rPr>
            </w:pPr>
            <w:r w:rsidRPr="00AC41E0">
              <w:rPr>
                <w:rFonts w:eastAsia="Calibri"/>
                <w:lang w:val="en-US"/>
              </w:rPr>
              <w:t>Rationale: The environment in which the data will be stored, accessed and used by the individual/s or organisation/s receiving the data must be appropriate:</w:t>
            </w:r>
          </w:p>
          <w:p w14:paraId="51EE7712" w14:textId="77777777" w:rsidR="005A6010" w:rsidRPr="00AC41E0" w:rsidRDefault="005A6010" w:rsidP="003674E7">
            <w:pPr>
              <w:pStyle w:val="DCSbodytext"/>
              <w:numPr>
                <w:ilvl w:val="0"/>
                <w:numId w:val="79"/>
              </w:numPr>
              <w:spacing w:after="120"/>
              <w:cnfStyle w:val="000000000000" w:firstRow="0" w:lastRow="0" w:firstColumn="0" w:lastColumn="0" w:oddVBand="0" w:evenVBand="0" w:oddHBand="0" w:evenHBand="0" w:firstRowFirstColumn="0" w:firstRowLastColumn="0" w:lastRowFirstColumn="0" w:lastRowLastColumn="0"/>
              <w:rPr>
                <w:rFonts w:eastAsia="Calibri"/>
                <w:lang w:val="en-US"/>
              </w:rPr>
            </w:pPr>
            <w:r w:rsidRPr="00AC41E0">
              <w:rPr>
                <w:rFonts w:eastAsia="Calibri"/>
                <w:lang w:val="en-US"/>
              </w:rPr>
              <w:t>Is the physical location where the data will be stored and used appropriately?</w:t>
            </w:r>
          </w:p>
          <w:p w14:paraId="445AD145" w14:textId="77777777" w:rsidR="005A6010" w:rsidRPr="00AC41E0" w:rsidRDefault="005A6010" w:rsidP="003674E7">
            <w:pPr>
              <w:pStyle w:val="DCSbodytext"/>
              <w:numPr>
                <w:ilvl w:val="0"/>
                <w:numId w:val="79"/>
              </w:numPr>
              <w:spacing w:after="120"/>
              <w:cnfStyle w:val="000000000000" w:firstRow="0" w:lastRow="0" w:firstColumn="0" w:lastColumn="0" w:oddVBand="0" w:evenVBand="0" w:oddHBand="0" w:evenHBand="0" w:firstRowFirstColumn="0" w:firstRowLastColumn="0" w:lastRowFirstColumn="0" w:lastRowLastColumn="0"/>
              <w:rPr>
                <w:rFonts w:eastAsia="Calibri"/>
                <w:lang w:val="en-US"/>
              </w:rPr>
            </w:pPr>
            <w:r w:rsidRPr="00AC41E0">
              <w:rPr>
                <w:rFonts w:eastAsia="Calibri"/>
                <w:lang w:val="en-US"/>
              </w:rPr>
              <w:t>Is the location of any linked data sets appropriate?</w:t>
            </w:r>
          </w:p>
          <w:p w14:paraId="6B1B14D6" w14:textId="77777777" w:rsidR="005A6010" w:rsidRPr="00AC41E0" w:rsidRDefault="005A6010" w:rsidP="003674E7">
            <w:pPr>
              <w:pStyle w:val="DCSbodytext"/>
              <w:numPr>
                <w:ilvl w:val="0"/>
                <w:numId w:val="79"/>
              </w:numPr>
              <w:spacing w:after="120"/>
              <w:cnfStyle w:val="000000000000" w:firstRow="0" w:lastRow="0" w:firstColumn="0" w:lastColumn="0" w:oddVBand="0" w:evenVBand="0" w:oddHBand="0" w:evenHBand="0" w:firstRowFirstColumn="0" w:firstRowLastColumn="0" w:lastRowFirstColumn="0" w:lastRowLastColumn="0"/>
              <w:rPr>
                <w:rFonts w:eastAsia="Calibri"/>
                <w:lang w:val="en-US"/>
              </w:rPr>
            </w:pPr>
            <w:r w:rsidRPr="00AC41E0">
              <w:rPr>
                <w:rFonts w:eastAsia="Calibri"/>
                <w:lang w:val="en-US"/>
              </w:rPr>
              <w:t>Does the organisation receiving the data have appropriate security/technical safeguards to keep data secure and prevent unauthorised access and use?</w:t>
            </w:r>
          </w:p>
          <w:p w14:paraId="08FB4E9B" w14:textId="77777777" w:rsidR="005A6010" w:rsidRPr="00AC41E0" w:rsidRDefault="005A6010" w:rsidP="003674E7">
            <w:pPr>
              <w:pStyle w:val="DCSbodytext"/>
              <w:numPr>
                <w:ilvl w:val="0"/>
                <w:numId w:val="79"/>
              </w:numPr>
              <w:spacing w:after="120"/>
              <w:cnfStyle w:val="000000000000" w:firstRow="0" w:lastRow="0" w:firstColumn="0" w:lastColumn="0" w:oddVBand="0" w:evenVBand="0" w:oddHBand="0" w:evenHBand="0" w:firstRowFirstColumn="0" w:firstRowLastColumn="0" w:lastRowFirstColumn="0" w:lastRowLastColumn="0"/>
              <w:rPr>
                <w:rFonts w:eastAsia="Calibri"/>
                <w:lang w:val="en-US"/>
              </w:rPr>
            </w:pPr>
            <w:r w:rsidRPr="00AC41E0">
              <w:rPr>
                <w:rFonts w:eastAsia="Calibri"/>
                <w:lang w:val="en-US"/>
              </w:rPr>
              <w:t>What is the likelihood of deliberate or accidental disclosure or use occurring?</w:t>
            </w:r>
          </w:p>
          <w:p w14:paraId="2C034356" w14:textId="77777777" w:rsidR="005A6010" w:rsidRPr="00AC41E0" w:rsidRDefault="005A6010" w:rsidP="003674E7">
            <w:pPr>
              <w:pStyle w:val="DCSbodytext"/>
              <w:numPr>
                <w:ilvl w:val="0"/>
                <w:numId w:val="79"/>
              </w:numPr>
              <w:spacing w:after="120"/>
              <w:cnfStyle w:val="000000000000" w:firstRow="0" w:lastRow="0" w:firstColumn="0" w:lastColumn="0" w:oddVBand="0" w:evenVBand="0" w:oddHBand="0" w:evenHBand="0" w:firstRowFirstColumn="0" w:firstRowLastColumn="0" w:lastRowFirstColumn="0" w:lastRowLastColumn="0"/>
              <w:rPr>
                <w:rFonts w:eastAsia="Calibri Light"/>
              </w:rPr>
            </w:pPr>
            <w:r w:rsidRPr="00AC41E0">
              <w:rPr>
                <w:rFonts w:eastAsia="Calibri"/>
                <w:lang w:val="en-US"/>
              </w:rPr>
              <w:t>How will data be handled after it has been used/shared for the specified purpose?</w:t>
            </w:r>
          </w:p>
        </w:tc>
      </w:tr>
      <w:tr w:rsidR="005A6010" w:rsidRPr="00AC41E0" w14:paraId="3E658C6E" w14:textId="77777777" w:rsidTr="00367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37C0AF59" w14:textId="77777777" w:rsidR="005A6010" w:rsidRPr="00AC41E0" w:rsidRDefault="005A6010" w:rsidP="003674E7">
            <w:pPr>
              <w:pStyle w:val="DCSbodytext"/>
              <w:spacing w:after="120"/>
              <w:ind w:left="0"/>
              <w:rPr>
                <w:rFonts w:eastAsia="Calibri"/>
                <w:lang w:val="en-US"/>
              </w:rPr>
            </w:pPr>
            <w:r w:rsidRPr="00AC41E0">
              <w:rPr>
                <w:rFonts w:eastAsia="Calibri"/>
                <w:lang w:val="en-US"/>
              </w:rPr>
              <w:t>Safe Projects</w:t>
            </w:r>
          </w:p>
          <w:p w14:paraId="7613B54E" w14:textId="77777777" w:rsidR="005A6010" w:rsidRPr="00AC41E0" w:rsidRDefault="005A6010" w:rsidP="003674E7">
            <w:pPr>
              <w:pStyle w:val="DCSbodytext"/>
              <w:spacing w:after="120"/>
              <w:ind w:left="0"/>
              <w:rPr>
                <w:rFonts w:eastAsia="Calibri Light"/>
              </w:rPr>
            </w:pPr>
            <w:r w:rsidRPr="00AC41E0">
              <w:rPr>
                <w:rFonts w:eastAsia="Calibri"/>
                <w:lang w:val="en-US"/>
              </w:rPr>
              <w:t xml:space="preserve">The legal, moral, and ethical considerations surrounding </w:t>
            </w:r>
            <w:r w:rsidRPr="00AC41E0">
              <w:rPr>
                <w:rFonts w:eastAsia="Calibri"/>
                <w:lang w:val="en-US"/>
              </w:rPr>
              <w:lastRenderedPageBreak/>
              <w:t>the use of the data.</w:t>
            </w:r>
          </w:p>
        </w:tc>
        <w:tc>
          <w:tcPr>
            <w:tcW w:w="7999" w:type="dxa"/>
          </w:tcPr>
          <w:p w14:paraId="6D1F7894" w14:textId="77777777" w:rsidR="005A6010" w:rsidRPr="00AC41E0" w:rsidRDefault="005A6010" w:rsidP="003674E7">
            <w:pPr>
              <w:pStyle w:val="DCSbodytext"/>
              <w:spacing w:after="120"/>
              <w:ind w:left="0"/>
              <w:cnfStyle w:val="000000100000" w:firstRow="0" w:lastRow="0" w:firstColumn="0" w:lastColumn="0" w:oddVBand="0" w:evenVBand="0" w:oddHBand="1" w:evenHBand="0" w:firstRowFirstColumn="0" w:firstRowLastColumn="0" w:lastRowFirstColumn="0" w:lastRowLastColumn="0"/>
              <w:rPr>
                <w:rFonts w:eastAsia="Calibri"/>
                <w:lang w:val="en-US"/>
              </w:rPr>
            </w:pPr>
            <w:r w:rsidRPr="00AC41E0">
              <w:rPr>
                <w:rFonts w:eastAsia="Calibri"/>
                <w:lang w:val="en-US"/>
              </w:rPr>
              <w:lastRenderedPageBreak/>
              <w:t>Rationale: The purpose for which data is to be shared and used must be appropriate.</w:t>
            </w:r>
          </w:p>
          <w:p w14:paraId="6B61C0B8" w14:textId="77777777" w:rsidR="005A6010" w:rsidRPr="00AC41E0" w:rsidRDefault="005A6010" w:rsidP="003674E7">
            <w:pPr>
              <w:pStyle w:val="DCSbodytext"/>
              <w:numPr>
                <w:ilvl w:val="0"/>
                <w:numId w:val="78"/>
              </w:numPr>
              <w:spacing w:after="120"/>
              <w:cnfStyle w:val="000000100000" w:firstRow="0" w:lastRow="0" w:firstColumn="0" w:lastColumn="0" w:oddVBand="0" w:evenVBand="0" w:oddHBand="1" w:evenHBand="0" w:firstRowFirstColumn="0" w:firstRowLastColumn="0" w:lastRowFirstColumn="0" w:lastRowLastColumn="0"/>
              <w:rPr>
                <w:rFonts w:eastAsia="Calibri"/>
                <w:lang w:val="en-US"/>
              </w:rPr>
            </w:pPr>
            <w:r w:rsidRPr="00AC41E0">
              <w:rPr>
                <w:rFonts w:eastAsia="Calibri"/>
                <w:lang w:val="en-US"/>
              </w:rPr>
              <w:t>What is the proposed use of the data and is the data necessary for that purpose?</w:t>
            </w:r>
          </w:p>
          <w:p w14:paraId="202B55E5" w14:textId="77777777" w:rsidR="005A6010" w:rsidRPr="00AC41E0" w:rsidRDefault="005A6010" w:rsidP="003674E7">
            <w:pPr>
              <w:pStyle w:val="DCSbodytext"/>
              <w:numPr>
                <w:ilvl w:val="0"/>
                <w:numId w:val="78"/>
              </w:numPr>
              <w:spacing w:after="120"/>
              <w:cnfStyle w:val="000000100000" w:firstRow="0" w:lastRow="0" w:firstColumn="0" w:lastColumn="0" w:oddVBand="0" w:evenVBand="0" w:oddHBand="1" w:evenHBand="0" w:firstRowFirstColumn="0" w:firstRowLastColumn="0" w:lastRowFirstColumn="0" w:lastRowLastColumn="0"/>
              <w:rPr>
                <w:rFonts w:eastAsia="Calibri"/>
                <w:lang w:val="en-US"/>
              </w:rPr>
            </w:pPr>
            <w:r w:rsidRPr="00AC41E0">
              <w:rPr>
                <w:rFonts w:eastAsia="Calibri"/>
                <w:lang w:val="en-US"/>
              </w:rPr>
              <w:t>Will the purpose of the data sharing or use be of value to the public?</w:t>
            </w:r>
          </w:p>
          <w:p w14:paraId="398B0031" w14:textId="77777777" w:rsidR="005A6010" w:rsidRPr="00AC41E0" w:rsidRDefault="005A6010" w:rsidP="003674E7">
            <w:pPr>
              <w:pStyle w:val="DCSbodytext"/>
              <w:numPr>
                <w:ilvl w:val="0"/>
                <w:numId w:val="78"/>
              </w:numPr>
              <w:spacing w:after="120"/>
              <w:cnfStyle w:val="000000100000" w:firstRow="0" w:lastRow="0" w:firstColumn="0" w:lastColumn="0" w:oddVBand="0" w:evenVBand="0" w:oddHBand="1" w:evenHBand="0" w:firstRowFirstColumn="0" w:firstRowLastColumn="0" w:lastRowFirstColumn="0" w:lastRowLastColumn="0"/>
              <w:rPr>
                <w:rFonts w:eastAsia="Calibri"/>
                <w:lang w:val="en-US"/>
              </w:rPr>
            </w:pPr>
            <w:r w:rsidRPr="00AC41E0">
              <w:rPr>
                <w:rFonts w:eastAsia="Calibri"/>
                <w:lang w:val="en-US"/>
              </w:rPr>
              <w:lastRenderedPageBreak/>
              <w:t>Does positive public interest outweigh negative public interest?</w:t>
            </w:r>
          </w:p>
          <w:p w14:paraId="24933503" w14:textId="77777777" w:rsidR="005A6010" w:rsidRPr="00AC41E0" w:rsidRDefault="005A6010" w:rsidP="003674E7">
            <w:pPr>
              <w:pStyle w:val="DCSbodytext"/>
              <w:numPr>
                <w:ilvl w:val="0"/>
                <w:numId w:val="78"/>
              </w:numPr>
              <w:spacing w:after="120"/>
              <w:cnfStyle w:val="000000100000" w:firstRow="0" w:lastRow="0" w:firstColumn="0" w:lastColumn="0" w:oddVBand="0" w:evenVBand="0" w:oddHBand="1" w:evenHBand="0" w:firstRowFirstColumn="0" w:firstRowLastColumn="0" w:lastRowFirstColumn="0" w:lastRowLastColumn="0"/>
              <w:rPr>
                <w:rFonts w:eastAsia="Calibri Light"/>
              </w:rPr>
            </w:pPr>
            <w:r w:rsidRPr="00AC41E0">
              <w:rPr>
                <w:rFonts w:eastAsia="Calibri"/>
                <w:lang w:val="en-US"/>
              </w:rPr>
              <w:t>Is there a risk of loss, harm, or other detriments to the community if the sharing and/or use of the data does not occur?</w:t>
            </w:r>
          </w:p>
        </w:tc>
      </w:tr>
      <w:tr w:rsidR="005A6010" w:rsidRPr="00AC41E0" w14:paraId="7AB596CC" w14:textId="77777777" w:rsidTr="003674E7">
        <w:tc>
          <w:tcPr>
            <w:cnfStyle w:val="001000000000" w:firstRow="0" w:lastRow="0" w:firstColumn="1" w:lastColumn="0" w:oddVBand="0" w:evenVBand="0" w:oddHBand="0" w:evenHBand="0" w:firstRowFirstColumn="0" w:firstRowLastColumn="0" w:lastRowFirstColumn="0" w:lastRowLastColumn="0"/>
            <w:tcW w:w="1635" w:type="dxa"/>
          </w:tcPr>
          <w:p w14:paraId="58C937B8" w14:textId="77777777" w:rsidR="005A6010" w:rsidRPr="00AC41E0" w:rsidRDefault="005A6010" w:rsidP="003674E7">
            <w:pPr>
              <w:pStyle w:val="DCSbodytext"/>
              <w:spacing w:after="120"/>
              <w:ind w:left="0"/>
              <w:rPr>
                <w:rFonts w:eastAsia="Calibri"/>
                <w:lang w:val="en-US"/>
              </w:rPr>
            </w:pPr>
            <w:r w:rsidRPr="00AC41E0">
              <w:rPr>
                <w:rFonts w:eastAsia="Calibri"/>
                <w:lang w:val="en-US"/>
              </w:rPr>
              <w:lastRenderedPageBreak/>
              <w:t>Safe Outputs</w:t>
            </w:r>
          </w:p>
          <w:p w14:paraId="3A6B6CEE" w14:textId="77777777" w:rsidR="005A6010" w:rsidRPr="00AC41E0" w:rsidRDefault="005A6010" w:rsidP="003674E7">
            <w:pPr>
              <w:pStyle w:val="DCSbodytext"/>
              <w:spacing w:after="120"/>
              <w:ind w:left="0"/>
              <w:rPr>
                <w:rFonts w:eastAsia="Calibri Light"/>
              </w:rPr>
            </w:pPr>
            <w:r w:rsidRPr="00AC41E0">
              <w:rPr>
                <w:rFonts w:eastAsia="Calibri"/>
                <w:lang w:val="en-US"/>
              </w:rPr>
              <w:t>The residual risk in publications from sensitive data.</w:t>
            </w:r>
          </w:p>
        </w:tc>
        <w:tc>
          <w:tcPr>
            <w:tcW w:w="7999" w:type="dxa"/>
          </w:tcPr>
          <w:p w14:paraId="463EAD31" w14:textId="77777777" w:rsidR="005A6010" w:rsidRPr="00AC41E0" w:rsidRDefault="005A6010" w:rsidP="003674E7">
            <w:pPr>
              <w:pStyle w:val="DCSbodytext"/>
              <w:spacing w:after="120"/>
              <w:ind w:left="0"/>
              <w:cnfStyle w:val="000000000000" w:firstRow="0" w:lastRow="0" w:firstColumn="0" w:lastColumn="0" w:oddVBand="0" w:evenVBand="0" w:oddHBand="0" w:evenHBand="0" w:firstRowFirstColumn="0" w:firstRowLastColumn="0" w:lastRowFirstColumn="0" w:lastRowLastColumn="0"/>
              <w:rPr>
                <w:rFonts w:eastAsia="Calibri"/>
                <w:lang w:val="en-US"/>
              </w:rPr>
            </w:pPr>
            <w:r w:rsidRPr="00AC41E0">
              <w:rPr>
                <w:rFonts w:eastAsia="Calibri"/>
                <w:lang w:val="en-US"/>
              </w:rPr>
              <w:t xml:space="preserve">Rationale: The publication or other disclosure of the results of data analytics work conducted on data shared under the </w:t>
            </w:r>
            <w:r w:rsidRPr="00AC41E0">
              <w:rPr>
                <w:rFonts w:eastAsia="Calibri"/>
                <w:i/>
                <w:lang w:val="en-US"/>
              </w:rPr>
              <w:t>Privacy and Personal Information Protection Act 1998</w:t>
            </w:r>
            <w:r w:rsidRPr="00AC41E0">
              <w:rPr>
                <w:rFonts w:eastAsia="Calibri"/>
                <w:lang w:val="en-US"/>
              </w:rPr>
              <w:t xml:space="preserve"> (NSW) must be appropriate: </w:t>
            </w:r>
          </w:p>
          <w:p w14:paraId="6D871C9F" w14:textId="77777777" w:rsidR="005A6010" w:rsidRPr="00AC41E0" w:rsidRDefault="005A6010" w:rsidP="003674E7">
            <w:pPr>
              <w:pStyle w:val="DCSbodytext"/>
              <w:numPr>
                <w:ilvl w:val="0"/>
                <w:numId w:val="77"/>
              </w:numPr>
              <w:spacing w:after="120"/>
              <w:cnfStyle w:val="000000000000" w:firstRow="0" w:lastRow="0" w:firstColumn="0" w:lastColumn="0" w:oddVBand="0" w:evenVBand="0" w:oddHBand="0" w:evenHBand="0" w:firstRowFirstColumn="0" w:firstRowLastColumn="0" w:lastRowFirstColumn="0" w:lastRowLastColumn="0"/>
              <w:rPr>
                <w:rFonts w:eastAsia="Calibri"/>
                <w:lang w:val="en-US"/>
              </w:rPr>
            </w:pPr>
            <w:r w:rsidRPr="00AC41E0">
              <w:rPr>
                <w:rFonts w:eastAsia="Calibri"/>
                <w:lang w:val="en-US"/>
              </w:rPr>
              <w:t>What is the nature of the proposed publication or disclosure?</w:t>
            </w:r>
          </w:p>
          <w:p w14:paraId="7361E835" w14:textId="77777777" w:rsidR="005A6010" w:rsidRPr="00AC41E0" w:rsidRDefault="005A6010" w:rsidP="003674E7">
            <w:pPr>
              <w:pStyle w:val="DCSbodytext"/>
              <w:numPr>
                <w:ilvl w:val="0"/>
                <w:numId w:val="77"/>
              </w:numPr>
              <w:spacing w:after="120"/>
              <w:cnfStyle w:val="000000000000" w:firstRow="0" w:lastRow="0" w:firstColumn="0" w:lastColumn="0" w:oddVBand="0" w:evenVBand="0" w:oddHBand="0" w:evenHBand="0" w:firstRowFirstColumn="0" w:firstRowLastColumn="0" w:lastRowFirstColumn="0" w:lastRowLastColumn="0"/>
              <w:rPr>
                <w:rFonts w:eastAsia="Calibri"/>
                <w:lang w:val="en-US"/>
              </w:rPr>
            </w:pPr>
            <w:r w:rsidRPr="00AC41E0">
              <w:rPr>
                <w:rFonts w:eastAsia="Calibri"/>
                <w:lang w:val="en-US"/>
              </w:rPr>
              <w:t>Who is the likely audience of the publication or disclosure?</w:t>
            </w:r>
          </w:p>
          <w:p w14:paraId="0E16418D" w14:textId="77777777" w:rsidR="005A6010" w:rsidRPr="00AC41E0" w:rsidRDefault="005A6010" w:rsidP="003674E7">
            <w:pPr>
              <w:pStyle w:val="DCSbodytext"/>
              <w:numPr>
                <w:ilvl w:val="0"/>
                <w:numId w:val="77"/>
              </w:numPr>
              <w:spacing w:after="120"/>
              <w:cnfStyle w:val="000000000000" w:firstRow="0" w:lastRow="0" w:firstColumn="0" w:lastColumn="0" w:oddVBand="0" w:evenVBand="0" w:oddHBand="0" w:evenHBand="0" w:firstRowFirstColumn="0" w:firstRowLastColumn="0" w:lastRowFirstColumn="0" w:lastRowLastColumn="0"/>
              <w:rPr>
                <w:rFonts w:eastAsia="Calibri"/>
                <w:lang w:val="en-US"/>
              </w:rPr>
            </w:pPr>
            <w:r w:rsidRPr="00AC41E0">
              <w:rPr>
                <w:rFonts w:eastAsia="Calibri"/>
                <w:lang w:val="en-US"/>
              </w:rPr>
              <w:t>What is the likelihood or extent to which the publication or disclosure may contribute to the identification of a person to whom the data relates?</w:t>
            </w:r>
          </w:p>
          <w:p w14:paraId="06DD814A" w14:textId="77777777" w:rsidR="005A6010" w:rsidRPr="00AC41E0" w:rsidRDefault="005A6010" w:rsidP="003674E7">
            <w:pPr>
              <w:pStyle w:val="DCSbodytext"/>
              <w:numPr>
                <w:ilvl w:val="0"/>
                <w:numId w:val="77"/>
              </w:numPr>
              <w:spacing w:after="120"/>
              <w:cnfStyle w:val="000000000000" w:firstRow="0" w:lastRow="0" w:firstColumn="0" w:lastColumn="0" w:oddVBand="0" w:evenVBand="0" w:oddHBand="0" w:evenHBand="0" w:firstRowFirstColumn="0" w:firstRowLastColumn="0" w:lastRowFirstColumn="0" w:lastRowLastColumn="0"/>
              <w:rPr>
                <w:rFonts w:eastAsia="Calibri Light"/>
              </w:rPr>
            </w:pPr>
            <w:r w:rsidRPr="00AC41E0">
              <w:rPr>
                <w:rFonts w:eastAsia="Calibri"/>
                <w:lang w:val="en-US"/>
              </w:rPr>
              <w:t>Will the results of the data analytics work or other data for publication or disclosure be audited and/or will that process involve the provider organisation?</w:t>
            </w:r>
          </w:p>
        </w:tc>
      </w:tr>
      <w:tr w:rsidR="005A6010" w:rsidRPr="00AC41E0" w14:paraId="480E1577" w14:textId="77777777" w:rsidTr="00367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236702AD" w14:textId="77777777" w:rsidR="005A6010" w:rsidRPr="00AC41E0" w:rsidRDefault="005A6010" w:rsidP="003674E7">
            <w:pPr>
              <w:pStyle w:val="DCSbodytext"/>
              <w:spacing w:after="120"/>
              <w:ind w:left="0"/>
              <w:rPr>
                <w:rFonts w:eastAsia="Calibri"/>
                <w:lang w:val="en-US"/>
              </w:rPr>
            </w:pPr>
            <w:r w:rsidRPr="00AC41E0">
              <w:rPr>
                <w:rFonts w:eastAsia="Calibri"/>
                <w:lang w:val="en-US"/>
              </w:rPr>
              <w:t>Safe Data</w:t>
            </w:r>
          </w:p>
          <w:p w14:paraId="41DE7659" w14:textId="77777777" w:rsidR="005A6010" w:rsidRPr="00AC41E0" w:rsidRDefault="005A6010" w:rsidP="003674E7">
            <w:pPr>
              <w:pStyle w:val="DCSbodytext"/>
              <w:spacing w:after="120"/>
              <w:ind w:left="0"/>
              <w:rPr>
                <w:rFonts w:eastAsia="Calibri Light"/>
              </w:rPr>
            </w:pPr>
            <w:r w:rsidRPr="00AC41E0">
              <w:rPr>
                <w:rFonts w:eastAsia="Calibri"/>
                <w:lang w:val="en-US"/>
              </w:rPr>
              <w:t>The potential for identification in the data, as well as its quality and sensitivity.</w:t>
            </w:r>
          </w:p>
        </w:tc>
        <w:tc>
          <w:tcPr>
            <w:tcW w:w="7999" w:type="dxa"/>
          </w:tcPr>
          <w:p w14:paraId="0E6F0376" w14:textId="77777777" w:rsidR="005A6010" w:rsidRPr="00AC41E0" w:rsidRDefault="005A6010" w:rsidP="003674E7">
            <w:pPr>
              <w:pStyle w:val="DCSbodytext"/>
              <w:spacing w:after="120"/>
              <w:ind w:left="0"/>
              <w:cnfStyle w:val="000000100000" w:firstRow="0" w:lastRow="0" w:firstColumn="0" w:lastColumn="0" w:oddVBand="0" w:evenVBand="0" w:oddHBand="1" w:evenHBand="0" w:firstRowFirstColumn="0" w:firstRowLastColumn="0" w:lastRowFirstColumn="0" w:lastRowLastColumn="0"/>
              <w:rPr>
                <w:rFonts w:eastAsia="Calibri"/>
                <w:lang w:val="en-US"/>
              </w:rPr>
            </w:pPr>
            <w:r w:rsidRPr="00AC41E0">
              <w:rPr>
                <w:rFonts w:eastAsia="Calibri"/>
                <w:lang w:val="en-US"/>
              </w:rPr>
              <w:t>Rationale: The purpose for which data is to be shared and used must be appropriate:</w:t>
            </w:r>
          </w:p>
          <w:p w14:paraId="53E47226" w14:textId="77777777" w:rsidR="005A6010" w:rsidRPr="00AC41E0" w:rsidRDefault="005A6010" w:rsidP="003674E7">
            <w:pPr>
              <w:pStyle w:val="DCSbodytext"/>
              <w:numPr>
                <w:ilvl w:val="0"/>
                <w:numId w:val="76"/>
              </w:numPr>
              <w:spacing w:after="120"/>
              <w:cnfStyle w:val="000000100000" w:firstRow="0" w:lastRow="0" w:firstColumn="0" w:lastColumn="0" w:oddVBand="0" w:evenVBand="0" w:oddHBand="1" w:evenHBand="0" w:firstRowFirstColumn="0" w:firstRowLastColumn="0" w:lastRowFirstColumn="0" w:lastRowLastColumn="0"/>
              <w:rPr>
                <w:rFonts w:eastAsia="Calibri"/>
              </w:rPr>
            </w:pPr>
            <w:r w:rsidRPr="00AC41E0">
              <w:rPr>
                <w:rFonts w:eastAsia="Calibri"/>
              </w:rPr>
              <w:t>What is the proposed use of the data and is the data necessary for the purpose?</w:t>
            </w:r>
          </w:p>
          <w:p w14:paraId="7DFC030D" w14:textId="77777777" w:rsidR="005A6010" w:rsidRPr="00AC41E0" w:rsidRDefault="005A6010" w:rsidP="003674E7">
            <w:pPr>
              <w:pStyle w:val="DCSbodytext"/>
              <w:numPr>
                <w:ilvl w:val="0"/>
                <w:numId w:val="76"/>
              </w:numPr>
              <w:spacing w:after="120"/>
              <w:cnfStyle w:val="000000100000" w:firstRow="0" w:lastRow="0" w:firstColumn="0" w:lastColumn="0" w:oddVBand="0" w:evenVBand="0" w:oddHBand="1" w:evenHBand="0" w:firstRowFirstColumn="0" w:firstRowLastColumn="0" w:lastRowFirstColumn="0" w:lastRowLastColumn="0"/>
              <w:rPr>
                <w:rFonts w:eastAsia="Calibri Light"/>
              </w:rPr>
            </w:pPr>
            <w:r w:rsidRPr="00AC41E0">
              <w:rPr>
                <w:rFonts w:eastAsia="Calibri"/>
              </w:rPr>
              <w:t>Will the purpose of the data sharing or use be of value to the public?</w:t>
            </w:r>
          </w:p>
        </w:tc>
      </w:tr>
    </w:tbl>
    <w:p w14:paraId="566479FD" w14:textId="77777777" w:rsidR="005A6010" w:rsidRPr="00AC41E0" w:rsidRDefault="005A6010">
      <w:pPr>
        <w:rPr>
          <w:rStyle w:val="Hyperlink"/>
          <w:rFonts w:eastAsia="Calibri" w:cs="Arial"/>
        </w:rPr>
      </w:pPr>
      <w:r w:rsidRPr="00AC41E0">
        <w:rPr>
          <w:rStyle w:val="Hyperlink"/>
          <w:rFonts w:eastAsia="Calibri" w:cs="Arial"/>
        </w:rPr>
        <w:br w:type="page"/>
      </w:r>
    </w:p>
    <w:p w14:paraId="05F6A338" w14:textId="23CD4E2C" w:rsidR="005A6010" w:rsidRPr="00AC41E0" w:rsidRDefault="005A6010" w:rsidP="005A6010">
      <w:pPr>
        <w:pStyle w:val="Heading2"/>
        <w:numPr>
          <w:ilvl w:val="0"/>
          <w:numId w:val="0"/>
        </w:numPr>
        <w:ind w:left="794" w:hanging="794"/>
        <w:rPr>
          <w:rFonts w:ascii="Arial" w:hAnsi="Arial"/>
        </w:rPr>
      </w:pPr>
      <w:bookmarkStart w:id="1949" w:name="_Toc65760614"/>
      <w:r w:rsidRPr="00AC41E0">
        <w:rPr>
          <w:rFonts w:ascii="Arial" w:hAnsi="Arial"/>
        </w:rPr>
        <w:lastRenderedPageBreak/>
        <w:t xml:space="preserve">Appendix </w:t>
      </w:r>
      <w:r w:rsidR="00F13E03" w:rsidRPr="00AC41E0">
        <w:rPr>
          <w:rFonts w:ascii="Arial" w:hAnsi="Arial"/>
        </w:rPr>
        <w:t xml:space="preserve">F </w:t>
      </w:r>
      <w:r w:rsidR="00F13E03" w:rsidRPr="00AC41E0">
        <w:rPr>
          <w:rFonts w:ascii="Arial" w:hAnsi="Arial"/>
          <w:sz w:val="22"/>
          <w:szCs w:val="32"/>
        </w:rPr>
        <w:t>– NSW Government policy, framework or tool referenced in the IoT Policy</w:t>
      </w:r>
      <w:bookmarkEnd w:id="1949"/>
    </w:p>
    <w:tbl>
      <w:tblPr>
        <w:tblStyle w:val="GridTable4-Accent1"/>
        <w:tblW w:w="0" w:type="auto"/>
        <w:tblInd w:w="846" w:type="dxa"/>
        <w:tblCellMar>
          <w:top w:w="28" w:type="dxa"/>
          <w:bottom w:w="85" w:type="dxa"/>
        </w:tblCellMar>
        <w:tblLook w:val="04A0" w:firstRow="1" w:lastRow="0" w:firstColumn="1" w:lastColumn="0" w:noHBand="0" w:noVBand="1"/>
      </w:tblPr>
      <w:tblGrid>
        <w:gridCol w:w="5103"/>
        <w:gridCol w:w="3260"/>
      </w:tblGrid>
      <w:tr w:rsidR="005A6010" w:rsidRPr="00AC41E0" w14:paraId="3D532ADF" w14:textId="77777777" w:rsidTr="00A672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1F497D" w:themeFill="text2"/>
          </w:tcPr>
          <w:p w14:paraId="5281A45B" w14:textId="77777777" w:rsidR="005A6010" w:rsidRPr="00AC41E0" w:rsidRDefault="005A6010" w:rsidP="003674E7">
            <w:pPr>
              <w:jc w:val="center"/>
              <w:rPr>
                <w:rFonts w:ascii="Arial" w:hAnsi="Arial" w:cs="Arial"/>
                <w:sz w:val="22"/>
                <w:szCs w:val="22"/>
              </w:rPr>
            </w:pPr>
            <w:r w:rsidRPr="00AC41E0">
              <w:rPr>
                <w:rFonts w:ascii="Arial" w:hAnsi="Arial" w:cs="Arial"/>
                <w:sz w:val="22"/>
                <w:szCs w:val="22"/>
              </w:rPr>
              <w:t>NSW Government policy, framework or tool</w:t>
            </w:r>
          </w:p>
        </w:tc>
        <w:tc>
          <w:tcPr>
            <w:tcW w:w="3260" w:type="dxa"/>
            <w:tcBorders>
              <w:top w:val="single" w:sz="4" w:space="0" w:color="auto"/>
              <w:left w:val="single" w:sz="4" w:space="0" w:color="auto"/>
              <w:bottom w:val="single" w:sz="4" w:space="0" w:color="auto"/>
              <w:right w:val="single" w:sz="4" w:space="0" w:color="auto"/>
            </w:tcBorders>
            <w:shd w:val="clear" w:color="auto" w:fill="1F497D" w:themeFill="text2"/>
          </w:tcPr>
          <w:p w14:paraId="528B1937" w14:textId="77777777" w:rsidR="005A6010" w:rsidRPr="00AC41E0" w:rsidRDefault="005A6010" w:rsidP="003674E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C41E0">
              <w:rPr>
                <w:rFonts w:ascii="Arial" w:hAnsi="Arial" w:cs="Arial"/>
                <w:sz w:val="22"/>
                <w:szCs w:val="22"/>
              </w:rPr>
              <w:t>IoT Policy chapter</w:t>
            </w:r>
          </w:p>
        </w:tc>
      </w:tr>
      <w:tr w:rsidR="005A6010" w:rsidRPr="00AC41E0" w14:paraId="7727066D" w14:textId="77777777" w:rsidTr="00A67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tcBorders>
          </w:tcPr>
          <w:p w14:paraId="3AA08953" w14:textId="77777777" w:rsidR="005A6010" w:rsidRPr="00E46FB0" w:rsidRDefault="00084371" w:rsidP="003674E7">
            <w:pPr>
              <w:rPr>
                <w:rFonts w:ascii="Arial" w:hAnsi="Arial" w:cs="Arial"/>
                <w:sz w:val="22"/>
                <w:szCs w:val="22"/>
              </w:rPr>
            </w:pPr>
            <w:hyperlink r:id="rId313" w:history="1">
              <w:r w:rsidR="005A6010" w:rsidRPr="00AC41E0">
                <w:rPr>
                  <w:rStyle w:val="Hyperlink"/>
                  <w:rFonts w:ascii="Arial" w:hAnsi="Arial" w:cs="Arial"/>
                  <w:sz w:val="22"/>
                  <w:szCs w:val="22"/>
                </w:rPr>
                <w:t>Preparing for effective engagement: A guide to developing engagement plans (2012)</w:t>
              </w:r>
            </w:hyperlink>
          </w:p>
        </w:tc>
        <w:tc>
          <w:tcPr>
            <w:tcW w:w="3260" w:type="dxa"/>
            <w:tcBorders>
              <w:top w:val="single" w:sz="4" w:space="0" w:color="auto"/>
            </w:tcBorders>
          </w:tcPr>
          <w:p w14:paraId="3BC1069A" w14:textId="77777777" w:rsidR="005A6010" w:rsidRPr="00E46FB0" w:rsidRDefault="00084371" w:rsidP="003674E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w:anchor="_Stakeholder_engagement" w:history="1">
              <w:r w:rsidR="005A6010" w:rsidRPr="00AC41E0">
                <w:rPr>
                  <w:rStyle w:val="Hyperlink"/>
                  <w:rFonts w:ascii="Arial" w:hAnsi="Arial" w:cs="Arial"/>
                  <w:sz w:val="22"/>
                  <w:szCs w:val="22"/>
                </w:rPr>
                <w:t>3.2 Stakeholder engagement</w:t>
              </w:r>
            </w:hyperlink>
          </w:p>
        </w:tc>
      </w:tr>
      <w:tr w:rsidR="005A6010" w:rsidRPr="00AC41E0" w14:paraId="66468285" w14:textId="77777777" w:rsidTr="003674E7">
        <w:tc>
          <w:tcPr>
            <w:cnfStyle w:val="001000000000" w:firstRow="0" w:lastRow="0" w:firstColumn="1" w:lastColumn="0" w:oddVBand="0" w:evenVBand="0" w:oddHBand="0" w:evenHBand="0" w:firstRowFirstColumn="0" w:firstRowLastColumn="0" w:lastRowFirstColumn="0" w:lastRowLastColumn="0"/>
            <w:tcW w:w="5103" w:type="dxa"/>
          </w:tcPr>
          <w:p w14:paraId="2F2E848D" w14:textId="77777777" w:rsidR="005A6010" w:rsidRPr="00E46FB0" w:rsidRDefault="00084371" w:rsidP="003674E7">
            <w:pPr>
              <w:rPr>
                <w:rFonts w:ascii="Arial" w:hAnsi="Arial" w:cs="Arial"/>
                <w:sz w:val="22"/>
                <w:szCs w:val="22"/>
              </w:rPr>
            </w:pPr>
            <w:hyperlink r:id="rId314" w:history="1">
              <w:r w:rsidR="005A6010" w:rsidRPr="00AC41E0">
                <w:rPr>
                  <w:rStyle w:val="Hyperlink"/>
                  <w:rFonts w:ascii="Arial" w:hAnsi="Arial" w:cs="Arial"/>
                  <w:sz w:val="22"/>
                  <w:szCs w:val="22"/>
                </w:rPr>
                <w:t>NSW Government Information Classification, Labelling and Handling Guidelines</w:t>
              </w:r>
            </w:hyperlink>
          </w:p>
        </w:tc>
        <w:tc>
          <w:tcPr>
            <w:tcW w:w="3260" w:type="dxa"/>
          </w:tcPr>
          <w:p w14:paraId="269FDFEE" w14:textId="77777777" w:rsidR="005A6010" w:rsidRPr="00E46FB0" w:rsidRDefault="00084371" w:rsidP="003674E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w:anchor="_Data_needs_assessment_1" w:history="1">
              <w:r w:rsidR="005A6010" w:rsidRPr="00AC41E0">
                <w:rPr>
                  <w:rStyle w:val="Hyperlink"/>
                  <w:rFonts w:ascii="Arial" w:hAnsi="Arial" w:cs="Arial"/>
                  <w:sz w:val="22"/>
                  <w:szCs w:val="22"/>
                </w:rPr>
                <w:t>3.3 Data needs assessment</w:t>
              </w:r>
            </w:hyperlink>
          </w:p>
          <w:p w14:paraId="5E5E649B" w14:textId="77777777" w:rsidR="005A6010" w:rsidRPr="00E46FB0" w:rsidRDefault="00084371" w:rsidP="003674E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w:anchor="_Data_obligations" w:history="1">
              <w:r w:rsidR="005A6010" w:rsidRPr="00AC41E0">
                <w:rPr>
                  <w:rStyle w:val="Hyperlink"/>
                  <w:rFonts w:ascii="Arial" w:hAnsi="Arial" w:cs="Arial"/>
                  <w:sz w:val="22"/>
                  <w:szCs w:val="22"/>
                </w:rPr>
                <w:t>3.7 Data obligations</w:t>
              </w:r>
            </w:hyperlink>
          </w:p>
        </w:tc>
      </w:tr>
      <w:tr w:rsidR="005A6010" w:rsidRPr="00AC41E0" w14:paraId="389EC19C" w14:textId="77777777" w:rsidTr="00367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A0A1DF4" w14:textId="77777777" w:rsidR="005A6010" w:rsidRPr="00E46FB0" w:rsidRDefault="00084371" w:rsidP="003674E7">
            <w:pPr>
              <w:rPr>
                <w:rFonts w:ascii="Arial" w:hAnsi="Arial" w:cs="Arial"/>
                <w:sz w:val="22"/>
                <w:szCs w:val="22"/>
              </w:rPr>
            </w:pPr>
            <w:hyperlink r:id="rId315" w:history="1">
              <w:r w:rsidR="005A6010" w:rsidRPr="00AC41E0">
                <w:rPr>
                  <w:rStyle w:val="Hyperlink"/>
                  <w:rFonts w:ascii="Arial" w:hAnsi="Arial" w:cs="Arial"/>
                  <w:sz w:val="22"/>
                  <w:szCs w:val="22"/>
                </w:rPr>
                <w:t>NSW Government Cloud Policy (2018)</w:t>
              </w:r>
            </w:hyperlink>
          </w:p>
        </w:tc>
        <w:tc>
          <w:tcPr>
            <w:tcW w:w="3260" w:type="dxa"/>
          </w:tcPr>
          <w:p w14:paraId="312BFA39" w14:textId="77777777" w:rsidR="005A6010" w:rsidRPr="00E46FB0" w:rsidRDefault="00084371" w:rsidP="003674E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w:anchor="_Data_needs_assessment_1" w:history="1">
              <w:r w:rsidR="005A6010" w:rsidRPr="00AC41E0">
                <w:rPr>
                  <w:rStyle w:val="Hyperlink"/>
                  <w:rFonts w:ascii="Arial" w:hAnsi="Arial" w:cs="Arial"/>
                  <w:sz w:val="22"/>
                  <w:szCs w:val="22"/>
                </w:rPr>
                <w:t>3.3 Data needs assessment</w:t>
              </w:r>
            </w:hyperlink>
          </w:p>
          <w:p w14:paraId="7F2B3BB6" w14:textId="77777777" w:rsidR="005A6010" w:rsidRPr="00E46FB0" w:rsidRDefault="00084371" w:rsidP="003674E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w:anchor="_Risks_and_obligations_2" w:history="1">
              <w:r w:rsidR="005A6010" w:rsidRPr="00AC41E0">
                <w:rPr>
                  <w:rStyle w:val="Hyperlink"/>
                  <w:rFonts w:ascii="Arial" w:hAnsi="Arial" w:cs="Arial"/>
                  <w:sz w:val="22"/>
                  <w:szCs w:val="22"/>
                </w:rPr>
                <w:t>3.4 Risks and Obligations</w:t>
              </w:r>
            </w:hyperlink>
          </w:p>
        </w:tc>
      </w:tr>
      <w:tr w:rsidR="005A6010" w:rsidRPr="00AC41E0" w14:paraId="44AEA159" w14:textId="77777777" w:rsidTr="003674E7">
        <w:tc>
          <w:tcPr>
            <w:cnfStyle w:val="001000000000" w:firstRow="0" w:lastRow="0" w:firstColumn="1" w:lastColumn="0" w:oddVBand="0" w:evenVBand="0" w:oddHBand="0" w:evenHBand="0" w:firstRowFirstColumn="0" w:firstRowLastColumn="0" w:lastRowFirstColumn="0" w:lastRowLastColumn="0"/>
            <w:tcW w:w="5103" w:type="dxa"/>
          </w:tcPr>
          <w:p w14:paraId="3D764754" w14:textId="77777777" w:rsidR="005A6010" w:rsidRPr="00E46FB0" w:rsidRDefault="00084371" w:rsidP="003674E7">
            <w:pPr>
              <w:spacing w:after="60"/>
              <w:rPr>
                <w:rFonts w:ascii="Arial" w:hAnsi="Arial" w:cs="Arial"/>
                <w:sz w:val="22"/>
                <w:szCs w:val="22"/>
              </w:rPr>
            </w:pPr>
            <w:hyperlink r:id="rId316" w:history="1">
              <w:r w:rsidR="005A6010" w:rsidRPr="00AC41E0">
                <w:rPr>
                  <w:rStyle w:val="Hyperlink"/>
                  <w:rFonts w:ascii="Arial" w:hAnsi="Arial" w:cs="Arial"/>
                  <w:sz w:val="22"/>
                  <w:szCs w:val="22"/>
                </w:rPr>
                <w:t>Internal Audit and Risk Management Policy for the NSW Public Sector (2015)</w:t>
              </w:r>
            </w:hyperlink>
          </w:p>
        </w:tc>
        <w:tc>
          <w:tcPr>
            <w:tcW w:w="3260" w:type="dxa"/>
          </w:tcPr>
          <w:p w14:paraId="7D9B2A31" w14:textId="77777777" w:rsidR="005A6010" w:rsidRPr="00E46FB0" w:rsidRDefault="00084371" w:rsidP="003674E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w:anchor="_Risks_and_obligations_2" w:history="1">
              <w:r w:rsidR="005A6010" w:rsidRPr="00AC41E0">
                <w:rPr>
                  <w:rStyle w:val="Hyperlink"/>
                  <w:rFonts w:ascii="Arial" w:hAnsi="Arial" w:cs="Arial"/>
                  <w:sz w:val="22"/>
                  <w:szCs w:val="22"/>
                </w:rPr>
                <w:t>3.4 Risks and Obligations</w:t>
              </w:r>
            </w:hyperlink>
          </w:p>
        </w:tc>
      </w:tr>
      <w:tr w:rsidR="005A6010" w:rsidRPr="00AC41E0" w14:paraId="42372362" w14:textId="77777777" w:rsidTr="00367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A709D6F" w14:textId="77777777" w:rsidR="005A6010" w:rsidRPr="00E46FB0" w:rsidRDefault="00084371" w:rsidP="003674E7">
            <w:pPr>
              <w:spacing w:after="60"/>
              <w:rPr>
                <w:rFonts w:ascii="Arial" w:hAnsi="Arial" w:cs="Arial"/>
                <w:sz w:val="22"/>
                <w:szCs w:val="22"/>
              </w:rPr>
            </w:pPr>
            <w:hyperlink r:id="rId317" w:history="1">
              <w:r w:rsidR="005A6010" w:rsidRPr="00AC41E0">
                <w:rPr>
                  <w:rStyle w:val="Hyperlink"/>
                  <w:rFonts w:ascii="Arial" w:hAnsi="Arial" w:cs="Arial"/>
                  <w:sz w:val="22"/>
                  <w:szCs w:val="22"/>
                </w:rPr>
                <w:t>NSW Auditor General’s report - Internal Controls and Governance (2018)</w:t>
              </w:r>
            </w:hyperlink>
          </w:p>
        </w:tc>
        <w:tc>
          <w:tcPr>
            <w:tcW w:w="3260" w:type="dxa"/>
          </w:tcPr>
          <w:p w14:paraId="4D549DD0" w14:textId="77777777" w:rsidR="005A6010" w:rsidRPr="00E46FB0" w:rsidRDefault="00084371" w:rsidP="003674E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w:anchor="_Risks_and_obligations_2" w:history="1">
              <w:r w:rsidR="005A6010" w:rsidRPr="00AC41E0">
                <w:rPr>
                  <w:rStyle w:val="Hyperlink"/>
                  <w:rFonts w:ascii="Arial" w:hAnsi="Arial" w:cs="Arial"/>
                  <w:sz w:val="22"/>
                  <w:szCs w:val="22"/>
                </w:rPr>
                <w:t>3.4 Risks and Obligations</w:t>
              </w:r>
            </w:hyperlink>
          </w:p>
        </w:tc>
      </w:tr>
      <w:tr w:rsidR="005A6010" w:rsidRPr="00AC41E0" w14:paraId="72DDB462" w14:textId="77777777" w:rsidTr="003674E7">
        <w:tc>
          <w:tcPr>
            <w:cnfStyle w:val="001000000000" w:firstRow="0" w:lastRow="0" w:firstColumn="1" w:lastColumn="0" w:oddVBand="0" w:evenVBand="0" w:oddHBand="0" w:evenHBand="0" w:firstRowFirstColumn="0" w:firstRowLastColumn="0" w:lastRowFirstColumn="0" w:lastRowLastColumn="0"/>
            <w:tcW w:w="5103" w:type="dxa"/>
          </w:tcPr>
          <w:p w14:paraId="585532E1" w14:textId="77777777" w:rsidR="005A6010" w:rsidRPr="00E46FB0" w:rsidRDefault="00084371" w:rsidP="003674E7">
            <w:pPr>
              <w:rPr>
                <w:rFonts w:ascii="Arial" w:hAnsi="Arial" w:cs="Arial"/>
                <w:sz w:val="22"/>
                <w:szCs w:val="22"/>
              </w:rPr>
            </w:pPr>
            <w:hyperlink r:id="rId318" w:history="1">
              <w:r w:rsidR="005A6010" w:rsidRPr="00AC41E0">
                <w:rPr>
                  <w:rStyle w:val="Hyperlink"/>
                  <w:rFonts w:ascii="Arial" w:hAnsi="Arial" w:cs="Arial"/>
                  <w:sz w:val="22"/>
                  <w:szCs w:val="22"/>
                </w:rPr>
                <w:t>Audit Office of NSW Risk Management Framework (2018)</w:t>
              </w:r>
            </w:hyperlink>
          </w:p>
        </w:tc>
        <w:tc>
          <w:tcPr>
            <w:tcW w:w="3260" w:type="dxa"/>
          </w:tcPr>
          <w:p w14:paraId="578DB821" w14:textId="77777777" w:rsidR="005A6010" w:rsidRPr="00E46FB0" w:rsidRDefault="00084371" w:rsidP="003674E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w:anchor="_Risks_and_obligations_2" w:history="1">
              <w:r w:rsidR="005A6010" w:rsidRPr="00AC41E0">
                <w:rPr>
                  <w:rStyle w:val="Hyperlink"/>
                  <w:rFonts w:ascii="Arial" w:hAnsi="Arial" w:cs="Arial"/>
                  <w:sz w:val="22"/>
                  <w:szCs w:val="22"/>
                </w:rPr>
                <w:t>3.4 Risks and Obligations</w:t>
              </w:r>
            </w:hyperlink>
          </w:p>
        </w:tc>
      </w:tr>
      <w:tr w:rsidR="005A6010" w:rsidRPr="00AC41E0" w14:paraId="0D1F2B6D" w14:textId="77777777" w:rsidTr="00367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E5E111B" w14:textId="77777777" w:rsidR="005A6010" w:rsidRPr="00E46FB0" w:rsidRDefault="00084371" w:rsidP="003674E7">
            <w:pPr>
              <w:spacing w:after="60"/>
              <w:rPr>
                <w:rFonts w:ascii="Arial" w:hAnsi="Arial" w:cs="Arial"/>
                <w:sz w:val="22"/>
                <w:szCs w:val="22"/>
              </w:rPr>
            </w:pPr>
            <w:hyperlink r:id="rId319" w:history="1">
              <w:r w:rsidR="005A6010" w:rsidRPr="00AC41E0">
                <w:rPr>
                  <w:rStyle w:val="Hyperlink"/>
                  <w:rFonts w:ascii="Arial" w:hAnsi="Arial" w:cs="Arial"/>
                  <w:sz w:val="22"/>
                  <w:szCs w:val="22"/>
                </w:rPr>
                <w:t>NSW Treasury Risk Management Toolkit (2012)</w:t>
              </w:r>
            </w:hyperlink>
          </w:p>
        </w:tc>
        <w:tc>
          <w:tcPr>
            <w:tcW w:w="3260" w:type="dxa"/>
          </w:tcPr>
          <w:p w14:paraId="39C31C3D" w14:textId="77777777" w:rsidR="005A6010" w:rsidRPr="00E46FB0" w:rsidRDefault="00084371" w:rsidP="003674E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w:anchor="_Risks_and_obligations_2" w:history="1">
              <w:r w:rsidR="005A6010" w:rsidRPr="00AC41E0">
                <w:rPr>
                  <w:rStyle w:val="Hyperlink"/>
                  <w:rFonts w:ascii="Arial" w:hAnsi="Arial" w:cs="Arial"/>
                  <w:sz w:val="22"/>
                  <w:szCs w:val="22"/>
                </w:rPr>
                <w:t>3.4 Risks and Obligations</w:t>
              </w:r>
            </w:hyperlink>
          </w:p>
        </w:tc>
      </w:tr>
      <w:tr w:rsidR="005A6010" w:rsidRPr="00AC41E0" w14:paraId="51A4CE3A" w14:textId="77777777" w:rsidTr="003674E7">
        <w:tc>
          <w:tcPr>
            <w:cnfStyle w:val="001000000000" w:firstRow="0" w:lastRow="0" w:firstColumn="1" w:lastColumn="0" w:oddVBand="0" w:evenVBand="0" w:oddHBand="0" w:evenHBand="0" w:firstRowFirstColumn="0" w:firstRowLastColumn="0" w:lastRowFirstColumn="0" w:lastRowLastColumn="0"/>
            <w:tcW w:w="5103" w:type="dxa"/>
          </w:tcPr>
          <w:p w14:paraId="7FD1B136" w14:textId="77777777" w:rsidR="005A6010" w:rsidRPr="00E46FB0" w:rsidRDefault="00084371" w:rsidP="003674E7">
            <w:pPr>
              <w:spacing w:after="60"/>
              <w:rPr>
                <w:rFonts w:ascii="Arial" w:hAnsi="Arial" w:cs="Arial"/>
                <w:color w:val="000000"/>
                <w:sz w:val="22"/>
                <w:szCs w:val="22"/>
              </w:rPr>
            </w:pPr>
            <w:hyperlink r:id="rId320" w:history="1">
              <w:r w:rsidR="005A6010" w:rsidRPr="00AC41E0">
                <w:rPr>
                  <w:rStyle w:val="Hyperlink"/>
                  <w:rFonts w:ascii="Arial" w:hAnsi="Arial" w:cs="Arial"/>
                  <w:sz w:val="22"/>
                  <w:szCs w:val="22"/>
                </w:rPr>
                <w:t>NSW Cyber Security Policy (2019)</w:t>
              </w:r>
            </w:hyperlink>
          </w:p>
          <w:p w14:paraId="2A8862CC" w14:textId="77777777" w:rsidR="005A6010" w:rsidRPr="00AC41E0" w:rsidRDefault="005A6010" w:rsidP="003674E7">
            <w:pPr>
              <w:rPr>
                <w:rFonts w:ascii="Arial" w:hAnsi="Arial" w:cs="Arial"/>
                <w:sz w:val="22"/>
                <w:szCs w:val="22"/>
              </w:rPr>
            </w:pPr>
          </w:p>
        </w:tc>
        <w:tc>
          <w:tcPr>
            <w:tcW w:w="3260" w:type="dxa"/>
          </w:tcPr>
          <w:p w14:paraId="4D430174" w14:textId="77777777" w:rsidR="005A6010" w:rsidRPr="00E46FB0" w:rsidRDefault="00084371" w:rsidP="003674E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w:anchor="_Risks_and_obligations_2" w:history="1">
              <w:r w:rsidR="005A6010" w:rsidRPr="00AC41E0">
                <w:rPr>
                  <w:rStyle w:val="Hyperlink"/>
                  <w:rFonts w:ascii="Arial" w:hAnsi="Arial" w:cs="Arial"/>
                  <w:sz w:val="22"/>
                  <w:szCs w:val="22"/>
                </w:rPr>
                <w:t>3.4 Risks and Obligations</w:t>
              </w:r>
            </w:hyperlink>
          </w:p>
          <w:p w14:paraId="1E9B94B6" w14:textId="77777777" w:rsidR="005A6010" w:rsidRPr="00E46FB0" w:rsidRDefault="00084371" w:rsidP="003674E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w:anchor="_Cyber_Security_1" w:history="1">
              <w:r w:rsidR="005A6010" w:rsidRPr="00AC41E0">
                <w:rPr>
                  <w:rStyle w:val="Hyperlink"/>
                  <w:rFonts w:ascii="Arial" w:hAnsi="Arial" w:cs="Arial"/>
                  <w:sz w:val="22"/>
                  <w:szCs w:val="22"/>
                </w:rPr>
                <w:t>3.6 Cyber Security</w:t>
              </w:r>
            </w:hyperlink>
          </w:p>
        </w:tc>
      </w:tr>
      <w:tr w:rsidR="005A6010" w:rsidRPr="00AC41E0" w14:paraId="62F93C95" w14:textId="77777777" w:rsidTr="00367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A88652E" w14:textId="77777777" w:rsidR="005A6010" w:rsidRPr="00E46FB0" w:rsidRDefault="00084371" w:rsidP="003674E7">
            <w:pPr>
              <w:rPr>
                <w:rFonts w:ascii="Arial" w:hAnsi="Arial" w:cs="Arial"/>
                <w:sz w:val="22"/>
                <w:szCs w:val="22"/>
              </w:rPr>
            </w:pPr>
            <w:hyperlink r:id="rId321" w:history="1">
              <w:r w:rsidR="005A6010" w:rsidRPr="00AC41E0">
                <w:rPr>
                  <w:rStyle w:val="Hyperlink"/>
                  <w:rFonts w:ascii="Arial" w:hAnsi="Arial" w:cs="Arial"/>
                  <w:sz w:val="22"/>
                  <w:szCs w:val="22"/>
                </w:rPr>
                <w:t>NSW Government Procurement Guidelines - Risk Management (2006)</w:t>
              </w:r>
            </w:hyperlink>
          </w:p>
        </w:tc>
        <w:tc>
          <w:tcPr>
            <w:tcW w:w="3260" w:type="dxa"/>
          </w:tcPr>
          <w:p w14:paraId="1D9E74F2" w14:textId="77777777" w:rsidR="005A6010" w:rsidRPr="00E46FB0" w:rsidRDefault="00084371" w:rsidP="003674E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w:anchor="_Risks_and_obligations_2" w:history="1">
              <w:r w:rsidR="005A6010" w:rsidRPr="00AC41E0">
                <w:rPr>
                  <w:rStyle w:val="Hyperlink"/>
                  <w:rFonts w:ascii="Arial" w:hAnsi="Arial" w:cs="Arial"/>
                  <w:sz w:val="22"/>
                  <w:szCs w:val="22"/>
                </w:rPr>
                <w:t>3.4 Risks and Obligations</w:t>
              </w:r>
            </w:hyperlink>
          </w:p>
        </w:tc>
      </w:tr>
      <w:tr w:rsidR="005A6010" w:rsidRPr="00AC41E0" w14:paraId="5AEBAE61" w14:textId="77777777" w:rsidTr="003674E7">
        <w:tc>
          <w:tcPr>
            <w:cnfStyle w:val="001000000000" w:firstRow="0" w:lastRow="0" w:firstColumn="1" w:lastColumn="0" w:oddVBand="0" w:evenVBand="0" w:oddHBand="0" w:evenHBand="0" w:firstRowFirstColumn="0" w:firstRowLastColumn="0" w:lastRowFirstColumn="0" w:lastRowLastColumn="0"/>
            <w:tcW w:w="5103" w:type="dxa"/>
          </w:tcPr>
          <w:p w14:paraId="0E9603B6" w14:textId="77777777" w:rsidR="005A6010" w:rsidRPr="00AC41E0" w:rsidRDefault="00084371" w:rsidP="003674E7">
            <w:pPr>
              <w:spacing w:after="60"/>
              <w:rPr>
                <w:rFonts w:ascii="Arial" w:hAnsi="Arial" w:cs="Arial"/>
                <w:sz w:val="22"/>
                <w:szCs w:val="22"/>
              </w:rPr>
            </w:pPr>
            <w:hyperlink r:id="rId322" w:history="1">
              <w:r w:rsidR="005A6010" w:rsidRPr="00AC41E0">
                <w:rPr>
                  <w:rStyle w:val="Hyperlink"/>
                  <w:rFonts w:ascii="Arial" w:hAnsi="Arial" w:cs="Arial"/>
                  <w:sz w:val="22"/>
                  <w:szCs w:val="22"/>
                </w:rPr>
                <w:t>NSW Data and Information Custodianship Policy (2013)</w:t>
              </w:r>
            </w:hyperlink>
            <w:r w:rsidR="005A6010" w:rsidRPr="00E46FB0">
              <w:rPr>
                <w:rStyle w:val="Hyperlink"/>
                <w:rFonts w:ascii="Arial" w:eastAsia="Times New Roman" w:hAnsi="Arial" w:cs="Arial"/>
                <w:sz w:val="22"/>
                <w:szCs w:val="22"/>
                <w:lang w:eastAsia="en-AU"/>
              </w:rPr>
              <w:t xml:space="preserve"> </w:t>
            </w:r>
          </w:p>
        </w:tc>
        <w:tc>
          <w:tcPr>
            <w:tcW w:w="3260" w:type="dxa"/>
          </w:tcPr>
          <w:p w14:paraId="2C191FF4" w14:textId="77777777" w:rsidR="005A6010" w:rsidRPr="00E46FB0" w:rsidRDefault="00084371" w:rsidP="003674E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w:anchor="_Risks_and_obligations_2" w:history="1">
              <w:r w:rsidR="005A6010" w:rsidRPr="00AC41E0">
                <w:rPr>
                  <w:rStyle w:val="Hyperlink"/>
                  <w:rFonts w:ascii="Arial" w:hAnsi="Arial" w:cs="Arial"/>
                  <w:sz w:val="22"/>
                  <w:szCs w:val="22"/>
                </w:rPr>
                <w:t>3.4 Risks and Obligations</w:t>
              </w:r>
            </w:hyperlink>
          </w:p>
        </w:tc>
      </w:tr>
      <w:tr w:rsidR="005A6010" w:rsidRPr="00AC41E0" w14:paraId="24447970" w14:textId="77777777" w:rsidTr="00367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1E8D97CE" w14:textId="77777777" w:rsidR="005A6010" w:rsidRPr="00E46FB0" w:rsidRDefault="00084371" w:rsidP="003674E7">
            <w:pPr>
              <w:rPr>
                <w:rFonts w:ascii="Arial" w:hAnsi="Arial" w:cs="Arial"/>
                <w:sz w:val="22"/>
                <w:szCs w:val="22"/>
              </w:rPr>
            </w:pPr>
            <w:hyperlink r:id="rId323" w:history="1">
              <w:r w:rsidR="005A6010" w:rsidRPr="00AC41E0">
                <w:rPr>
                  <w:rStyle w:val="Hyperlink"/>
                  <w:rFonts w:ascii="Arial" w:hAnsi="Arial" w:cs="Arial"/>
                  <w:sz w:val="22"/>
                  <w:szCs w:val="22"/>
                </w:rPr>
                <w:t>SafeWork NSW codes of practice</w:t>
              </w:r>
            </w:hyperlink>
          </w:p>
        </w:tc>
        <w:tc>
          <w:tcPr>
            <w:tcW w:w="3260" w:type="dxa"/>
          </w:tcPr>
          <w:p w14:paraId="39058823" w14:textId="77777777" w:rsidR="005A6010" w:rsidRPr="00E46FB0" w:rsidRDefault="00084371" w:rsidP="003674E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w:anchor="_Risks_and_obligations_2" w:history="1">
              <w:r w:rsidR="005A6010" w:rsidRPr="00AC41E0">
                <w:rPr>
                  <w:rStyle w:val="Hyperlink"/>
                  <w:rFonts w:ascii="Arial" w:hAnsi="Arial" w:cs="Arial"/>
                  <w:sz w:val="22"/>
                  <w:szCs w:val="22"/>
                </w:rPr>
                <w:t>3.4 Risks and Obligations</w:t>
              </w:r>
            </w:hyperlink>
          </w:p>
        </w:tc>
      </w:tr>
      <w:tr w:rsidR="005A6010" w:rsidRPr="00AC41E0" w14:paraId="73AAEB42" w14:textId="77777777" w:rsidTr="003674E7">
        <w:tc>
          <w:tcPr>
            <w:cnfStyle w:val="001000000000" w:firstRow="0" w:lastRow="0" w:firstColumn="1" w:lastColumn="0" w:oddVBand="0" w:evenVBand="0" w:oddHBand="0" w:evenHBand="0" w:firstRowFirstColumn="0" w:firstRowLastColumn="0" w:lastRowFirstColumn="0" w:lastRowLastColumn="0"/>
            <w:tcW w:w="5103" w:type="dxa"/>
          </w:tcPr>
          <w:p w14:paraId="71F3858A" w14:textId="3812F879" w:rsidR="005A6010" w:rsidRPr="00E46FB0" w:rsidRDefault="00084371" w:rsidP="003674E7">
            <w:pPr>
              <w:pStyle w:val="DCSbodytext"/>
              <w:ind w:left="0"/>
              <w:rPr>
                <w:rFonts w:cs="Arial"/>
                <w:szCs w:val="22"/>
              </w:rPr>
            </w:pPr>
            <w:hyperlink r:id="rId324" w:history="1">
              <w:r w:rsidR="005A6010" w:rsidRPr="00AC41E0">
                <w:rPr>
                  <w:rStyle w:val="Hyperlink"/>
                  <w:rFonts w:cs="Arial"/>
                  <w:szCs w:val="22"/>
                </w:rPr>
                <w:t>Information Governance Agency Self-</w:t>
              </w:r>
              <w:r w:rsidR="00622B41" w:rsidRPr="00AC41E0">
                <w:rPr>
                  <w:rStyle w:val="Hyperlink"/>
                  <w:rFonts w:cs="Arial"/>
                  <w:szCs w:val="22"/>
                </w:rPr>
                <w:t>Assessment</w:t>
              </w:r>
              <w:r w:rsidR="005A6010" w:rsidRPr="00AC41E0">
                <w:rPr>
                  <w:rStyle w:val="Hyperlink"/>
                  <w:rFonts w:cs="Arial"/>
                  <w:szCs w:val="22"/>
                </w:rPr>
                <w:t xml:space="preserve"> Tools</w:t>
              </w:r>
            </w:hyperlink>
          </w:p>
        </w:tc>
        <w:tc>
          <w:tcPr>
            <w:tcW w:w="3260" w:type="dxa"/>
          </w:tcPr>
          <w:p w14:paraId="265706C1" w14:textId="77777777" w:rsidR="005A6010" w:rsidRPr="00E46FB0" w:rsidRDefault="00084371" w:rsidP="003674E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w:anchor="_Privacy" w:history="1">
              <w:r w:rsidR="005A6010" w:rsidRPr="00AC41E0">
                <w:rPr>
                  <w:rStyle w:val="Hyperlink"/>
                  <w:rFonts w:ascii="Arial" w:hAnsi="Arial" w:cs="Arial"/>
                  <w:sz w:val="22"/>
                  <w:szCs w:val="22"/>
                </w:rPr>
                <w:t>3.5 Privacy</w:t>
              </w:r>
            </w:hyperlink>
          </w:p>
        </w:tc>
      </w:tr>
      <w:tr w:rsidR="005A6010" w:rsidRPr="00AC41E0" w14:paraId="2AA807AA" w14:textId="77777777" w:rsidTr="00367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F103850" w14:textId="77777777" w:rsidR="005A6010" w:rsidRPr="00E46FB0" w:rsidRDefault="00084371" w:rsidP="003674E7">
            <w:pPr>
              <w:pStyle w:val="DCSbodytext"/>
              <w:spacing w:after="120"/>
              <w:ind w:left="0"/>
              <w:rPr>
                <w:rFonts w:cs="Arial"/>
                <w:szCs w:val="22"/>
              </w:rPr>
            </w:pPr>
            <w:hyperlink r:id="rId325" w:history="1">
              <w:r w:rsidR="005A6010" w:rsidRPr="00AC41E0">
                <w:rPr>
                  <w:rStyle w:val="Hyperlink"/>
                  <w:rFonts w:cs="Arial"/>
                  <w:szCs w:val="22"/>
                </w:rPr>
                <w:t>Guide to Privacy Impact Assessments in NSW</w:t>
              </w:r>
            </w:hyperlink>
          </w:p>
        </w:tc>
        <w:tc>
          <w:tcPr>
            <w:tcW w:w="3260" w:type="dxa"/>
          </w:tcPr>
          <w:p w14:paraId="2C4D4049" w14:textId="77777777" w:rsidR="005A6010" w:rsidRPr="00E46FB0" w:rsidRDefault="00084371" w:rsidP="003674E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w:anchor="_Privacy" w:history="1">
              <w:r w:rsidR="005A6010" w:rsidRPr="00AC41E0">
                <w:rPr>
                  <w:rStyle w:val="Hyperlink"/>
                  <w:rFonts w:ascii="Arial" w:hAnsi="Arial" w:cs="Arial"/>
                  <w:sz w:val="22"/>
                  <w:szCs w:val="22"/>
                </w:rPr>
                <w:t>3.5 Privacy</w:t>
              </w:r>
            </w:hyperlink>
          </w:p>
        </w:tc>
      </w:tr>
      <w:tr w:rsidR="005A6010" w:rsidRPr="00AC41E0" w14:paraId="3A917E86" w14:textId="77777777" w:rsidTr="003674E7">
        <w:tc>
          <w:tcPr>
            <w:cnfStyle w:val="001000000000" w:firstRow="0" w:lastRow="0" w:firstColumn="1" w:lastColumn="0" w:oddVBand="0" w:evenVBand="0" w:oddHBand="0" w:evenHBand="0" w:firstRowFirstColumn="0" w:firstRowLastColumn="0" w:lastRowFirstColumn="0" w:lastRowLastColumn="0"/>
            <w:tcW w:w="5103" w:type="dxa"/>
          </w:tcPr>
          <w:p w14:paraId="0B3AC1C1" w14:textId="77777777" w:rsidR="005A6010" w:rsidRPr="00E46FB0" w:rsidRDefault="00084371" w:rsidP="003674E7">
            <w:pPr>
              <w:rPr>
                <w:rFonts w:ascii="Arial" w:hAnsi="Arial" w:cs="Arial"/>
                <w:sz w:val="22"/>
                <w:szCs w:val="22"/>
              </w:rPr>
            </w:pPr>
            <w:hyperlink r:id="rId326" w:history="1">
              <w:r w:rsidR="005A6010" w:rsidRPr="00AC41E0">
                <w:rPr>
                  <w:rStyle w:val="Hyperlink"/>
                  <w:rFonts w:ascii="Arial" w:hAnsi="Arial" w:cs="Arial"/>
                  <w:sz w:val="22"/>
                  <w:szCs w:val="22"/>
                  <w:shd w:val="clear" w:color="auto" w:fill="FFFFFF"/>
                </w:rPr>
                <w:t>NSW Open Data Policy</w:t>
              </w:r>
            </w:hyperlink>
          </w:p>
        </w:tc>
        <w:tc>
          <w:tcPr>
            <w:tcW w:w="3260" w:type="dxa"/>
          </w:tcPr>
          <w:p w14:paraId="6827B70B" w14:textId="77777777" w:rsidR="005A6010" w:rsidRPr="00E46FB0" w:rsidRDefault="00084371" w:rsidP="003674E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w:anchor="_Data_obligations" w:history="1">
              <w:r w:rsidR="005A6010" w:rsidRPr="00AC41E0">
                <w:rPr>
                  <w:rStyle w:val="Hyperlink"/>
                  <w:rFonts w:ascii="Arial" w:hAnsi="Arial" w:cs="Arial"/>
                  <w:sz w:val="22"/>
                  <w:szCs w:val="22"/>
                </w:rPr>
                <w:t>3.7 Data obligations</w:t>
              </w:r>
            </w:hyperlink>
          </w:p>
          <w:p w14:paraId="56A60819" w14:textId="77777777" w:rsidR="005A6010" w:rsidRPr="00E46FB0" w:rsidRDefault="00084371" w:rsidP="003674E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w:anchor="_Data_sharing" w:history="1">
              <w:r w:rsidR="005A6010" w:rsidRPr="00AC41E0">
                <w:rPr>
                  <w:rStyle w:val="Hyperlink"/>
                  <w:rFonts w:ascii="Arial" w:hAnsi="Arial" w:cs="Arial"/>
                  <w:sz w:val="22"/>
                  <w:szCs w:val="22"/>
                </w:rPr>
                <w:t>7.2 Data sharing</w:t>
              </w:r>
            </w:hyperlink>
          </w:p>
        </w:tc>
      </w:tr>
      <w:tr w:rsidR="005A6010" w:rsidRPr="00AC41E0" w14:paraId="10B719CD" w14:textId="77777777" w:rsidTr="00367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AAFB38B" w14:textId="77777777" w:rsidR="005A6010" w:rsidRPr="00E46FB0" w:rsidRDefault="00084371" w:rsidP="003674E7">
            <w:pPr>
              <w:rPr>
                <w:rFonts w:ascii="Arial" w:hAnsi="Arial" w:cs="Arial"/>
                <w:sz w:val="22"/>
                <w:szCs w:val="22"/>
              </w:rPr>
            </w:pPr>
            <w:hyperlink r:id="rId327" w:history="1">
              <w:r w:rsidR="005A6010" w:rsidRPr="00AC41E0">
                <w:rPr>
                  <w:rStyle w:val="Hyperlink"/>
                  <w:rFonts w:ascii="Arial" w:hAnsi="Arial" w:cs="Arial"/>
                  <w:sz w:val="22"/>
                  <w:szCs w:val="22"/>
                </w:rPr>
                <w:t>NSW Gateway Policy</w:t>
              </w:r>
            </w:hyperlink>
          </w:p>
        </w:tc>
        <w:tc>
          <w:tcPr>
            <w:tcW w:w="3260" w:type="dxa"/>
          </w:tcPr>
          <w:p w14:paraId="4187C5AB" w14:textId="77777777" w:rsidR="005A6010" w:rsidRPr="00E46FB0" w:rsidRDefault="00084371" w:rsidP="003674E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w:anchor="_Assurance" w:history="1">
              <w:r w:rsidR="005A6010" w:rsidRPr="00AC41E0">
                <w:rPr>
                  <w:rStyle w:val="Hyperlink"/>
                  <w:rFonts w:ascii="Arial" w:hAnsi="Arial" w:cs="Arial"/>
                  <w:sz w:val="22"/>
                  <w:szCs w:val="22"/>
                </w:rPr>
                <w:t>3.9 Assurance</w:t>
              </w:r>
            </w:hyperlink>
          </w:p>
        </w:tc>
      </w:tr>
      <w:tr w:rsidR="005A6010" w:rsidRPr="00AC41E0" w14:paraId="4818AA8D" w14:textId="77777777" w:rsidTr="000335EA">
        <w:trPr>
          <w:trHeight w:val="457"/>
        </w:trPr>
        <w:tc>
          <w:tcPr>
            <w:cnfStyle w:val="001000000000" w:firstRow="0" w:lastRow="0" w:firstColumn="1" w:lastColumn="0" w:oddVBand="0" w:evenVBand="0" w:oddHBand="0" w:evenHBand="0" w:firstRowFirstColumn="0" w:firstRowLastColumn="0" w:lastRowFirstColumn="0" w:lastRowLastColumn="0"/>
            <w:tcW w:w="5103" w:type="dxa"/>
          </w:tcPr>
          <w:p w14:paraId="5B65776E" w14:textId="77777777" w:rsidR="005A6010" w:rsidRPr="00E46FB0" w:rsidRDefault="00084371" w:rsidP="003674E7">
            <w:pPr>
              <w:pStyle w:val="DCSbodytext"/>
              <w:ind w:left="0"/>
              <w:rPr>
                <w:rFonts w:cs="Arial"/>
                <w:szCs w:val="22"/>
              </w:rPr>
            </w:pPr>
            <w:hyperlink r:id="rId328" w:history="1">
              <w:r w:rsidR="005A6010" w:rsidRPr="00AC41E0">
                <w:rPr>
                  <w:rStyle w:val="Hyperlink"/>
                  <w:rFonts w:cs="Arial"/>
                  <w:szCs w:val="22"/>
                </w:rPr>
                <w:t>ICT Assurance Framework</w:t>
              </w:r>
            </w:hyperlink>
          </w:p>
        </w:tc>
        <w:tc>
          <w:tcPr>
            <w:tcW w:w="3260" w:type="dxa"/>
          </w:tcPr>
          <w:p w14:paraId="5EA3AC5F" w14:textId="77777777" w:rsidR="005A6010" w:rsidRPr="00E46FB0" w:rsidRDefault="00084371" w:rsidP="003674E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w:anchor="_Assurance" w:history="1">
              <w:r w:rsidR="005A6010" w:rsidRPr="00AC41E0">
                <w:rPr>
                  <w:rStyle w:val="Hyperlink"/>
                  <w:rFonts w:ascii="Arial" w:hAnsi="Arial" w:cs="Arial"/>
                  <w:sz w:val="22"/>
                  <w:szCs w:val="22"/>
                </w:rPr>
                <w:t>3.9 Assurance</w:t>
              </w:r>
            </w:hyperlink>
          </w:p>
        </w:tc>
      </w:tr>
      <w:tr w:rsidR="005A6010" w:rsidRPr="00AC41E0" w14:paraId="727598D9" w14:textId="77777777" w:rsidTr="00367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553CE98" w14:textId="77777777" w:rsidR="005A6010" w:rsidRPr="00E46FB0" w:rsidRDefault="00084371" w:rsidP="003674E7">
            <w:pPr>
              <w:pStyle w:val="DCSbodytext"/>
              <w:ind w:left="0"/>
              <w:rPr>
                <w:rFonts w:cs="Arial"/>
                <w:szCs w:val="22"/>
              </w:rPr>
            </w:pPr>
            <w:hyperlink r:id="rId329" w:history="1">
              <w:r w:rsidR="005A6010" w:rsidRPr="00AC41E0">
                <w:rPr>
                  <w:rStyle w:val="Hyperlink"/>
                  <w:rFonts w:cs="Arial"/>
                  <w:szCs w:val="22"/>
                </w:rPr>
                <w:t>Infrastructure Investment Assurance Framework</w:t>
              </w:r>
            </w:hyperlink>
          </w:p>
        </w:tc>
        <w:tc>
          <w:tcPr>
            <w:tcW w:w="3260" w:type="dxa"/>
          </w:tcPr>
          <w:p w14:paraId="2B298239" w14:textId="77777777" w:rsidR="005A6010" w:rsidRPr="00E46FB0" w:rsidRDefault="00084371" w:rsidP="003674E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w:anchor="_Assurance" w:history="1">
              <w:r w:rsidR="005A6010" w:rsidRPr="00AC41E0">
                <w:rPr>
                  <w:rStyle w:val="Hyperlink"/>
                  <w:rFonts w:ascii="Arial" w:hAnsi="Arial" w:cs="Arial"/>
                  <w:sz w:val="22"/>
                  <w:szCs w:val="22"/>
                </w:rPr>
                <w:t>3.9 Assurance</w:t>
              </w:r>
            </w:hyperlink>
          </w:p>
        </w:tc>
      </w:tr>
      <w:tr w:rsidR="005A6010" w:rsidRPr="00AC41E0" w14:paraId="3918A4AB" w14:textId="77777777" w:rsidTr="003674E7">
        <w:tc>
          <w:tcPr>
            <w:cnfStyle w:val="001000000000" w:firstRow="0" w:lastRow="0" w:firstColumn="1" w:lastColumn="0" w:oddVBand="0" w:evenVBand="0" w:oddHBand="0" w:evenHBand="0" w:firstRowFirstColumn="0" w:firstRowLastColumn="0" w:lastRowFirstColumn="0" w:lastRowLastColumn="0"/>
            <w:tcW w:w="5103" w:type="dxa"/>
          </w:tcPr>
          <w:p w14:paraId="2475BC5D" w14:textId="77777777" w:rsidR="005A6010" w:rsidRPr="00E46FB0" w:rsidRDefault="00084371" w:rsidP="003674E7">
            <w:pPr>
              <w:pStyle w:val="DCSbodytext"/>
              <w:ind w:left="0"/>
              <w:rPr>
                <w:rFonts w:cs="Arial"/>
                <w:szCs w:val="22"/>
              </w:rPr>
            </w:pPr>
            <w:hyperlink r:id="rId330" w:history="1">
              <w:r w:rsidR="005A6010" w:rsidRPr="00AC41E0">
                <w:rPr>
                  <w:rStyle w:val="Hyperlink"/>
                  <w:rFonts w:cs="Arial"/>
                  <w:szCs w:val="22"/>
                </w:rPr>
                <w:t>Recurrent Expenditure Assurance Framework</w:t>
              </w:r>
            </w:hyperlink>
          </w:p>
        </w:tc>
        <w:tc>
          <w:tcPr>
            <w:tcW w:w="3260" w:type="dxa"/>
          </w:tcPr>
          <w:p w14:paraId="53C7F541" w14:textId="77777777" w:rsidR="005A6010" w:rsidRPr="00E46FB0" w:rsidRDefault="00084371" w:rsidP="003674E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w:anchor="_Assurance" w:history="1">
              <w:r w:rsidR="005A6010" w:rsidRPr="00AC41E0">
                <w:rPr>
                  <w:rStyle w:val="Hyperlink"/>
                  <w:rFonts w:ascii="Arial" w:hAnsi="Arial" w:cs="Arial"/>
                  <w:sz w:val="22"/>
                  <w:szCs w:val="22"/>
                </w:rPr>
                <w:t>3.9 Assurance</w:t>
              </w:r>
            </w:hyperlink>
          </w:p>
        </w:tc>
      </w:tr>
      <w:tr w:rsidR="005A6010" w:rsidRPr="00AC41E0" w14:paraId="5BF5E6EB" w14:textId="77777777" w:rsidTr="00367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171F6BD" w14:textId="77777777" w:rsidR="005A6010" w:rsidRPr="00E46FB0" w:rsidRDefault="00084371" w:rsidP="003674E7">
            <w:pPr>
              <w:pStyle w:val="DCSbodytext"/>
              <w:spacing w:after="120"/>
              <w:ind w:left="0"/>
              <w:rPr>
                <w:rFonts w:cs="Arial"/>
                <w:szCs w:val="22"/>
              </w:rPr>
            </w:pPr>
            <w:hyperlink r:id="rId331" w:history="1">
              <w:r w:rsidR="005A6010" w:rsidRPr="00AC41E0">
                <w:rPr>
                  <w:rStyle w:val="Hyperlink"/>
                  <w:rFonts w:eastAsia="Arial Bold" w:cs="Arial"/>
                  <w:szCs w:val="22"/>
                  <w:shd w:val="clear" w:color="auto" w:fill="FFFFFF"/>
                </w:rPr>
                <w:t>NSW Government Business Case Guidelines </w:t>
              </w:r>
            </w:hyperlink>
          </w:p>
        </w:tc>
        <w:tc>
          <w:tcPr>
            <w:tcW w:w="3260" w:type="dxa"/>
          </w:tcPr>
          <w:p w14:paraId="0C135022" w14:textId="77777777" w:rsidR="005A6010" w:rsidRPr="00E46FB0" w:rsidRDefault="00084371" w:rsidP="003674E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w:anchor="_Business_case" w:history="1">
              <w:r w:rsidR="005A6010" w:rsidRPr="00AC41E0">
                <w:rPr>
                  <w:rStyle w:val="Hyperlink"/>
                  <w:rFonts w:ascii="Arial" w:hAnsi="Arial" w:cs="Arial"/>
                  <w:sz w:val="22"/>
                  <w:szCs w:val="22"/>
                </w:rPr>
                <w:t>4.1 Business case</w:t>
              </w:r>
            </w:hyperlink>
          </w:p>
        </w:tc>
      </w:tr>
      <w:tr w:rsidR="005A6010" w:rsidRPr="00AC41E0" w14:paraId="5CC99308" w14:textId="77777777" w:rsidTr="003674E7">
        <w:tc>
          <w:tcPr>
            <w:cnfStyle w:val="001000000000" w:firstRow="0" w:lastRow="0" w:firstColumn="1" w:lastColumn="0" w:oddVBand="0" w:evenVBand="0" w:oddHBand="0" w:evenHBand="0" w:firstRowFirstColumn="0" w:firstRowLastColumn="0" w:lastRowFirstColumn="0" w:lastRowLastColumn="0"/>
            <w:tcW w:w="5103" w:type="dxa"/>
          </w:tcPr>
          <w:p w14:paraId="03A89E0D" w14:textId="77777777" w:rsidR="005A6010" w:rsidRPr="00E46FB0" w:rsidRDefault="00084371" w:rsidP="003674E7">
            <w:pPr>
              <w:pStyle w:val="DCSbodytext"/>
              <w:spacing w:after="120"/>
              <w:ind w:left="0"/>
              <w:rPr>
                <w:rFonts w:cs="Arial"/>
                <w:color w:val="000000" w:themeColor="text1"/>
                <w:szCs w:val="22"/>
              </w:rPr>
            </w:pPr>
            <w:hyperlink r:id="rId332" w:history="1">
              <w:r w:rsidR="005A6010" w:rsidRPr="00AC41E0">
                <w:rPr>
                  <w:rStyle w:val="Hyperlink"/>
                  <w:rFonts w:eastAsia="Arial Bold" w:cs="Arial"/>
                  <w:szCs w:val="22"/>
                  <w:shd w:val="clear" w:color="auto" w:fill="FFFFFF"/>
                </w:rPr>
                <w:t>Infrastructure NSW Business Case Toolkit</w:t>
              </w:r>
            </w:hyperlink>
          </w:p>
        </w:tc>
        <w:tc>
          <w:tcPr>
            <w:tcW w:w="3260" w:type="dxa"/>
          </w:tcPr>
          <w:p w14:paraId="76C41E41" w14:textId="77777777" w:rsidR="005A6010" w:rsidRPr="00E46FB0" w:rsidRDefault="00084371" w:rsidP="003674E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w:anchor="_Business_case" w:history="1">
              <w:r w:rsidR="005A6010" w:rsidRPr="00AC41E0">
                <w:rPr>
                  <w:rStyle w:val="Hyperlink"/>
                  <w:rFonts w:ascii="Arial" w:hAnsi="Arial" w:cs="Arial"/>
                  <w:sz w:val="22"/>
                  <w:szCs w:val="22"/>
                </w:rPr>
                <w:t>4.1 Business case</w:t>
              </w:r>
            </w:hyperlink>
          </w:p>
        </w:tc>
      </w:tr>
      <w:tr w:rsidR="005A6010" w:rsidRPr="00AC41E0" w14:paraId="0ADBF328" w14:textId="77777777" w:rsidTr="00367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C1A77A4" w14:textId="77777777" w:rsidR="005A6010" w:rsidRPr="00AC41E0" w:rsidRDefault="00084371" w:rsidP="003674E7">
            <w:pPr>
              <w:pStyle w:val="DCSbodytext"/>
              <w:spacing w:after="120"/>
              <w:ind w:left="0"/>
              <w:rPr>
                <w:rFonts w:cs="Arial"/>
                <w:color w:val="000000" w:themeColor="text1"/>
                <w:szCs w:val="22"/>
              </w:rPr>
            </w:pPr>
            <w:hyperlink r:id="rId333" w:history="1">
              <w:r w:rsidR="005A6010" w:rsidRPr="00AC41E0">
                <w:rPr>
                  <w:rStyle w:val="Hyperlink"/>
                  <w:rFonts w:cs="Arial"/>
                  <w:bCs w:val="0"/>
                  <w:szCs w:val="22"/>
                </w:rPr>
                <w:t xml:space="preserve">NSW Government Guide to Cost-Benefit Analysis (TPP 17-03) </w:t>
              </w:r>
            </w:hyperlink>
            <w:r w:rsidR="005A6010" w:rsidRPr="00E46FB0">
              <w:rPr>
                <w:rFonts w:cs="Arial"/>
                <w:bCs w:val="0"/>
                <w:color w:val="000000" w:themeColor="text1"/>
                <w:szCs w:val="22"/>
              </w:rPr>
              <w:t xml:space="preserve"> </w:t>
            </w:r>
          </w:p>
        </w:tc>
        <w:tc>
          <w:tcPr>
            <w:tcW w:w="3260" w:type="dxa"/>
          </w:tcPr>
          <w:p w14:paraId="5E6CB155" w14:textId="77777777" w:rsidR="005A6010" w:rsidRPr="00E46FB0" w:rsidRDefault="00084371" w:rsidP="003674E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w:anchor="_Cost-benefit_analysis" w:history="1">
              <w:r w:rsidR="005A6010" w:rsidRPr="00AC41E0">
                <w:rPr>
                  <w:rStyle w:val="Hyperlink"/>
                  <w:rFonts w:ascii="Arial" w:hAnsi="Arial" w:cs="Arial"/>
                  <w:sz w:val="22"/>
                  <w:szCs w:val="22"/>
                </w:rPr>
                <w:t>4.2 Cost-benefit analysis</w:t>
              </w:r>
            </w:hyperlink>
          </w:p>
        </w:tc>
      </w:tr>
      <w:tr w:rsidR="005A6010" w:rsidRPr="00AC41E0" w14:paraId="4E70F7F7" w14:textId="77777777" w:rsidTr="003674E7">
        <w:tc>
          <w:tcPr>
            <w:cnfStyle w:val="001000000000" w:firstRow="0" w:lastRow="0" w:firstColumn="1" w:lastColumn="0" w:oddVBand="0" w:evenVBand="0" w:oddHBand="0" w:evenHBand="0" w:firstRowFirstColumn="0" w:firstRowLastColumn="0" w:lastRowFirstColumn="0" w:lastRowLastColumn="0"/>
            <w:tcW w:w="5103" w:type="dxa"/>
          </w:tcPr>
          <w:p w14:paraId="330C00E0" w14:textId="77777777" w:rsidR="005A6010" w:rsidRPr="00E46FB0" w:rsidRDefault="00084371" w:rsidP="003674E7">
            <w:pPr>
              <w:pStyle w:val="DCSbodytext"/>
              <w:spacing w:after="120"/>
              <w:ind w:left="0"/>
              <w:rPr>
                <w:rFonts w:cs="Arial"/>
                <w:color w:val="000000" w:themeColor="text1"/>
                <w:szCs w:val="22"/>
              </w:rPr>
            </w:pPr>
            <w:hyperlink r:id="rId334" w:history="1">
              <w:r w:rsidR="005A6010" w:rsidRPr="00E46FB0">
                <w:rPr>
                  <w:rStyle w:val="Hyperlink"/>
                  <w:rFonts w:eastAsia="Arial Bold" w:cs="Arial"/>
                  <w:szCs w:val="22"/>
                  <w:shd w:val="clear" w:color="auto" w:fill="FFFFFF"/>
                </w:rPr>
                <w:t>NSW Government Benefits Realisation Management Framework </w:t>
              </w:r>
            </w:hyperlink>
          </w:p>
        </w:tc>
        <w:tc>
          <w:tcPr>
            <w:tcW w:w="3260" w:type="dxa"/>
          </w:tcPr>
          <w:p w14:paraId="6E8A65D1" w14:textId="77777777" w:rsidR="005A6010" w:rsidRPr="00E46FB0" w:rsidRDefault="00084371" w:rsidP="003674E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w:anchor="_Cost-benefit_analysis" w:history="1">
              <w:r w:rsidR="005A6010" w:rsidRPr="00E46FB0">
                <w:rPr>
                  <w:rStyle w:val="Hyperlink"/>
                  <w:rFonts w:ascii="Arial" w:hAnsi="Arial" w:cs="Arial"/>
                  <w:sz w:val="22"/>
                  <w:szCs w:val="22"/>
                </w:rPr>
                <w:t>4.2 Cost-benefit analysis</w:t>
              </w:r>
            </w:hyperlink>
          </w:p>
        </w:tc>
      </w:tr>
      <w:tr w:rsidR="005A6010" w:rsidRPr="00AC41E0" w14:paraId="3A2938D1" w14:textId="77777777" w:rsidTr="00367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5EE58E14" w14:textId="77777777" w:rsidR="005A6010" w:rsidRPr="00E46FB0" w:rsidRDefault="00084371" w:rsidP="003674E7">
            <w:pPr>
              <w:rPr>
                <w:rFonts w:ascii="Arial" w:hAnsi="Arial" w:cs="Arial"/>
                <w:sz w:val="22"/>
                <w:szCs w:val="22"/>
              </w:rPr>
            </w:pPr>
            <w:hyperlink r:id="rId335" w:history="1">
              <w:r w:rsidR="005A6010" w:rsidRPr="00E46FB0">
                <w:rPr>
                  <w:rStyle w:val="Hyperlink"/>
                  <w:rFonts w:ascii="Arial" w:eastAsia="Calibri" w:hAnsi="Arial" w:cs="Arial"/>
                  <w:sz w:val="22"/>
                  <w:szCs w:val="22"/>
                </w:rPr>
                <w:t>NSW Procurement Policy Framework</w:t>
              </w:r>
            </w:hyperlink>
          </w:p>
        </w:tc>
        <w:tc>
          <w:tcPr>
            <w:tcW w:w="3260" w:type="dxa"/>
          </w:tcPr>
          <w:p w14:paraId="27887CD1" w14:textId="77777777" w:rsidR="005A6010" w:rsidRPr="00E46FB0" w:rsidRDefault="00084371" w:rsidP="003674E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w:anchor="_Toc14690044" w:history="1">
              <w:r w:rsidR="005A6010" w:rsidRPr="00E46FB0">
                <w:rPr>
                  <w:rStyle w:val="Hyperlink"/>
                  <w:rFonts w:ascii="Arial" w:hAnsi="Arial" w:cs="Arial"/>
                  <w:sz w:val="22"/>
                  <w:szCs w:val="22"/>
                </w:rPr>
                <w:t>5.1 Procuring IoT solutions</w:t>
              </w:r>
            </w:hyperlink>
          </w:p>
        </w:tc>
      </w:tr>
      <w:tr w:rsidR="005A6010" w:rsidRPr="00AC41E0" w14:paraId="0144D545" w14:textId="77777777" w:rsidTr="003674E7">
        <w:tc>
          <w:tcPr>
            <w:cnfStyle w:val="001000000000" w:firstRow="0" w:lastRow="0" w:firstColumn="1" w:lastColumn="0" w:oddVBand="0" w:evenVBand="0" w:oddHBand="0" w:evenHBand="0" w:firstRowFirstColumn="0" w:firstRowLastColumn="0" w:lastRowFirstColumn="0" w:lastRowLastColumn="0"/>
            <w:tcW w:w="5103" w:type="dxa"/>
            <w:shd w:val="clear" w:color="auto" w:fill="auto"/>
          </w:tcPr>
          <w:p w14:paraId="5A756A10" w14:textId="77777777" w:rsidR="005A6010" w:rsidRPr="00E46FB0" w:rsidRDefault="00084371" w:rsidP="003674E7">
            <w:pPr>
              <w:rPr>
                <w:rFonts w:ascii="Arial" w:hAnsi="Arial" w:cs="Arial"/>
                <w:sz w:val="22"/>
                <w:szCs w:val="22"/>
              </w:rPr>
            </w:pPr>
            <w:hyperlink r:id="rId336" w:history="1">
              <w:r w:rsidR="005A6010" w:rsidRPr="00E46FB0">
                <w:rPr>
                  <w:rStyle w:val="Hyperlink"/>
                  <w:rFonts w:ascii="Arial" w:eastAsia="Calibri" w:hAnsi="Arial" w:cs="Arial"/>
                  <w:sz w:val="22"/>
                  <w:szCs w:val="22"/>
                </w:rPr>
                <w:t>NSW Procurement Board Directions</w:t>
              </w:r>
            </w:hyperlink>
          </w:p>
        </w:tc>
        <w:tc>
          <w:tcPr>
            <w:tcW w:w="3260" w:type="dxa"/>
            <w:shd w:val="clear" w:color="auto" w:fill="auto"/>
          </w:tcPr>
          <w:p w14:paraId="6572D43B" w14:textId="77777777" w:rsidR="005A6010" w:rsidRPr="00E46FB0" w:rsidRDefault="00084371" w:rsidP="003674E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w:anchor="_Toc14690044" w:history="1">
              <w:r w:rsidR="005A6010" w:rsidRPr="00E46FB0">
                <w:rPr>
                  <w:rStyle w:val="Hyperlink"/>
                  <w:rFonts w:ascii="Arial" w:hAnsi="Arial" w:cs="Arial"/>
                  <w:sz w:val="22"/>
                  <w:szCs w:val="22"/>
                </w:rPr>
                <w:t>5.1 Procuring IoT solutions</w:t>
              </w:r>
            </w:hyperlink>
          </w:p>
        </w:tc>
      </w:tr>
      <w:tr w:rsidR="005A6010" w:rsidRPr="00AC41E0" w14:paraId="3B1F4803" w14:textId="77777777" w:rsidTr="00367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8B678E1" w14:textId="77777777" w:rsidR="005A6010" w:rsidRPr="00E46FB0" w:rsidRDefault="00084371" w:rsidP="003674E7">
            <w:pPr>
              <w:rPr>
                <w:rFonts w:ascii="Arial" w:hAnsi="Arial" w:cs="Arial"/>
                <w:sz w:val="22"/>
                <w:szCs w:val="22"/>
              </w:rPr>
            </w:pPr>
            <w:hyperlink r:id="rId337" w:anchor="Initiatives" w:history="1">
              <w:r w:rsidR="005A6010" w:rsidRPr="00E46FB0">
                <w:rPr>
                  <w:rStyle w:val="Hyperlink"/>
                  <w:rFonts w:ascii="Arial" w:hAnsi="Arial" w:cs="Arial"/>
                  <w:sz w:val="22"/>
                  <w:szCs w:val="22"/>
                </w:rPr>
                <w:t>NSW Government Small and Medium Enterprise and Regional Procurement Policy</w:t>
              </w:r>
            </w:hyperlink>
          </w:p>
        </w:tc>
        <w:tc>
          <w:tcPr>
            <w:tcW w:w="3260" w:type="dxa"/>
          </w:tcPr>
          <w:p w14:paraId="1B482E27" w14:textId="77777777" w:rsidR="005A6010" w:rsidRPr="00E46FB0" w:rsidRDefault="00084371" w:rsidP="003674E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w:anchor="_Toc14690044" w:history="1">
              <w:r w:rsidR="005A6010" w:rsidRPr="00E46FB0">
                <w:rPr>
                  <w:rStyle w:val="Hyperlink"/>
                  <w:rFonts w:ascii="Arial" w:hAnsi="Arial" w:cs="Arial"/>
                  <w:sz w:val="22"/>
                  <w:szCs w:val="22"/>
                </w:rPr>
                <w:t xml:space="preserve">5.1 Procuring IoT </w:t>
              </w:r>
              <w:r w:rsidR="005A6010" w:rsidRPr="00AC41E0">
                <w:rPr>
                  <w:rStyle w:val="Hyperlink"/>
                  <w:rFonts w:ascii="Arial" w:hAnsi="Arial" w:cs="Arial"/>
                  <w:sz w:val="22"/>
                  <w:szCs w:val="22"/>
                </w:rPr>
                <w:t>solutions</w:t>
              </w:r>
            </w:hyperlink>
          </w:p>
        </w:tc>
      </w:tr>
      <w:tr w:rsidR="005A6010" w:rsidRPr="00AC41E0" w14:paraId="58680D0F" w14:textId="77777777" w:rsidTr="003674E7">
        <w:tc>
          <w:tcPr>
            <w:cnfStyle w:val="001000000000" w:firstRow="0" w:lastRow="0" w:firstColumn="1" w:lastColumn="0" w:oddVBand="0" w:evenVBand="0" w:oddHBand="0" w:evenHBand="0" w:firstRowFirstColumn="0" w:firstRowLastColumn="0" w:lastRowFirstColumn="0" w:lastRowLastColumn="0"/>
            <w:tcW w:w="5103" w:type="dxa"/>
            <w:shd w:val="clear" w:color="auto" w:fill="auto"/>
          </w:tcPr>
          <w:p w14:paraId="3A1A7D9F" w14:textId="77777777" w:rsidR="005A6010" w:rsidRPr="00E46FB0" w:rsidRDefault="00084371" w:rsidP="003674E7">
            <w:pPr>
              <w:rPr>
                <w:rFonts w:ascii="Arial" w:hAnsi="Arial" w:cs="Arial"/>
                <w:sz w:val="22"/>
                <w:szCs w:val="22"/>
              </w:rPr>
            </w:pPr>
            <w:hyperlink r:id="rId338" w:history="1">
              <w:r w:rsidR="005A6010" w:rsidRPr="00E46FB0">
                <w:rPr>
                  <w:rStyle w:val="Hyperlink"/>
                  <w:rFonts w:ascii="Arial" w:hAnsi="Arial" w:cs="Arial"/>
                  <w:sz w:val="22"/>
                  <w:szCs w:val="22"/>
                </w:rPr>
                <w:t>Procurement Risk Register</w:t>
              </w:r>
            </w:hyperlink>
          </w:p>
        </w:tc>
        <w:tc>
          <w:tcPr>
            <w:tcW w:w="3260" w:type="dxa"/>
            <w:shd w:val="clear" w:color="auto" w:fill="auto"/>
          </w:tcPr>
          <w:p w14:paraId="25521122" w14:textId="77777777" w:rsidR="005A6010" w:rsidRPr="00E46FB0" w:rsidRDefault="00084371" w:rsidP="003674E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w:anchor="_Toc14690044" w:history="1">
              <w:r w:rsidR="005A6010" w:rsidRPr="00E46FB0">
                <w:rPr>
                  <w:rStyle w:val="Hyperlink"/>
                  <w:rFonts w:ascii="Arial" w:hAnsi="Arial" w:cs="Arial"/>
                  <w:sz w:val="22"/>
                  <w:szCs w:val="22"/>
                </w:rPr>
                <w:t>5.1 Procuring IoT solutions</w:t>
              </w:r>
            </w:hyperlink>
          </w:p>
        </w:tc>
      </w:tr>
      <w:tr w:rsidR="005A6010" w:rsidRPr="00AC41E0" w14:paraId="4BD34E7D" w14:textId="77777777" w:rsidTr="00367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AC9CBC5" w14:textId="77777777" w:rsidR="005A6010" w:rsidRPr="00E46FB0" w:rsidRDefault="00084371" w:rsidP="003674E7">
            <w:pPr>
              <w:rPr>
                <w:rFonts w:ascii="Arial" w:hAnsi="Arial" w:cs="Arial"/>
                <w:sz w:val="22"/>
                <w:szCs w:val="22"/>
              </w:rPr>
            </w:pPr>
            <w:hyperlink r:id="rId339" w:history="1">
              <w:r w:rsidR="005A6010" w:rsidRPr="00E46FB0">
                <w:rPr>
                  <w:rStyle w:val="Hyperlink"/>
                  <w:rFonts w:ascii="Arial" w:hAnsi="Arial" w:cs="Arial"/>
                  <w:sz w:val="22"/>
                  <w:szCs w:val="22"/>
                </w:rPr>
                <w:t>NSW Procurement Board Industry Engagement Guide</w:t>
              </w:r>
            </w:hyperlink>
          </w:p>
        </w:tc>
        <w:tc>
          <w:tcPr>
            <w:tcW w:w="3260" w:type="dxa"/>
          </w:tcPr>
          <w:p w14:paraId="1A9B1DCF" w14:textId="77777777" w:rsidR="005A6010" w:rsidRPr="00E46FB0" w:rsidRDefault="00084371" w:rsidP="003674E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w:anchor="_Toc14690044" w:history="1">
              <w:r w:rsidR="005A6010" w:rsidRPr="00E46FB0">
                <w:rPr>
                  <w:rStyle w:val="Hyperlink"/>
                  <w:rFonts w:ascii="Arial" w:hAnsi="Arial" w:cs="Arial"/>
                  <w:sz w:val="22"/>
                  <w:szCs w:val="22"/>
                </w:rPr>
                <w:t>5.1 Procuring IoT solutions</w:t>
              </w:r>
            </w:hyperlink>
          </w:p>
        </w:tc>
      </w:tr>
      <w:tr w:rsidR="005A6010" w:rsidRPr="00AC41E0" w14:paraId="4E2D3EA7" w14:textId="77777777" w:rsidTr="003674E7">
        <w:tc>
          <w:tcPr>
            <w:cnfStyle w:val="001000000000" w:firstRow="0" w:lastRow="0" w:firstColumn="1" w:lastColumn="0" w:oddVBand="0" w:evenVBand="0" w:oddHBand="0" w:evenHBand="0" w:firstRowFirstColumn="0" w:firstRowLastColumn="0" w:lastRowFirstColumn="0" w:lastRowLastColumn="0"/>
            <w:tcW w:w="5103" w:type="dxa"/>
            <w:shd w:val="clear" w:color="auto" w:fill="auto"/>
          </w:tcPr>
          <w:p w14:paraId="0476E569" w14:textId="77777777" w:rsidR="005A6010" w:rsidRPr="00E46FB0" w:rsidRDefault="00084371" w:rsidP="003674E7">
            <w:pPr>
              <w:rPr>
                <w:rFonts w:ascii="Arial" w:hAnsi="Arial" w:cs="Arial"/>
                <w:sz w:val="22"/>
                <w:szCs w:val="22"/>
              </w:rPr>
            </w:pPr>
            <w:hyperlink r:id="rId340" w:history="1">
              <w:r w:rsidR="005A6010" w:rsidRPr="00E46FB0">
                <w:rPr>
                  <w:rStyle w:val="Hyperlink"/>
                  <w:rFonts w:ascii="Arial" w:hAnsi="Arial" w:cs="Arial"/>
                  <w:sz w:val="22"/>
                  <w:szCs w:val="22"/>
                </w:rPr>
                <w:t>Procurement Strategy template</w:t>
              </w:r>
            </w:hyperlink>
          </w:p>
        </w:tc>
        <w:tc>
          <w:tcPr>
            <w:tcW w:w="3260" w:type="dxa"/>
            <w:shd w:val="clear" w:color="auto" w:fill="auto"/>
          </w:tcPr>
          <w:p w14:paraId="604B9202" w14:textId="77777777" w:rsidR="005A6010" w:rsidRPr="00E46FB0" w:rsidRDefault="00084371" w:rsidP="003674E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w:anchor="_Toc14690044" w:history="1">
              <w:r w:rsidR="005A6010" w:rsidRPr="00E46FB0">
                <w:rPr>
                  <w:rStyle w:val="Hyperlink"/>
                  <w:rFonts w:ascii="Arial" w:hAnsi="Arial" w:cs="Arial"/>
                  <w:sz w:val="22"/>
                  <w:szCs w:val="22"/>
                </w:rPr>
                <w:t>5.1 Procuring IoT solutions</w:t>
              </w:r>
            </w:hyperlink>
          </w:p>
        </w:tc>
      </w:tr>
      <w:tr w:rsidR="005A6010" w:rsidRPr="00AC41E0" w14:paraId="6A8E5C8D" w14:textId="77777777" w:rsidTr="00367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8C96409" w14:textId="77777777" w:rsidR="005A6010" w:rsidRPr="00E46FB0" w:rsidRDefault="00084371" w:rsidP="003674E7">
            <w:pPr>
              <w:rPr>
                <w:rFonts w:ascii="Arial" w:hAnsi="Arial" w:cs="Arial"/>
                <w:sz w:val="22"/>
                <w:szCs w:val="22"/>
              </w:rPr>
            </w:pPr>
            <w:hyperlink r:id="rId341" w:history="1">
              <w:r w:rsidR="005A6010" w:rsidRPr="00E46FB0">
                <w:rPr>
                  <w:rStyle w:val="Hyperlink"/>
                  <w:rFonts w:ascii="Arial" w:eastAsia="Calibri" w:hAnsi="Arial" w:cs="Arial"/>
                  <w:sz w:val="22"/>
                  <w:szCs w:val="22"/>
                </w:rPr>
                <w:t>NSW Standard for Spatially Enabling Information (2018)</w:t>
              </w:r>
            </w:hyperlink>
          </w:p>
        </w:tc>
        <w:tc>
          <w:tcPr>
            <w:tcW w:w="3260" w:type="dxa"/>
          </w:tcPr>
          <w:p w14:paraId="210F7F2B" w14:textId="77777777" w:rsidR="005A6010" w:rsidRPr="00E46FB0" w:rsidRDefault="00084371" w:rsidP="003674E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w:anchor="_Spatial_data_requirements_2" w:history="1">
              <w:r w:rsidR="005A6010" w:rsidRPr="00E46FB0">
                <w:rPr>
                  <w:rStyle w:val="Hyperlink"/>
                  <w:rFonts w:ascii="Arial" w:hAnsi="Arial" w:cs="Arial"/>
                  <w:sz w:val="22"/>
                  <w:szCs w:val="22"/>
                </w:rPr>
                <w:t>6.2 Spatial data requirements</w:t>
              </w:r>
            </w:hyperlink>
          </w:p>
        </w:tc>
      </w:tr>
      <w:tr w:rsidR="005A6010" w:rsidRPr="00AC41E0" w14:paraId="3044B398" w14:textId="77777777" w:rsidTr="003674E7">
        <w:tc>
          <w:tcPr>
            <w:cnfStyle w:val="001000000000" w:firstRow="0" w:lastRow="0" w:firstColumn="1" w:lastColumn="0" w:oddVBand="0" w:evenVBand="0" w:oddHBand="0" w:evenHBand="0" w:firstRowFirstColumn="0" w:firstRowLastColumn="0" w:lastRowFirstColumn="0" w:lastRowLastColumn="0"/>
            <w:tcW w:w="5103" w:type="dxa"/>
            <w:shd w:val="clear" w:color="auto" w:fill="auto"/>
          </w:tcPr>
          <w:p w14:paraId="72817572" w14:textId="77777777" w:rsidR="005A6010" w:rsidRPr="00E46FB0" w:rsidRDefault="00084371" w:rsidP="003674E7">
            <w:pPr>
              <w:rPr>
                <w:rFonts w:ascii="Arial" w:hAnsi="Arial" w:cs="Arial"/>
                <w:sz w:val="22"/>
                <w:szCs w:val="22"/>
              </w:rPr>
            </w:pPr>
            <w:hyperlink r:id="rId342" w:history="1">
              <w:r w:rsidR="005A6010" w:rsidRPr="00E46FB0">
                <w:rPr>
                  <w:rStyle w:val="Hyperlink"/>
                  <w:rFonts w:ascii="Arial" w:hAnsi="Arial" w:cs="Arial"/>
                  <w:sz w:val="22"/>
                  <w:szCs w:val="22"/>
                </w:rPr>
                <w:t>Data Quality Tool</w:t>
              </w:r>
            </w:hyperlink>
          </w:p>
        </w:tc>
        <w:tc>
          <w:tcPr>
            <w:tcW w:w="3260" w:type="dxa"/>
            <w:shd w:val="clear" w:color="auto" w:fill="auto"/>
          </w:tcPr>
          <w:p w14:paraId="6B8389A7" w14:textId="77777777" w:rsidR="005A6010" w:rsidRPr="00E46FB0" w:rsidRDefault="00084371" w:rsidP="003674E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w:anchor="_Data_sharing" w:history="1">
              <w:r w:rsidR="005A6010" w:rsidRPr="00E46FB0">
                <w:rPr>
                  <w:rStyle w:val="Hyperlink"/>
                  <w:rFonts w:ascii="Arial" w:hAnsi="Arial" w:cs="Arial"/>
                  <w:sz w:val="22"/>
                  <w:szCs w:val="22"/>
                </w:rPr>
                <w:t>7.2 Data sharing</w:t>
              </w:r>
            </w:hyperlink>
          </w:p>
        </w:tc>
      </w:tr>
      <w:tr w:rsidR="005A6010" w:rsidRPr="00AC41E0" w14:paraId="45495726" w14:textId="77777777" w:rsidTr="00367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auto"/>
          </w:tcPr>
          <w:p w14:paraId="56AAA5A9" w14:textId="77777777" w:rsidR="005A6010" w:rsidRPr="00E46FB0" w:rsidRDefault="00084371" w:rsidP="003674E7">
            <w:pPr>
              <w:rPr>
                <w:rFonts w:ascii="Arial" w:hAnsi="Arial" w:cs="Arial"/>
                <w:sz w:val="22"/>
                <w:szCs w:val="22"/>
              </w:rPr>
            </w:pPr>
            <w:hyperlink r:id="rId343" w:history="1">
              <w:r w:rsidR="005A6010" w:rsidRPr="00E46FB0">
                <w:rPr>
                  <w:rStyle w:val="Hyperlink"/>
                  <w:rFonts w:ascii="Arial" w:hAnsi="Arial" w:cs="Arial"/>
                  <w:sz w:val="22"/>
                  <w:szCs w:val="22"/>
                </w:rPr>
                <w:t>Total Asset Management Guideline: Asset Maintenance Strategic Planning (TAM06-3)</w:t>
              </w:r>
            </w:hyperlink>
          </w:p>
        </w:tc>
        <w:tc>
          <w:tcPr>
            <w:tcW w:w="3260" w:type="dxa"/>
            <w:shd w:val="clear" w:color="auto" w:fill="auto"/>
          </w:tcPr>
          <w:p w14:paraId="6BA21D42" w14:textId="77777777" w:rsidR="005A6010" w:rsidRPr="00E46FB0" w:rsidRDefault="00084371" w:rsidP="003674E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w:anchor="_Asset_and_data" w:history="1">
              <w:r w:rsidR="005A6010" w:rsidRPr="00E46FB0">
                <w:rPr>
                  <w:rStyle w:val="Hyperlink"/>
                  <w:rFonts w:ascii="Arial" w:hAnsi="Arial" w:cs="Arial"/>
                  <w:sz w:val="22"/>
                  <w:szCs w:val="22"/>
                </w:rPr>
                <w:t>7.3 Asset, device and data management</w:t>
              </w:r>
            </w:hyperlink>
          </w:p>
        </w:tc>
      </w:tr>
      <w:tr w:rsidR="005A6010" w:rsidRPr="00AC41E0" w14:paraId="57749BC6" w14:textId="77777777" w:rsidTr="003674E7">
        <w:tc>
          <w:tcPr>
            <w:cnfStyle w:val="001000000000" w:firstRow="0" w:lastRow="0" w:firstColumn="1" w:lastColumn="0" w:oddVBand="0" w:evenVBand="0" w:oddHBand="0" w:evenHBand="0" w:firstRowFirstColumn="0" w:firstRowLastColumn="0" w:lastRowFirstColumn="0" w:lastRowLastColumn="0"/>
            <w:tcW w:w="5103" w:type="dxa"/>
          </w:tcPr>
          <w:p w14:paraId="29A1357B" w14:textId="77777777" w:rsidR="005A6010" w:rsidRPr="00E46FB0" w:rsidRDefault="00084371" w:rsidP="003674E7">
            <w:pPr>
              <w:rPr>
                <w:rFonts w:ascii="Arial" w:hAnsi="Arial" w:cs="Arial"/>
                <w:sz w:val="22"/>
                <w:szCs w:val="22"/>
              </w:rPr>
            </w:pPr>
            <w:hyperlink r:id="rId344" w:history="1">
              <w:r w:rsidR="005A6010" w:rsidRPr="00E46FB0">
                <w:rPr>
                  <w:rStyle w:val="Hyperlink"/>
                  <w:rFonts w:ascii="Arial" w:hAnsi="Arial" w:cs="Arial"/>
                  <w:sz w:val="22"/>
                  <w:szCs w:val="22"/>
                </w:rPr>
                <w:t>Evaluation Toolkit</w:t>
              </w:r>
            </w:hyperlink>
            <w:r w:rsidR="005A6010" w:rsidRPr="00E46FB0">
              <w:rPr>
                <w:rFonts w:ascii="Arial" w:eastAsia="Times New Roman" w:hAnsi="Arial" w:cs="Arial"/>
                <w:sz w:val="22"/>
                <w:szCs w:val="22"/>
                <w:lang w:eastAsia="en-AU"/>
              </w:rPr>
              <w:t xml:space="preserve"> </w:t>
            </w:r>
          </w:p>
        </w:tc>
        <w:tc>
          <w:tcPr>
            <w:tcW w:w="3260" w:type="dxa"/>
          </w:tcPr>
          <w:p w14:paraId="288D8002" w14:textId="77777777" w:rsidR="005A6010" w:rsidRPr="00E46FB0" w:rsidRDefault="00084371" w:rsidP="003674E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w:anchor="_Evaluation" w:history="1">
              <w:r w:rsidR="005A6010" w:rsidRPr="00E46FB0">
                <w:rPr>
                  <w:rStyle w:val="Hyperlink"/>
                  <w:rFonts w:ascii="Arial" w:hAnsi="Arial" w:cs="Arial"/>
                  <w:sz w:val="22"/>
                  <w:szCs w:val="22"/>
                </w:rPr>
                <w:t>8.1 Evaluation</w:t>
              </w:r>
            </w:hyperlink>
          </w:p>
        </w:tc>
      </w:tr>
      <w:tr w:rsidR="005A6010" w:rsidRPr="00AC41E0" w14:paraId="682BA73B" w14:textId="77777777" w:rsidTr="00367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auto"/>
          </w:tcPr>
          <w:p w14:paraId="2F88ECF9" w14:textId="77777777" w:rsidR="005A6010" w:rsidRPr="00E46FB0" w:rsidRDefault="00084371" w:rsidP="003674E7">
            <w:pPr>
              <w:rPr>
                <w:rFonts w:ascii="Arial" w:hAnsi="Arial" w:cs="Arial"/>
                <w:sz w:val="22"/>
                <w:szCs w:val="22"/>
              </w:rPr>
            </w:pPr>
            <w:hyperlink r:id="rId345" w:history="1">
              <w:r w:rsidR="005A6010" w:rsidRPr="00E46FB0">
                <w:rPr>
                  <w:rStyle w:val="Hyperlink"/>
                  <w:rFonts w:ascii="Arial" w:hAnsi="Arial" w:cs="Arial"/>
                  <w:sz w:val="22"/>
                  <w:szCs w:val="22"/>
                </w:rPr>
                <w:t>NSW Government Program Evaluation Guidelines</w:t>
              </w:r>
            </w:hyperlink>
          </w:p>
        </w:tc>
        <w:tc>
          <w:tcPr>
            <w:tcW w:w="3260" w:type="dxa"/>
            <w:shd w:val="clear" w:color="auto" w:fill="auto"/>
          </w:tcPr>
          <w:p w14:paraId="32F7D178" w14:textId="4F22A1B6" w:rsidR="005A6010" w:rsidRPr="00E46FB0" w:rsidRDefault="00084371" w:rsidP="003674E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w:anchor="_Evaluation" w:history="1">
              <w:r w:rsidR="005A6010" w:rsidRPr="00E46FB0">
                <w:rPr>
                  <w:rStyle w:val="Hyperlink"/>
                  <w:rFonts w:ascii="Arial" w:hAnsi="Arial" w:cs="Arial"/>
                  <w:sz w:val="22"/>
                  <w:szCs w:val="22"/>
                </w:rPr>
                <w:t>8.1 Evaluation</w:t>
              </w:r>
            </w:hyperlink>
            <w:r w:rsidR="0091525F" w:rsidRPr="00E46FB0">
              <w:rPr>
                <w:rStyle w:val="Hyperlink"/>
                <w:rFonts w:ascii="Arial" w:hAnsi="Arial" w:cs="Arial"/>
                <w:sz w:val="22"/>
                <w:szCs w:val="22"/>
              </w:rPr>
              <w:t>’</w:t>
            </w:r>
          </w:p>
        </w:tc>
      </w:tr>
      <w:tr w:rsidR="00D560D5" w:rsidRPr="00AC41E0" w14:paraId="32D25B98" w14:textId="77777777" w:rsidTr="003674E7">
        <w:tc>
          <w:tcPr>
            <w:cnfStyle w:val="001000000000" w:firstRow="0" w:lastRow="0" w:firstColumn="1" w:lastColumn="0" w:oddVBand="0" w:evenVBand="0" w:oddHBand="0" w:evenHBand="0" w:firstRowFirstColumn="0" w:firstRowLastColumn="0" w:lastRowFirstColumn="0" w:lastRowLastColumn="0"/>
            <w:tcW w:w="5103" w:type="dxa"/>
            <w:shd w:val="clear" w:color="auto" w:fill="auto"/>
          </w:tcPr>
          <w:p w14:paraId="1963266A" w14:textId="278FD187" w:rsidR="006C0E7C" w:rsidRPr="00E46FB0" w:rsidRDefault="00084371" w:rsidP="003674E7">
            <w:pPr>
              <w:rPr>
                <w:rStyle w:val="Hyperlink"/>
                <w:rFonts w:ascii="Arial" w:hAnsi="Arial" w:cs="Arial"/>
                <w:sz w:val="22"/>
                <w:szCs w:val="22"/>
              </w:rPr>
            </w:pPr>
            <w:hyperlink r:id="rId346" w:history="1">
              <w:r w:rsidR="006C0E7C" w:rsidRPr="00E46FB0">
                <w:rPr>
                  <w:rStyle w:val="Hyperlink"/>
                  <w:rFonts w:ascii="Arial" w:hAnsi="Arial" w:cs="Arial"/>
                  <w:sz w:val="22"/>
                  <w:szCs w:val="22"/>
                </w:rPr>
                <w:t>Smart Infrastructure Policy</w:t>
              </w:r>
            </w:hyperlink>
          </w:p>
        </w:tc>
        <w:tc>
          <w:tcPr>
            <w:tcW w:w="3260" w:type="dxa"/>
            <w:shd w:val="clear" w:color="auto" w:fill="auto"/>
          </w:tcPr>
          <w:p w14:paraId="0BC58029" w14:textId="339025DD" w:rsidR="00D560D5" w:rsidRPr="00E46FB0" w:rsidRDefault="00084371" w:rsidP="003674E7">
            <w:pPr>
              <w:cnfStyle w:val="000000000000" w:firstRow="0" w:lastRow="0" w:firstColumn="0" w:lastColumn="0" w:oddVBand="0" w:evenVBand="0" w:oddHBand="0" w:evenHBand="0" w:firstRowFirstColumn="0" w:firstRowLastColumn="0" w:lastRowFirstColumn="0" w:lastRowLastColumn="0"/>
              <w:rPr>
                <w:rStyle w:val="Hyperlink"/>
                <w:rFonts w:ascii="Arial" w:hAnsi="Arial" w:cs="Arial"/>
                <w:bCs/>
                <w:sz w:val="22"/>
                <w:szCs w:val="22"/>
              </w:rPr>
            </w:pPr>
            <w:hyperlink w:anchor="_Existing_policies_and" w:history="1">
              <w:r w:rsidR="00882A84" w:rsidRPr="00E46FB0">
                <w:rPr>
                  <w:rStyle w:val="Hyperlink"/>
                  <w:rFonts w:ascii="Arial" w:hAnsi="Arial" w:cs="Arial"/>
                  <w:bCs/>
                  <w:sz w:val="22"/>
                  <w:szCs w:val="22"/>
                </w:rPr>
                <w:t xml:space="preserve">1.2.3. Existing </w:t>
              </w:r>
              <w:r w:rsidR="00774E10" w:rsidRPr="00AC41E0">
                <w:rPr>
                  <w:rStyle w:val="Hyperlink"/>
                  <w:rFonts w:ascii="Arial" w:hAnsi="Arial" w:cs="Arial"/>
                  <w:bCs/>
                  <w:sz w:val="22"/>
                  <w:szCs w:val="22"/>
                </w:rPr>
                <w:t>p</w:t>
              </w:r>
              <w:r w:rsidR="00882A84" w:rsidRPr="00AC41E0">
                <w:rPr>
                  <w:rStyle w:val="Hyperlink"/>
                  <w:rFonts w:ascii="Arial" w:hAnsi="Arial" w:cs="Arial"/>
                  <w:bCs/>
                  <w:sz w:val="22"/>
                  <w:szCs w:val="22"/>
                </w:rPr>
                <w:t>olicies</w:t>
              </w:r>
              <w:r w:rsidR="00774E10" w:rsidRPr="00AC41E0">
                <w:rPr>
                  <w:rStyle w:val="Hyperlink"/>
                  <w:rFonts w:ascii="Arial" w:hAnsi="Arial" w:cs="Arial"/>
                  <w:bCs/>
                  <w:sz w:val="22"/>
                  <w:szCs w:val="22"/>
                </w:rPr>
                <w:t xml:space="preserve"> and strategies</w:t>
              </w:r>
            </w:hyperlink>
          </w:p>
        </w:tc>
      </w:tr>
      <w:tr w:rsidR="006C0E7C" w:rsidRPr="00AC41E0" w14:paraId="7177B9FE" w14:textId="77777777" w:rsidTr="00367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auto"/>
          </w:tcPr>
          <w:p w14:paraId="3F890E04" w14:textId="770BE10E" w:rsidR="006C0E7C" w:rsidRPr="00E46FB0" w:rsidRDefault="00084371" w:rsidP="003674E7">
            <w:pPr>
              <w:rPr>
                <w:rStyle w:val="Hyperlink"/>
                <w:rFonts w:ascii="Arial" w:hAnsi="Arial" w:cs="Arial"/>
                <w:sz w:val="22"/>
                <w:szCs w:val="22"/>
              </w:rPr>
            </w:pPr>
            <w:hyperlink r:id="rId347" w:history="1">
              <w:r w:rsidR="006C0E7C" w:rsidRPr="00E46FB0">
                <w:rPr>
                  <w:rStyle w:val="Hyperlink"/>
                  <w:rFonts w:ascii="Arial" w:hAnsi="Arial" w:cs="Arial"/>
                  <w:sz w:val="22"/>
                  <w:szCs w:val="22"/>
                </w:rPr>
                <w:t>Smart Places Strategy</w:t>
              </w:r>
            </w:hyperlink>
          </w:p>
        </w:tc>
        <w:tc>
          <w:tcPr>
            <w:tcW w:w="3260" w:type="dxa"/>
            <w:shd w:val="clear" w:color="auto" w:fill="auto"/>
          </w:tcPr>
          <w:p w14:paraId="07EB85C6" w14:textId="49ACC20D" w:rsidR="006C0E7C" w:rsidRPr="00E46FB0" w:rsidRDefault="00084371" w:rsidP="003674E7">
            <w:pPr>
              <w:cnfStyle w:val="000000100000" w:firstRow="0" w:lastRow="0" w:firstColumn="0" w:lastColumn="0" w:oddVBand="0" w:evenVBand="0" w:oddHBand="1" w:evenHBand="0" w:firstRowFirstColumn="0" w:firstRowLastColumn="0" w:lastRowFirstColumn="0" w:lastRowLastColumn="0"/>
              <w:rPr>
                <w:rStyle w:val="Hyperlink"/>
                <w:rFonts w:ascii="Arial" w:hAnsi="Arial" w:cs="Arial"/>
                <w:bCs/>
                <w:sz w:val="22"/>
                <w:szCs w:val="22"/>
              </w:rPr>
            </w:pPr>
            <w:hyperlink w:anchor="_Existing_policies_and" w:history="1">
              <w:r w:rsidR="00882A84" w:rsidRPr="00E46FB0">
                <w:rPr>
                  <w:rStyle w:val="Hyperlink"/>
                  <w:rFonts w:ascii="Arial" w:hAnsi="Arial" w:cs="Arial"/>
                  <w:bCs/>
                  <w:sz w:val="22"/>
                  <w:szCs w:val="22"/>
                </w:rPr>
                <w:t xml:space="preserve">1.2.3 Existing </w:t>
              </w:r>
              <w:r w:rsidR="00774E10" w:rsidRPr="00AC41E0">
                <w:rPr>
                  <w:rStyle w:val="Hyperlink"/>
                  <w:rFonts w:ascii="Arial" w:hAnsi="Arial" w:cs="Arial"/>
                  <w:bCs/>
                  <w:sz w:val="22"/>
                  <w:szCs w:val="22"/>
                </w:rPr>
                <w:t>p</w:t>
              </w:r>
              <w:r w:rsidR="00882A84" w:rsidRPr="00AC41E0">
                <w:rPr>
                  <w:rStyle w:val="Hyperlink"/>
                  <w:rFonts w:ascii="Arial" w:hAnsi="Arial" w:cs="Arial"/>
                  <w:bCs/>
                  <w:sz w:val="22"/>
                  <w:szCs w:val="22"/>
                </w:rPr>
                <w:t>olicies</w:t>
              </w:r>
              <w:r w:rsidR="00774E10" w:rsidRPr="00AC41E0">
                <w:rPr>
                  <w:rStyle w:val="Hyperlink"/>
                  <w:rFonts w:ascii="Arial" w:hAnsi="Arial" w:cs="Arial"/>
                  <w:bCs/>
                  <w:sz w:val="22"/>
                  <w:szCs w:val="22"/>
                </w:rPr>
                <w:t xml:space="preserve"> and strategies</w:t>
              </w:r>
            </w:hyperlink>
          </w:p>
        </w:tc>
      </w:tr>
    </w:tbl>
    <w:p w14:paraId="6DBB7CF0" w14:textId="77777777" w:rsidR="005A6010" w:rsidRPr="00AC41E0" w:rsidRDefault="005A6010" w:rsidP="005A6010">
      <w:pPr>
        <w:ind w:left="357"/>
        <w:rPr>
          <w:rStyle w:val="Hyperlink"/>
          <w:rFonts w:ascii="Arial" w:hAnsi="Arial" w:cs="Arial"/>
        </w:rPr>
      </w:pPr>
    </w:p>
    <w:p w14:paraId="6D2B8729" w14:textId="77777777" w:rsidR="001E0E7F" w:rsidRPr="00AC41E0" w:rsidRDefault="001E0E7F" w:rsidP="005F4741">
      <w:pPr>
        <w:pStyle w:val="DCSbodytext"/>
        <w:ind w:left="0"/>
      </w:pPr>
    </w:p>
    <w:p w14:paraId="0725E408" w14:textId="269BAA0D" w:rsidR="009F54FD" w:rsidRPr="00AC41E0" w:rsidRDefault="009F54FD" w:rsidP="005F2E08">
      <w:pPr>
        <w:pStyle w:val="Heading1"/>
        <w:rPr>
          <w:rFonts w:ascii="Arial" w:hAnsi="Arial"/>
        </w:rPr>
      </w:pPr>
      <w:bookmarkStart w:id="1950" w:name="_Toc65760615"/>
      <w:r w:rsidRPr="00AC41E0">
        <w:rPr>
          <w:rFonts w:ascii="Arial" w:hAnsi="Arial"/>
        </w:rPr>
        <w:lastRenderedPageBreak/>
        <w:t>Document Control</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1950"/>
    </w:p>
    <w:p w14:paraId="53A9B4D6" w14:textId="0AFEF76D" w:rsidR="009F54FD" w:rsidRPr="00AC41E0" w:rsidRDefault="009F54FD" w:rsidP="0001742D">
      <w:pPr>
        <w:pStyle w:val="Heading2"/>
        <w:ind w:left="794"/>
        <w:rPr>
          <w:rFonts w:ascii="Arial" w:hAnsi="Arial"/>
        </w:rPr>
      </w:pPr>
      <w:bookmarkStart w:id="1951" w:name="_Toc141690815"/>
      <w:bookmarkStart w:id="1952" w:name="_Toc141693438"/>
      <w:bookmarkStart w:id="1953" w:name="_Toc141693645"/>
      <w:bookmarkStart w:id="1954" w:name="_Toc141693702"/>
      <w:bookmarkStart w:id="1955" w:name="_Toc141694660"/>
      <w:bookmarkStart w:id="1956" w:name="_Toc141695593"/>
      <w:bookmarkStart w:id="1957" w:name="_Toc141770717"/>
      <w:bookmarkStart w:id="1958" w:name="_Toc144186852"/>
      <w:bookmarkStart w:id="1959" w:name="_Toc144186931"/>
      <w:bookmarkStart w:id="1960" w:name="_Toc144197251"/>
      <w:bookmarkStart w:id="1961" w:name="_Toc144198003"/>
      <w:bookmarkStart w:id="1962" w:name="_Toc144532308"/>
      <w:bookmarkStart w:id="1963" w:name="_Toc144540642"/>
      <w:bookmarkStart w:id="1964" w:name="_Toc144605395"/>
      <w:bookmarkStart w:id="1965" w:name="_Toc144868207"/>
      <w:bookmarkStart w:id="1966" w:name="_Toc144881586"/>
      <w:bookmarkStart w:id="1967" w:name="_Toc144882236"/>
      <w:bookmarkStart w:id="1968" w:name="_Toc145903589"/>
      <w:bookmarkStart w:id="1969" w:name="_Toc145904042"/>
      <w:bookmarkStart w:id="1970" w:name="_Toc145904112"/>
      <w:bookmarkStart w:id="1971" w:name="_Toc145913887"/>
      <w:bookmarkStart w:id="1972" w:name="_Toc146358414"/>
      <w:bookmarkStart w:id="1973" w:name="_Toc146360520"/>
      <w:bookmarkStart w:id="1974" w:name="_Toc146360616"/>
      <w:bookmarkStart w:id="1975" w:name="_Toc146429429"/>
      <w:bookmarkStart w:id="1976" w:name="_Toc146444633"/>
      <w:bookmarkStart w:id="1977" w:name="_Toc146446939"/>
      <w:bookmarkStart w:id="1978" w:name="_Toc146446969"/>
      <w:bookmarkStart w:id="1979" w:name="_Toc146530780"/>
      <w:bookmarkStart w:id="1980" w:name="_Toc146531231"/>
      <w:bookmarkStart w:id="1981" w:name="_Toc147641231"/>
      <w:bookmarkStart w:id="1982" w:name="_Toc147657487"/>
      <w:bookmarkStart w:id="1983" w:name="_Toc149451047"/>
      <w:bookmarkStart w:id="1984" w:name="_Toc65760616"/>
      <w:r w:rsidRPr="00AC41E0">
        <w:rPr>
          <w:rFonts w:ascii="Arial" w:hAnsi="Arial"/>
        </w:rPr>
        <w:t>Document Approval</w:t>
      </w:r>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p>
    <w:tbl>
      <w:tblPr>
        <w:tblW w:w="8959" w:type="dxa"/>
        <w:tblInd w:w="79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3133"/>
        <w:gridCol w:w="3156"/>
        <w:gridCol w:w="2670"/>
      </w:tblGrid>
      <w:tr w:rsidR="009F54FD" w:rsidRPr="00AC41E0" w14:paraId="7AA4A58C" w14:textId="77777777" w:rsidTr="00110CB8">
        <w:tc>
          <w:tcPr>
            <w:tcW w:w="3133" w:type="dxa"/>
            <w:shd w:val="clear" w:color="auto" w:fill="E6E6E6"/>
          </w:tcPr>
          <w:p w14:paraId="308B5CD8" w14:textId="77777777" w:rsidR="009F54FD" w:rsidRPr="00AC41E0" w:rsidRDefault="009F54FD" w:rsidP="00AC64F2">
            <w:pPr>
              <w:pStyle w:val="DCStableheading"/>
            </w:pPr>
            <w:r w:rsidRPr="00AC41E0">
              <w:t>Name &amp; Position</w:t>
            </w:r>
          </w:p>
        </w:tc>
        <w:tc>
          <w:tcPr>
            <w:tcW w:w="3156" w:type="dxa"/>
            <w:shd w:val="clear" w:color="auto" w:fill="E6E6E6"/>
          </w:tcPr>
          <w:p w14:paraId="6D75A1E8" w14:textId="77777777" w:rsidR="009F54FD" w:rsidRPr="00AC41E0" w:rsidRDefault="009F54FD" w:rsidP="00AC64F2">
            <w:pPr>
              <w:pStyle w:val="DCStableheading"/>
            </w:pPr>
            <w:r w:rsidRPr="00AC41E0">
              <w:t>Signature</w:t>
            </w:r>
          </w:p>
        </w:tc>
        <w:tc>
          <w:tcPr>
            <w:tcW w:w="2670" w:type="dxa"/>
            <w:shd w:val="clear" w:color="auto" w:fill="E6E6E6"/>
          </w:tcPr>
          <w:p w14:paraId="54D14082" w14:textId="77777777" w:rsidR="009F54FD" w:rsidRPr="00AC41E0" w:rsidRDefault="009F54FD" w:rsidP="00AC64F2">
            <w:pPr>
              <w:pStyle w:val="DCStableheading"/>
            </w:pPr>
            <w:r w:rsidRPr="00AC41E0">
              <w:t>Date</w:t>
            </w:r>
          </w:p>
        </w:tc>
      </w:tr>
      <w:tr w:rsidR="009F54FD" w:rsidRPr="00AC41E0" w14:paraId="4A11C1B0" w14:textId="77777777" w:rsidTr="00110CB8">
        <w:tc>
          <w:tcPr>
            <w:tcW w:w="3133" w:type="dxa"/>
          </w:tcPr>
          <w:p w14:paraId="196FE266" w14:textId="1486B7AE" w:rsidR="009F54FD" w:rsidRPr="00AC41E0" w:rsidRDefault="00D632EA" w:rsidP="00AC64F2">
            <w:pPr>
              <w:pStyle w:val="DCStabletext"/>
            </w:pPr>
            <w:r w:rsidRPr="00AC41E0">
              <w:t>Dawn Routledge</w:t>
            </w:r>
            <w:r w:rsidR="009F54FD" w:rsidRPr="00AC41E0">
              <w:br/>
            </w:r>
            <w:r w:rsidRPr="00AC41E0">
              <w:t xml:space="preserve">Executive Director, Office of the Secretary </w:t>
            </w:r>
          </w:p>
        </w:tc>
        <w:tc>
          <w:tcPr>
            <w:tcW w:w="3156" w:type="dxa"/>
          </w:tcPr>
          <w:p w14:paraId="744D2450" w14:textId="77777777" w:rsidR="009F54FD" w:rsidRPr="00AC41E0" w:rsidRDefault="009F54FD" w:rsidP="00AC64F2">
            <w:pPr>
              <w:pStyle w:val="DCStabletext"/>
            </w:pPr>
          </w:p>
        </w:tc>
        <w:tc>
          <w:tcPr>
            <w:tcW w:w="2670" w:type="dxa"/>
          </w:tcPr>
          <w:p w14:paraId="28001B19" w14:textId="77777777" w:rsidR="009F54FD" w:rsidRPr="00AC41E0" w:rsidRDefault="006A6F6F" w:rsidP="00AC64F2">
            <w:pPr>
              <w:pStyle w:val="DCStabletext"/>
            </w:pPr>
            <w:r w:rsidRPr="00AC41E0">
              <w:t xml:space="preserve">Version 1.0: </w:t>
            </w:r>
            <w:r w:rsidR="008F5DBE" w:rsidRPr="00AC41E0">
              <w:t>15</w:t>
            </w:r>
            <w:r w:rsidR="001410E3" w:rsidRPr="00AC41E0">
              <w:t xml:space="preserve"> </w:t>
            </w:r>
            <w:r w:rsidR="008F5DBE" w:rsidRPr="00AC41E0">
              <w:t xml:space="preserve">October </w:t>
            </w:r>
            <w:r w:rsidR="001410E3" w:rsidRPr="00AC41E0">
              <w:t>19</w:t>
            </w:r>
          </w:p>
          <w:p w14:paraId="4E771948" w14:textId="1DA23911" w:rsidR="006A6F6F" w:rsidRPr="00AC41E0" w:rsidRDefault="006A6F6F" w:rsidP="00AC64F2">
            <w:pPr>
              <w:pStyle w:val="DCStabletext"/>
            </w:pPr>
          </w:p>
        </w:tc>
      </w:tr>
      <w:tr w:rsidR="009F54FD" w:rsidRPr="00AC41E0" w14:paraId="33066558" w14:textId="77777777" w:rsidTr="00110CB8">
        <w:tc>
          <w:tcPr>
            <w:tcW w:w="3133" w:type="dxa"/>
          </w:tcPr>
          <w:p w14:paraId="2BD65CEA" w14:textId="47C89623" w:rsidR="00406A47" w:rsidRPr="00AC41E0" w:rsidRDefault="00406A47" w:rsidP="00E625DA">
            <w:pPr>
              <w:pStyle w:val="DCStabletext"/>
            </w:pPr>
            <w:r w:rsidRPr="00AC41E0">
              <w:t>Glenn King</w:t>
            </w:r>
          </w:p>
          <w:p w14:paraId="3E47CE3A" w14:textId="44E1F73B" w:rsidR="009F54FD" w:rsidRPr="00AC41E0" w:rsidRDefault="00E625DA" w:rsidP="00E625DA">
            <w:pPr>
              <w:pStyle w:val="DCStabletext"/>
            </w:pPr>
            <w:r w:rsidRPr="00AC41E0">
              <w:t>Secretary</w:t>
            </w:r>
          </w:p>
        </w:tc>
        <w:tc>
          <w:tcPr>
            <w:tcW w:w="3156" w:type="dxa"/>
          </w:tcPr>
          <w:p w14:paraId="63BF5B10" w14:textId="77777777" w:rsidR="009F54FD" w:rsidRPr="00AC41E0" w:rsidRDefault="009F54FD" w:rsidP="00AC64F2">
            <w:pPr>
              <w:pStyle w:val="DCStabletext"/>
            </w:pPr>
          </w:p>
        </w:tc>
        <w:tc>
          <w:tcPr>
            <w:tcW w:w="2670" w:type="dxa"/>
          </w:tcPr>
          <w:p w14:paraId="3F156667" w14:textId="3F4DD617" w:rsidR="006A6F6F" w:rsidRPr="00AC41E0" w:rsidRDefault="006A6F6F" w:rsidP="00AC64F2">
            <w:pPr>
              <w:pStyle w:val="DCStabletext"/>
            </w:pPr>
            <w:r w:rsidRPr="00AC41E0">
              <w:t xml:space="preserve">Version 1.0: </w:t>
            </w:r>
            <w:r w:rsidR="008F5DBE" w:rsidRPr="00AC41E0">
              <w:t>15 October 19</w:t>
            </w:r>
          </w:p>
        </w:tc>
      </w:tr>
    </w:tbl>
    <w:p w14:paraId="176AB857" w14:textId="0C2BD1F7" w:rsidR="009F54FD" w:rsidRPr="00AC41E0" w:rsidRDefault="009F54FD" w:rsidP="0001742D">
      <w:pPr>
        <w:pStyle w:val="Heading2"/>
        <w:ind w:left="794"/>
        <w:rPr>
          <w:rFonts w:ascii="Arial" w:hAnsi="Arial"/>
        </w:rPr>
      </w:pPr>
      <w:bookmarkStart w:id="1985" w:name="_Toc141690816"/>
      <w:bookmarkStart w:id="1986" w:name="_Toc141693439"/>
      <w:bookmarkStart w:id="1987" w:name="_Toc141693646"/>
      <w:bookmarkStart w:id="1988" w:name="_Toc141693703"/>
      <w:bookmarkStart w:id="1989" w:name="_Toc141694661"/>
      <w:bookmarkStart w:id="1990" w:name="_Toc141695594"/>
      <w:bookmarkStart w:id="1991" w:name="_Toc141770718"/>
      <w:bookmarkStart w:id="1992" w:name="_Toc144186853"/>
      <w:bookmarkStart w:id="1993" w:name="_Toc144186932"/>
      <w:bookmarkStart w:id="1994" w:name="_Toc144197252"/>
      <w:bookmarkStart w:id="1995" w:name="_Toc144198004"/>
      <w:bookmarkStart w:id="1996" w:name="_Toc144532309"/>
      <w:bookmarkStart w:id="1997" w:name="_Toc144540643"/>
      <w:bookmarkStart w:id="1998" w:name="_Toc144605396"/>
      <w:bookmarkStart w:id="1999" w:name="_Toc144868208"/>
      <w:bookmarkStart w:id="2000" w:name="_Toc144881587"/>
      <w:bookmarkStart w:id="2001" w:name="_Toc144882237"/>
      <w:bookmarkStart w:id="2002" w:name="_Toc145903590"/>
      <w:bookmarkStart w:id="2003" w:name="_Toc145904043"/>
      <w:bookmarkStart w:id="2004" w:name="_Toc145904113"/>
      <w:bookmarkStart w:id="2005" w:name="_Toc145913888"/>
      <w:bookmarkStart w:id="2006" w:name="_Toc146358415"/>
      <w:bookmarkStart w:id="2007" w:name="_Toc146360521"/>
      <w:bookmarkStart w:id="2008" w:name="_Toc146360617"/>
      <w:bookmarkStart w:id="2009" w:name="_Toc146429430"/>
      <w:bookmarkStart w:id="2010" w:name="_Toc146444634"/>
      <w:bookmarkStart w:id="2011" w:name="_Toc146446940"/>
      <w:bookmarkStart w:id="2012" w:name="_Toc146446970"/>
      <w:bookmarkStart w:id="2013" w:name="_Toc146530781"/>
      <w:bookmarkStart w:id="2014" w:name="_Toc146531232"/>
      <w:bookmarkStart w:id="2015" w:name="_Toc147641232"/>
      <w:bookmarkStart w:id="2016" w:name="_Toc147657488"/>
      <w:bookmarkStart w:id="2017" w:name="_Toc149451048"/>
      <w:bookmarkStart w:id="2018" w:name="_Toc65760617"/>
      <w:r w:rsidRPr="00AC41E0">
        <w:rPr>
          <w:rFonts w:ascii="Arial" w:hAnsi="Arial"/>
        </w:rPr>
        <w:t>Document Version Control</w:t>
      </w:r>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p>
    <w:tbl>
      <w:tblPr>
        <w:tblW w:w="8959" w:type="dxa"/>
        <w:tblInd w:w="794" w:type="dxa"/>
        <w:tblLook w:val="0000" w:firstRow="0" w:lastRow="0" w:firstColumn="0" w:lastColumn="0" w:noHBand="0" w:noVBand="0"/>
      </w:tblPr>
      <w:tblGrid>
        <w:gridCol w:w="1317"/>
        <w:gridCol w:w="1440"/>
        <w:gridCol w:w="1561"/>
        <w:gridCol w:w="1789"/>
        <w:gridCol w:w="2852"/>
      </w:tblGrid>
      <w:tr w:rsidR="009F54FD" w:rsidRPr="00AC41E0" w14:paraId="7361CA93" w14:textId="77777777" w:rsidTr="001957F0">
        <w:tc>
          <w:tcPr>
            <w:tcW w:w="1317" w:type="dxa"/>
            <w:tcBorders>
              <w:top w:val="single" w:sz="4" w:space="0" w:color="C0C0C0"/>
              <w:left w:val="single" w:sz="4" w:space="0" w:color="C0C0C0"/>
              <w:bottom w:val="single" w:sz="4" w:space="0" w:color="C0C0C0"/>
              <w:right w:val="single" w:sz="4" w:space="0" w:color="C0C0C0"/>
            </w:tcBorders>
            <w:shd w:val="clear" w:color="auto" w:fill="E6E6E6"/>
          </w:tcPr>
          <w:p w14:paraId="38E96603" w14:textId="77777777" w:rsidR="009F54FD" w:rsidRPr="00AC41E0" w:rsidRDefault="009F54FD" w:rsidP="00AC64F2">
            <w:pPr>
              <w:pStyle w:val="DCStableheading"/>
            </w:pPr>
            <w:r w:rsidRPr="00AC41E0">
              <w:t>Version</w:t>
            </w:r>
          </w:p>
        </w:tc>
        <w:tc>
          <w:tcPr>
            <w:tcW w:w="1440" w:type="dxa"/>
            <w:tcBorders>
              <w:top w:val="single" w:sz="4" w:space="0" w:color="C0C0C0"/>
              <w:left w:val="single" w:sz="4" w:space="0" w:color="C0C0C0"/>
              <w:bottom w:val="single" w:sz="4" w:space="0" w:color="C0C0C0"/>
              <w:right w:val="single" w:sz="4" w:space="0" w:color="C0C0C0"/>
            </w:tcBorders>
            <w:shd w:val="clear" w:color="auto" w:fill="E6E6E6"/>
          </w:tcPr>
          <w:p w14:paraId="6CFB42F3" w14:textId="77777777" w:rsidR="009F54FD" w:rsidRPr="00AC41E0" w:rsidRDefault="009F54FD" w:rsidP="00AC64F2">
            <w:pPr>
              <w:pStyle w:val="DCStableheading"/>
            </w:pPr>
            <w:r w:rsidRPr="00AC41E0">
              <w:t>Status</w:t>
            </w:r>
          </w:p>
        </w:tc>
        <w:tc>
          <w:tcPr>
            <w:tcW w:w="1561" w:type="dxa"/>
            <w:tcBorders>
              <w:top w:val="single" w:sz="4" w:space="0" w:color="C0C0C0"/>
              <w:left w:val="single" w:sz="4" w:space="0" w:color="C0C0C0"/>
              <w:bottom w:val="single" w:sz="4" w:space="0" w:color="C0C0C0"/>
              <w:right w:val="single" w:sz="4" w:space="0" w:color="C0C0C0"/>
            </w:tcBorders>
            <w:shd w:val="clear" w:color="auto" w:fill="E6E6E6"/>
          </w:tcPr>
          <w:p w14:paraId="7E445783" w14:textId="77777777" w:rsidR="009F54FD" w:rsidRPr="00AC41E0" w:rsidRDefault="009F54FD" w:rsidP="00AC64F2">
            <w:pPr>
              <w:pStyle w:val="DCStableheading"/>
            </w:pPr>
            <w:r w:rsidRPr="00AC41E0">
              <w:t>Date</w:t>
            </w:r>
          </w:p>
        </w:tc>
        <w:tc>
          <w:tcPr>
            <w:tcW w:w="1789" w:type="dxa"/>
            <w:tcBorders>
              <w:top w:val="single" w:sz="4" w:space="0" w:color="C0C0C0"/>
              <w:left w:val="single" w:sz="4" w:space="0" w:color="C0C0C0"/>
              <w:bottom w:val="single" w:sz="4" w:space="0" w:color="C0C0C0"/>
              <w:right w:val="single" w:sz="4" w:space="0" w:color="C0C0C0"/>
            </w:tcBorders>
            <w:shd w:val="clear" w:color="auto" w:fill="E6E6E6"/>
          </w:tcPr>
          <w:p w14:paraId="1EDE4AE2" w14:textId="77777777" w:rsidR="009F54FD" w:rsidRPr="00AC41E0" w:rsidRDefault="009F54FD" w:rsidP="00AC64F2">
            <w:pPr>
              <w:pStyle w:val="DCStableheading"/>
            </w:pPr>
            <w:r w:rsidRPr="00AC41E0">
              <w:t>Prepared By</w:t>
            </w:r>
          </w:p>
        </w:tc>
        <w:tc>
          <w:tcPr>
            <w:tcW w:w="2852" w:type="dxa"/>
            <w:tcBorders>
              <w:top w:val="single" w:sz="4" w:space="0" w:color="C0C0C0"/>
              <w:left w:val="single" w:sz="4" w:space="0" w:color="C0C0C0"/>
              <w:bottom w:val="single" w:sz="4" w:space="0" w:color="C0C0C0"/>
              <w:right w:val="single" w:sz="4" w:space="0" w:color="C0C0C0"/>
            </w:tcBorders>
            <w:shd w:val="clear" w:color="auto" w:fill="E6E6E6"/>
          </w:tcPr>
          <w:p w14:paraId="50EB712E" w14:textId="77777777" w:rsidR="009F54FD" w:rsidRPr="00AC41E0" w:rsidRDefault="009F54FD" w:rsidP="00AC64F2">
            <w:pPr>
              <w:pStyle w:val="DCStableheading"/>
            </w:pPr>
            <w:r w:rsidRPr="00AC41E0">
              <w:t>Comments</w:t>
            </w:r>
          </w:p>
        </w:tc>
      </w:tr>
      <w:tr w:rsidR="009F54FD" w:rsidRPr="00AC41E0" w14:paraId="48968E60" w14:textId="77777777" w:rsidTr="001957F0">
        <w:tc>
          <w:tcPr>
            <w:tcW w:w="1317" w:type="dxa"/>
            <w:tcBorders>
              <w:top w:val="single" w:sz="4" w:space="0" w:color="C0C0C0"/>
              <w:left w:val="single" w:sz="4" w:space="0" w:color="C0C0C0"/>
              <w:bottom w:val="single" w:sz="4" w:space="0" w:color="C0C0C0"/>
              <w:right w:val="single" w:sz="4" w:space="0" w:color="C0C0C0"/>
            </w:tcBorders>
            <w:tcMar>
              <w:right w:w="57" w:type="dxa"/>
            </w:tcMar>
          </w:tcPr>
          <w:p w14:paraId="09A55394" w14:textId="77777777" w:rsidR="009F54FD" w:rsidRPr="00AC41E0" w:rsidRDefault="009F54FD" w:rsidP="00AC64F2">
            <w:pPr>
              <w:pStyle w:val="DCStabletext"/>
            </w:pPr>
            <w:r w:rsidRPr="00AC41E0">
              <w:t>1.0</w:t>
            </w:r>
          </w:p>
        </w:tc>
        <w:tc>
          <w:tcPr>
            <w:tcW w:w="1440" w:type="dxa"/>
            <w:tcBorders>
              <w:top w:val="single" w:sz="4" w:space="0" w:color="C0C0C0"/>
              <w:left w:val="single" w:sz="4" w:space="0" w:color="C0C0C0"/>
              <w:bottom w:val="single" w:sz="4" w:space="0" w:color="C0C0C0"/>
              <w:right w:val="single" w:sz="4" w:space="0" w:color="C0C0C0"/>
            </w:tcBorders>
          </w:tcPr>
          <w:p w14:paraId="26841714" w14:textId="398A0D26" w:rsidR="009F54FD" w:rsidRPr="00AC41E0" w:rsidRDefault="00694719" w:rsidP="00AC64F2">
            <w:pPr>
              <w:pStyle w:val="DCStabletext"/>
            </w:pPr>
            <w:r w:rsidRPr="00AC41E0">
              <w:t>Final</w:t>
            </w:r>
          </w:p>
        </w:tc>
        <w:tc>
          <w:tcPr>
            <w:tcW w:w="1561" w:type="dxa"/>
            <w:tcBorders>
              <w:top w:val="single" w:sz="4" w:space="0" w:color="C0C0C0"/>
              <w:left w:val="single" w:sz="4" w:space="0" w:color="C0C0C0"/>
              <w:bottom w:val="single" w:sz="4" w:space="0" w:color="C0C0C0"/>
              <w:right w:val="single" w:sz="4" w:space="0" w:color="C0C0C0"/>
            </w:tcBorders>
          </w:tcPr>
          <w:p w14:paraId="34762A97" w14:textId="42CCB387" w:rsidR="009F54FD" w:rsidRPr="00AC41E0" w:rsidRDefault="000E139E" w:rsidP="00AC64F2">
            <w:pPr>
              <w:pStyle w:val="DCStabletext"/>
            </w:pPr>
            <w:r w:rsidRPr="00AC41E0">
              <w:t>09</w:t>
            </w:r>
            <w:r w:rsidR="00A874F6" w:rsidRPr="00AC41E0">
              <w:t xml:space="preserve"> Sep </w:t>
            </w:r>
            <w:r w:rsidRPr="00AC41E0">
              <w:t>20</w:t>
            </w:r>
            <w:r w:rsidR="00A874F6" w:rsidRPr="00AC41E0">
              <w:t xml:space="preserve">19 </w:t>
            </w:r>
          </w:p>
        </w:tc>
        <w:tc>
          <w:tcPr>
            <w:tcW w:w="1789" w:type="dxa"/>
            <w:tcBorders>
              <w:top w:val="single" w:sz="4" w:space="0" w:color="C0C0C0"/>
              <w:left w:val="single" w:sz="4" w:space="0" w:color="C0C0C0"/>
              <w:bottom w:val="single" w:sz="4" w:space="0" w:color="C0C0C0"/>
              <w:right w:val="single" w:sz="4" w:space="0" w:color="C0C0C0"/>
            </w:tcBorders>
          </w:tcPr>
          <w:p w14:paraId="344CB1E8" w14:textId="17D5CDAA" w:rsidR="009F54FD" w:rsidRPr="00AC41E0" w:rsidRDefault="00775B2D" w:rsidP="00AC64F2">
            <w:pPr>
              <w:pStyle w:val="DCStabletext"/>
            </w:pPr>
            <w:r w:rsidRPr="00AC41E0">
              <w:t xml:space="preserve">Strategy &amp; Policy, </w:t>
            </w:r>
            <w:r w:rsidR="00A874F6" w:rsidRPr="00AC41E0">
              <w:t>Office of the Secretary</w:t>
            </w:r>
          </w:p>
        </w:tc>
        <w:tc>
          <w:tcPr>
            <w:tcW w:w="2852" w:type="dxa"/>
            <w:tcBorders>
              <w:top w:val="single" w:sz="4" w:space="0" w:color="C0C0C0"/>
              <w:left w:val="single" w:sz="4" w:space="0" w:color="C0C0C0"/>
              <w:bottom w:val="single" w:sz="4" w:space="0" w:color="C0C0C0"/>
              <w:right w:val="single" w:sz="4" w:space="0" w:color="C0C0C0"/>
            </w:tcBorders>
          </w:tcPr>
          <w:p w14:paraId="7D51DCF5" w14:textId="3CCC1241" w:rsidR="009F54FD" w:rsidRPr="00AC41E0" w:rsidRDefault="009F54FD" w:rsidP="00AC64F2">
            <w:pPr>
              <w:pStyle w:val="DCStabletext"/>
            </w:pPr>
          </w:p>
        </w:tc>
      </w:tr>
      <w:tr w:rsidR="00694719" w:rsidRPr="00AC41E0" w14:paraId="47F00EC2" w14:textId="77777777" w:rsidTr="001957F0">
        <w:tc>
          <w:tcPr>
            <w:tcW w:w="1317" w:type="dxa"/>
            <w:tcBorders>
              <w:top w:val="single" w:sz="4" w:space="0" w:color="C0C0C0"/>
              <w:left w:val="single" w:sz="4" w:space="0" w:color="C0C0C0"/>
              <w:bottom w:val="single" w:sz="4" w:space="0" w:color="C0C0C0"/>
              <w:right w:val="single" w:sz="4" w:space="0" w:color="C0C0C0"/>
            </w:tcBorders>
            <w:tcMar>
              <w:right w:w="57" w:type="dxa"/>
            </w:tcMar>
          </w:tcPr>
          <w:p w14:paraId="631F47E3" w14:textId="282FC9AB" w:rsidR="00694719" w:rsidRPr="00AC41E0" w:rsidRDefault="00694719" w:rsidP="00AC64F2">
            <w:pPr>
              <w:pStyle w:val="DCStabletext"/>
            </w:pPr>
            <w:r w:rsidRPr="00AC41E0">
              <w:t>1.1</w:t>
            </w:r>
          </w:p>
        </w:tc>
        <w:tc>
          <w:tcPr>
            <w:tcW w:w="1440" w:type="dxa"/>
            <w:tcBorders>
              <w:top w:val="single" w:sz="4" w:space="0" w:color="C0C0C0"/>
              <w:left w:val="single" w:sz="4" w:space="0" w:color="C0C0C0"/>
              <w:bottom w:val="single" w:sz="4" w:space="0" w:color="C0C0C0"/>
              <w:right w:val="single" w:sz="4" w:space="0" w:color="C0C0C0"/>
            </w:tcBorders>
          </w:tcPr>
          <w:p w14:paraId="4215B8D0" w14:textId="6206637A" w:rsidR="00694719" w:rsidRPr="00AC41E0" w:rsidRDefault="00694719" w:rsidP="00AC64F2">
            <w:pPr>
              <w:pStyle w:val="DCStabletext"/>
            </w:pPr>
            <w:r w:rsidRPr="00AC41E0">
              <w:t>Final</w:t>
            </w:r>
          </w:p>
        </w:tc>
        <w:tc>
          <w:tcPr>
            <w:tcW w:w="1561" w:type="dxa"/>
            <w:tcBorders>
              <w:top w:val="single" w:sz="4" w:space="0" w:color="C0C0C0"/>
              <w:left w:val="single" w:sz="4" w:space="0" w:color="C0C0C0"/>
              <w:bottom w:val="single" w:sz="4" w:space="0" w:color="C0C0C0"/>
              <w:right w:val="single" w:sz="4" w:space="0" w:color="C0C0C0"/>
            </w:tcBorders>
          </w:tcPr>
          <w:p w14:paraId="565FEC3C" w14:textId="3E0DF83E" w:rsidR="00694719" w:rsidRPr="00AC41E0" w:rsidRDefault="001B1F48" w:rsidP="00AC64F2">
            <w:pPr>
              <w:pStyle w:val="DCStabletext"/>
            </w:pPr>
            <w:r w:rsidRPr="00AC41E0">
              <w:t>1 February 2020</w:t>
            </w:r>
          </w:p>
        </w:tc>
        <w:tc>
          <w:tcPr>
            <w:tcW w:w="1789" w:type="dxa"/>
            <w:tcBorders>
              <w:top w:val="single" w:sz="4" w:space="0" w:color="C0C0C0"/>
              <w:left w:val="single" w:sz="4" w:space="0" w:color="C0C0C0"/>
              <w:bottom w:val="single" w:sz="4" w:space="0" w:color="C0C0C0"/>
              <w:right w:val="single" w:sz="4" w:space="0" w:color="C0C0C0"/>
            </w:tcBorders>
          </w:tcPr>
          <w:p w14:paraId="38F6B07C" w14:textId="26464CEC" w:rsidR="00694719" w:rsidRPr="00AC41E0" w:rsidRDefault="001B1F48" w:rsidP="00AC64F2">
            <w:pPr>
              <w:pStyle w:val="DCStabletext"/>
            </w:pPr>
            <w:r w:rsidRPr="00AC41E0">
              <w:t>Strategy and Policy, Office of the Secretary</w:t>
            </w:r>
          </w:p>
        </w:tc>
        <w:tc>
          <w:tcPr>
            <w:tcW w:w="2852" w:type="dxa"/>
            <w:tcBorders>
              <w:top w:val="single" w:sz="4" w:space="0" w:color="C0C0C0"/>
              <w:left w:val="single" w:sz="4" w:space="0" w:color="C0C0C0"/>
              <w:bottom w:val="single" w:sz="4" w:space="0" w:color="C0C0C0"/>
              <w:right w:val="single" w:sz="4" w:space="0" w:color="C0C0C0"/>
            </w:tcBorders>
          </w:tcPr>
          <w:p w14:paraId="6ADD5418" w14:textId="21BC5B26" w:rsidR="00694719" w:rsidRPr="00AC41E0" w:rsidRDefault="001B1F48" w:rsidP="00AC64F2">
            <w:pPr>
              <w:pStyle w:val="DCStabletext"/>
            </w:pPr>
            <w:r w:rsidRPr="00AC41E0">
              <w:t>Minor amendments</w:t>
            </w:r>
            <w:r w:rsidR="00743352" w:rsidRPr="00AC41E0">
              <w:t xml:space="preserve"> made. New and updated standards have been added. </w:t>
            </w:r>
          </w:p>
        </w:tc>
      </w:tr>
      <w:tr w:rsidR="003D3F2B" w:rsidRPr="00900093" w14:paraId="08754C26" w14:textId="77777777" w:rsidTr="001957F0">
        <w:tc>
          <w:tcPr>
            <w:tcW w:w="1317" w:type="dxa"/>
            <w:tcBorders>
              <w:top w:val="single" w:sz="4" w:space="0" w:color="C0C0C0"/>
              <w:left w:val="single" w:sz="4" w:space="0" w:color="C0C0C0"/>
              <w:bottom w:val="single" w:sz="4" w:space="0" w:color="C0C0C0"/>
              <w:right w:val="single" w:sz="4" w:space="0" w:color="C0C0C0"/>
            </w:tcBorders>
            <w:tcMar>
              <w:right w:w="57" w:type="dxa"/>
            </w:tcMar>
          </w:tcPr>
          <w:p w14:paraId="7C500B2C" w14:textId="516F4208" w:rsidR="003D3F2B" w:rsidRPr="00AC41E0" w:rsidRDefault="003D3F2B" w:rsidP="00AC64F2">
            <w:pPr>
              <w:pStyle w:val="DCStabletext"/>
            </w:pPr>
            <w:r w:rsidRPr="00AC41E0">
              <w:t>1.2</w:t>
            </w:r>
          </w:p>
        </w:tc>
        <w:tc>
          <w:tcPr>
            <w:tcW w:w="1440" w:type="dxa"/>
            <w:tcBorders>
              <w:top w:val="single" w:sz="4" w:space="0" w:color="C0C0C0"/>
              <w:left w:val="single" w:sz="4" w:space="0" w:color="C0C0C0"/>
              <w:bottom w:val="single" w:sz="4" w:space="0" w:color="C0C0C0"/>
              <w:right w:val="single" w:sz="4" w:space="0" w:color="C0C0C0"/>
            </w:tcBorders>
          </w:tcPr>
          <w:p w14:paraId="25C98A00" w14:textId="2FBE3B68" w:rsidR="003D3F2B" w:rsidRPr="00AC41E0" w:rsidRDefault="009C24DF" w:rsidP="00AC64F2">
            <w:pPr>
              <w:pStyle w:val="DCStabletext"/>
            </w:pPr>
            <w:r w:rsidRPr="00AC41E0">
              <w:t>Draft</w:t>
            </w:r>
          </w:p>
        </w:tc>
        <w:tc>
          <w:tcPr>
            <w:tcW w:w="1561" w:type="dxa"/>
            <w:tcBorders>
              <w:top w:val="single" w:sz="4" w:space="0" w:color="C0C0C0"/>
              <w:left w:val="single" w:sz="4" w:space="0" w:color="C0C0C0"/>
              <w:bottom w:val="single" w:sz="4" w:space="0" w:color="C0C0C0"/>
              <w:right w:val="single" w:sz="4" w:space="0" w:color="C0C0C0"/>
            </w:tcBorders>
          </w:tcPr>
          <w:p w14:paraId="3FBFF4F2" w14:textId="4B0F4E28" w:rsidR="003D3F2B" w:rsidRPr="00AC41E0" w:rsidRDefault="009C24DF" w:rsidP="00AC64F2">
            <w:pPr>
              <w:pStyle w:val="DCStabletext"/>
            </w:pPr>
            <w:r w:rsidRPr="00AC41E0">
              <w:t>02 March 2021</w:t>
            </w:r>
          </w:p>
        </w:tc>
        <w:tc>
          <w:tcPr>
            <w:tcW w:w="1789" w:type="dxa"/>
            <w:tcBorders>
              <w:top w:val="single" w:sz="4" w:space="0" w:color="C0C0C0"/>
              <w:left w:val="single" w:sz="4" w:space="0" w:color="C0C0C0"/>
              <w:bottom w:val="single" w:sz="4" w:space="0" w:color="C0C0C0"/>
              <w:right w:val="single" w:sz="4" w:space="0" w:color="C0C0C0"/>
            </w:tcBorders>
          </w:tcPr>
          <w:p w14:paraId="4224C4AD" w14:textId="56E1C73C" w:rsidR="003D3F2B" w:rsidRPr="00AC41E0" w:rsidRDefault="009C24DF" w:rsidP="00AC64F2">
            <w:pPr>
              <w:pStyle w:val="DCStabletext"/>
            </w:pPr>
            <w:r w:rsidRPr="00AC41E0">
              <w:t>Strategy and Policy, Office of the Secretary</w:t>
            </w:r>
          </w:p>
        </w:tc>
        <w:tc>
          <w:tcPr>
            <w:tcW w:w="2852" w:type="dxa"/>
            <w:tcBorders>
              <w:top w:val="single" w:sz="4" w:space="0" w:color="C0C0C0"/>
              <w:left w:val="single" w:sz="4" w:space="0" w:color="C0C0C0"/>
              <w:bottom w:val="single" w:sz="4" w:space="0" w:color="C0C0C0"/>
              <w:right w:val="single" w:sz="4" w:space="0" w:color="C0C0C0"/>
            </w:tcBorders>
          </w:tcPr>
          <w:p w14:paraId="1799F5BF" w14:textId="6C2C993B" w:rsidR="003D3F2B" w:rsidRDefault="00E95C46" w:rsidP="00AC64F2">
            <w:pPr>
              <w:pStyle w:val="DCStabletext"/>
            </w:pPr>
            <w:r w:rsidRPr="00AC41E0">
              <w:t>Annual refresh of the policy. Amendments made to reflect updated standards,</w:t>
            </w:r>
            <w:r w:rsidR="00933B78" w:rsidRPr="00AC41E0">
              <w:t xml:space="preserve"> case studies and </w:t>
            </w:r>
            <w:r w:rsidR="00100375" w:rsidRPr="00AC41E0">
              <w:t>new infor</w:t>
            </w:r>
            <w:r w:rsidR="00976C5E" w:rsidRPr="00AC41E0">
              <w:t>mation available.</w:t>
            </w:r>
          </w:p>
        </w:tc>
      </w:tr>
    </w:tbl>
    <w:p w14:paraId="34C3B86F" w14:textId="08141CC3" w:rsidR="007E7E4D" w:rsidRDefault="007E7E4D" w:rsidP="00D55F6B">
      <w:pPr>
        <w:pStyle w:val="DCSbodytext"/>
        <w:ind w:left="0"/>
      </w:pPr>
    </w:p>
    <w:sectPr w:rsidR="007E7E4D" w:rsidSect="002771AA">
      <w:pgSz w:w="11906" w:h="16838"/>
      <w:pgMar w:top="1418" w:right="1134" w:bottom="1134" w:left="1134" w:header="851"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BFD8A6" w14:textId="77777777" w:rsidR="00084371" w:rsidRDefault="00084371">
      <w:r>
        <w:separator/>
      </w:r>
    </w:p>
  </w:endnote>
  <w:endnote w:type="continuationSeparator" w:id="0">
    <w:p w14:paraId="57BB724F" w14:textId="77777777" w:rsidR="00084371" w:rsidRDefault="00084371">
      <w:r>
        <w:continuationSeparator/>
      </w:r>
    </w:p>
  </w:endnote>
  <w:endnote w:type="continuationNotice" w:id="1">
    <w:p w14:paraId="6FCC7A99" w14:textId="77777777" w:rsidR="00084371" w:rsidRDefault="000843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0BD71" w14:textId="56E4DB4F" w:rsidR="004A5EF4" w:rsidRPr="00927AD2" w:rsidRDefault="004A5EF4" w:rsidP="00927AD2">
    <w:pPr>
      <w:pStyle w:val="DCSfooter"/>
    </w:pPr>
    <w:r>
      <w:t>NSW Government Internet of Things Policy Guidance |</w:t>
    </w:r>
    <w:r w:rsidRPr="00927AD2">
      <w:t xml:space="preserve"> </w:t>
    </w:r>
    <w:r w:rsidR="005479A6">
      <w:t>March 2021</w:t>
    </w:r>
    <w:r w:rsidRPr="00927AD2" w:rsidDel="00D95394">
      <w:fldChar w:fldCharType="begin"/>
    </w:r>
    <w:r w:rsidRPr="00927AD2" w:rsidDel="00D95394">
      <w:fldChar w:fldCharType="end"/>
    </w:r>
    <w:r>
      <w:ptab w:relativeTo="margin" w:alignment="right" w:leader="none"/>
    </w:r>
    <w:r w:rsidRPr="00A409AC">
      <w:fldChar w:fldCharType="begin"/>
    </w:r>
    <w:r w:rsidRPr="00A409AC">
      <w:instrText xml:space="preserve"> PAGE </w:instrText>
    </w:r>
    <w:r w:rsidRPr="00A409AC">
      <w:fldChar w:fldCharType="separate"/>
    </w:r>
    <w:r>
      <w:rPr>
        <w:noProof/>
      </w:rPr>
      <w:t>81</w:t>
    </w:r>
    <w:r w:rsidRPr="00A409A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3EAD6" w14:textId="1514A8E2" w:rsidR="004A5EF4" w:rsidRPr="00A409AC" w:rsidRDefault="004A5EF4" w:rsidP="00F605BC">
    <w:pPr>
      <w:pStyle w:val="DCSfooter"/>
      <w:tabs>
        <w:tab w:val="clear" w:pos="9639"/>
      </w:tabs>
    </w:pPr>
    <w:r>
      <w:fldChar w:fldCharType="begin"/>
    </w:r>
    <w:r>
      <w:instrText xml:space="preserve"> DATE  \@ "MMMM yyyy"  \* MERGEFORMAT </w:instrText>
    </w:r>
    <w:r>
      <w:fldChar w:fldCharType="separate"/>
    </w:r>
    <w:r w:rsidR="00E46FB0">
      <w:rPr>
        <w:noProof/>
      </w:rPr>
      <w:t>March 2021</w:t>
    </w:r>
    <w:r>
      <w:fldChar w:fldCharType="end"/>
    </w:r>
    <w:r w:rsidRPr="00927AD2">
      <w:tab/>
    </w:r>
    <w:r>
      <w:ptab w:relativeTo="margin" w:alignment="right" w:leader="none"/>
    </w:r>
    <w:r w:rsidRPr="00927AD2">
      <w:fldChar w:fldCharType="begin"/>
    </w:r>
    <w:r w:rsidRPr="00927AD2">
      <w:instrText xml:space="preserve"> TITLE   \* MERGEFORMAT </w:instrText>
    </w:r>
    <w:r w:rsidRPr="00927AD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77553" w14:textId="55735D4C" w:rsidR="004A5EF4" w:rsidRPr="00A409AC" w:rsidRDefault="004A5EF4" w:rsidP="00F605BC">
    <w:pPr>
      <w:pStyle w:val="DCSfooter"/>
      <w:tabs>
        <w:tab w:val="clear" w:pos="9639"/>
      </w:tabs>
    </w:pPr>
    <w:r w:rsidRPr="00927AD2">
      <w:t xml:space="preserve"> </w:t>
    </w:r>
    <w:r>
      <w:t>NSW Government Internet of Things Policy Guidance |</w:t>
    </w:r>
    <w:r w:rsidRPr="00927AD2">
      <w:t xml:space="preserve">  </w:t>
    </w:r>
    <w:r w:rsidRPr="00927AD2" w:rsidDel="00AE19F9">
      <w:fldChar w:fldCharType="begin"/>
    </w:r>
    <w:r w:rsidRPr="00927AD2" w:rsidDel="00AE19F9">
      <w:fldChar w:fldCharType="end"/>
    </w:r>
    <w:r w:rsidRPr="00927AD2">
      <w:tab/>
    </w:r>
    <w:r>
      <w:t>October 2019</w:t>
    </w:r>
    <w:r>
      <w:ptab w:relativeTo="margin" w:alignment="right" w:leader="none"/>
    </w:r>
    <w:r w:rsidRPr="00927AD2">
      <w:fldChar w:fldCharType="begin"/>
    </w:r>
    <w:r w:rsidRPr="00927AD2">
      <w:instrText xml:space="preserve"> TITLE   \* MERGEFORMAT </w:instrText>
    </w:r>
    <w:r w:rsidRPr="00927AD2">
      <w:fldChar w:fldCharType="end"/>
    </w:r>
    <w:r w:rsidRPr="00A409AC">
      <w:fldChar w:fldCharType="begin"/>
    </w:r>
    <w:r w:rsidRPr="00A409AC">
      <w:instrText xml:space="preserve"> PAGE </w:instrText>
    </w:r>
    <w:r w:rsidRPr="00A409AC">
      <w:fldChar w:fldCharType="separate"/>
    </w:r>
    <w:r>
      <w:rPr>
        <w:noProof/>
      </w:rPr>
      <w:t>16</w:t>
    </w:r>
    <w:r w:rsidRPr="00A409AC">
      <w:fldChar w:fldCharType="end"/>
    </w: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F6A58" w14:textId="316564E4" w:rsidR="004A5EF4" w:rsidRPr="00A409AC" w:rsidRDefault="004A5EF4" w:rsidP="00FF2F57">
    <w:pPr>
      <w:pStyle w:val="DCSfooter"/>
      <w:tabs>
        <w:tab w:val="clear" w:pos="9639"/>
      </w:tabs>
    </w:pPr>
    <w:r w:rsidRPr="00927AD2">
      <w:t xml:space="preserve"> [</w:t>
    </w:r>
    <w:r>
      <w:t>Document number here</w:t>
    </w:r>
    <w:r w:rsidRPr="00927AD2">
      <w:t>]</w:t>
    </w:r>
    <w:r>
      <w:t xml:space="preserve">  |</w:t>
    </w:r>
    <w:r w:rsidRPr="00927AD2">
      <w:t xml:space="preserve">  </w:t>
    </w:r>
    <w:r w:rsidRPr="00927AD2" w:rsidDel="0050223F">
      <w:fldChar w:fldCharType="begin"/>
    </w:r>
    <w:r w:rsidRPr="00927AD2" w:rsidDel="0050223F">
      <w:fldChar w:fldCharType="end"/>
    </w:r>
    <w:r w:rsidRPr="00927AD2">
      <w:tab/>
    </w:r>
    <w:r>
      <w:t>September 2019</w:t>
    </w:r>
    <w:r>
      <w:ptab w:relativeTo="margin" w:alignment="right" w:leader="none"/>
    </w:r>
    <w:r w:rsidRPr="00927AD2">
      <w:fldChar w:fldCharType="begin"/>
    </w:r>
    <w:r w:rsidRPr="00927AD2">
      <w:instrText xml:space="preserve"> TITLE   \* MERGEFORMAT </w:instrText>
    </w:r>
    <w:r w:rsidRPr="00927AD2">
      <w:fldChar w:fldCharType="end"/>
    </w:r>
    <w:r w:rsidRPr="00A409AC">
      <w:fldChar w:fldCharType="begin"/>
    </w:r>
    <w:r w:rsidRPr="00A409AC">
      <w:instrText xml:space="preserve"> PAGE </w:instrText>
    </w:r>
    <w:r w:rsidRPr="00A409AC">
      <w:fldChar w:fldCharType="separate"/>
    </w:r>
    <w:r>
      <w:rPr>
        <w:noProof/>
      </w:rPr>
      <w:t>17</w:t>
    </w:r>
    <w:r w:rsidRPr="00A409AC">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02135" w14:textId="5D8A7D4A" w:rsidR="004A5EF4" w:rsidRPr="00A409AC" w:rsidRDefault="00401210" w:rsidP="00FF2F57">
    <w:pPr>
      <w:pStyle w:val="DCSfooter"/>
      <w:tabs>
        <w:tab w:val="clear" w:pos="9639"/>
      </w:tabs>
    </w:pPr>
    <w:r w:rsidRPr="00401210">
      <w:t xml:space="preserve"> </w:t>
    </w:r>
    <w:r>
      <w:t>NSW Government Internet of Things Policy Guidance |</w:t>
    </w:r>
    <w:r w:rsidRPr="00927AD2">
      <w:t xml:space="preserve"> </w:t>
    </w:r>
    <w:r>
      <w:t>March 2021</w:t>
    </w:r>
    <w:r w:rsidR="004A5EF4" w:rsidRPr="00927AD2">
      <w:fldChar w:fldCharType="begin"/>
    </w:r>
    <w:r w:rsidR="004A5EF4" w:rsidRPr="00927AD2">
      <w:instrText xml:space="preserve"> TITLE   \* MERGEFORMAT </w:instrText>
    </w:r>
    <w:r w:rsidR="004A5EF4" w:rsidRPr="00927AD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F1DC3B" w14:textId="77777777" w:rsidR="00084371" w:rsidRDefault="00084371">
      <w:r>
        <w:separator/>
      </w:r>
    </w:p>
  </w:footnote>
  <w:footnote w:type="continuationSeparator" w:id="0">
    <w:p w14:paraId="49C851B9" w14:textId="77777777" w:rsidR="00084371" w:rsidRDefault="00084371">
      <w:r>
        <w:continuationSeparator/>
      </w:r>
    </w:p>
  </w:footnote>
  <w:footnote w:type="continuationNotice" w:id="1">
    <w:p w14:paraId="422DE173" w14:textId="77777777" w:rsidR="00084371" w:rsidRDefault="000843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1B25E" w14:textId="67E830C8" w:rsidR="004A5EF4" w:rsidRDefault="004A5EF4" w:rsidP="00A409AC">
    <w:pPr>
      <w:rPr>
        <w:noProof/>
      </w:rPr>
    </w:pPr>
    <w:r>
      <w:rPr>
        <w:noProof/>
      </w:rPr>
      <w:drawing>
        <wp:anchor distT="0" distB="0" distL="114300" distR="114300" simplePos="0" relativeHeight="251658240" behindDoc="1" locked="0" layoutInCell="1" allowOverlap="1" wp14:anchorId="5E580988" wp14:editId="6E9B1088">
          <wp:simplePos x="0" y="0"/>
          <wp:positionH relativeFrom="page">
            <wp:posOffset>0</wp:posOffset>
          </wp:positionH>
          <wp:positionV relativeFrom="page">
            <wp:posOffset>0</wp:posOffset>
          </wp:positionV>
          <wp:extent cx="7552800" cy="10684800"/>
          <wp:effectExtent l="0" t="0" r="0" b="2540"/>
          <wp:wrapNone/>
          <wp:docPr id="1571176544" name="Picture 1571176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PHICS\__Kate_WIP\active!!!!!!\1905_DFSI_Internal branding_templates_UPDATE\DFSI-DCS templates\DCS template jpgs\1905 DCS_A4_Word TEMPLA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800" cy="1068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549771" w14:textId="77777777" w:rsidR="004A5EF4" w:rsidRPr="00A409AC" w:rsidRDefault="004A5EF4" w:rsidP="00A409A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925F2" w14:textId="721A9CAE" w:rsidR="004A5EF4" w:rsidRDefault="004A5E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11694" w14:textId="10A443EB" w:rsidR="004A5EF4" w:rsidRDefault="004A5E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F6CE7" w14:textId="08CE3F61" w:rsidR="004A5EF4" w:rsidRDefault="004A5EF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1D252" w14:textId="14A17222" w:rsidR="004A5EF4" w:rsidRPr="00595439" w:rsidRDefault="004A5EF4" w:rsidP="00A409A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AB1B9" w14:textId="2D36CEDD" w:rsidR="004A5EF4" w:rsidRDefault="004A5E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6C93D" w14:textId="2AAAB626" w:rsidR="004A5EF4" w:rsidRDefault="004A5EF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7BA52" w14:textId="6B6217C5" w:rsidR="004A5EF4" w:rsidRPr="00927AD2" w:rsidRDefault="004A5EF4" w:rsidP="00A409A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C52DC" w14:textId="2FB3679F" w:rsidR="004A5EF4" w:rsidRDefault="00215C1E">
    <w:pPr>
      <w:pStyle w:val="Header"/>
    </w:pPr>
    <w:r>
      <w:rPr>
        <w:noProof/>
      </w:rPr>
      <mc:AlternateContent>
        <mc:Choice Requires="wps">
          <w:drawing>
            <wp:anchor distT="0" distB="0" distL="114300" distR="114300" simplePos="0" relativeHeight="251658241" behindDoc="1" locked="0" layoutInCell="0" allowOverlap="1" wp14:anchorId="6DF1A1BC" wp14:editId="37A8CB84">
              <wp:simplePos x="0" y="0"/>
              <wp:positionH relativeFrom="margin">
                <wp:align>center</wp:align>
              </wp:positionH>
              <wp:positionV relativeFrom="margin">
                <wp:align>center</wp:align>
              </wp:positionV>
              <wp:extent cx="5050155" cy="3030220"/>
              <wp:effectExtent l="0" t="0" r="0" b="0"/>
              <wp:wrapNone/>
              <wp:docPr id="29" name=" 1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A0FEE3" w14:textId="77777777" w:rsidR="00215C1E" w:rsidRDefault="00215C1E" w:rsidP="00215C1E">
                          <w:pPr>
                            <w:jc w:val="center"/>
                            <w:rPr>
                              <w:rFonts w:ascii="Calibri" w:hAnsi="Calibri"/>
                              <w:color w:val="C0C0C0"/>
                              <w:sz w:val="16"/>
                              <w:szCs w:val="16"/>
                              <w:lang w:val="en-US"/>
                              <w14:textFill>
                                <w14:solidFill>
                                  <w14:srgbClr w14:val="C0C0C0">
                                    <w14:alpha w14:val="50000"/>
                                  </w14:srgbClr>
                                </w14:solidFill>
                              </w14:textFill>
                            </w:rPr>
                          </w:pPr>
                          <w:r>
                            <w:rPr>
                              <w:rFonts w:ascii="Calibri" w:hAnsi="Calibri"/>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DF1A1BC" id="_x0000_t202" coordsize="21600,21600" o:spt="202" path="m,l,21600r21600,l21600,xe">
              <v:stroke joinstyle="miter"/>
              <v:path gradientshapeok="t" o:connecttype="rect"/>
            </v:shapetype>
            <v:shape id=" 10" o:spid="_x0000_s1046" type="#_x0000_t202" style="position:absolute;margin-left:0;margin-top:0;width:397.65pt;height:238.6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" o:allowincell="f" filled="f" stroked="f">
              <v:stroke joinstyle="round"/>
              <o:lock v:ext="edit" rotation="t" aspectratio="t" verticies="t" adjusthandles="t" grouping="t" shapetype="t"/>
              <v:textbox>
                <w:txbxContent>
                  <w:p w14:paraId="56A0FEE3" w14:textId="77777777" w:rsidR="00215C1E" w:rsidRDefault="00215C1E" w:rsidP="00215C1E">
                    <w:pPr>
                      <w:jc w:val="center"/>
                      <w:rPr>
                        <w:rFonts w:ascii="Calibri" w:hAnsi="Calibri"/>
                        <w:color w:val="C0C0C0"/>
                        <w:sz w:val="16"/>
                        <w:szCs w:val="16"/>
                        <w:lang w:val="en-US"/>
                        <w14:textFill>
                          <w14:solidFill>
                            <w14:srgbClr w14:val="C0C0C0">
                              <w14:alpha w14:val="50000"/>
                            </w14:srgbClr>
                          </w14:solidFill>
                        </w14:textFill>
                      </w:rPr>
                    </w:pPr>
                    <w:r>
                      <w:rPr>
                        <w:rFonts w:ascii="Calibri" w:hAnsi="Calibri"/>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r w:rsidR="004A5EF4">
      <w:rPr>
        <w:noProof/>
      </w:rPr>
      <mc:AlternateContent>
        <mc:Choice Requires="wps">
          <w:drawing>
            <wp:inline distT="0" distB="0" distL="0" distR="0" wp14:anchorId="62A5CF21" wp14:editId="227EB224">
              <wp:extent cx="5050790" cy="3030220"/>
              <wp:effectExtent l="0" t="0" r="0" b="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790"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A2AD9E" w14:textId="77777777" w:rsidR="004A5EF4" w:rsidRDefault="004A5EF4" w:rsidP="007B01B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inline>
          </w:drawing>
        </mc:Choice>
        <mc:Fallback>
          <w:pict>
            <v:shape w14:anchorId="62A5CF21" id="Text Box 14" o:spid="_x0000_s1047" type="#_x0000_t202" style="width:397.7pt;height:238.6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" filled="f" stroked="f">
              <v:stroke joinstyle="round"/>
              <o:lock v:ext="edit" shapetype="t"/>
              <v:textbox style="mso-fit-shape-to-text:t">
                <w:txbxContent>
                  <w:p w14:paraId="35A2AD9E" w14:textId="77777777" w:rsidR="004A5EF4" w:rsidRDefault="004A5EF4" w:rsidP="007B01B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anchorlock/>
            </v:shape>
          </w:pict>
        </mc:Fallback>
      </mc:AlternateContent>
    </w:r>
    <w:r w:rsidR="004A5EF4">
      <w:rPr>
        <w:noProof/>
      </w:rPr>
      <mc:AlternateContent>
        <mc:Choice Requires="wps">
          <w:drawing>
            <wp:inline distT="0" distB="0" distL="0" distR="0" wp14:anchorId="647A14AB" wp14:editId="689B57BE">
              <wp:extent cx="5050790" cy="3030220"/>
              <wp:effectExtent l="0" t="0" r="0" b="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790"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95B8CF" w14:textId="77777777" w:rsidR="004A5EF4" w:rsidRDefault="004A5EF4" w:rsidP="007B01B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inline>
          </w:drawing>
        </mc:Choice>
        <mc:Fallback>
          <w:pict>
            <v:shape w14:anchorId="647A14AB" id="Text Box 15" o:spid="_x0000_s1048" type="#_x0000_t202" style="width:397.7pt;height:238.6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" filled="f" stroked="f">
              <v:stroke joinstyle="round"/>
              <o:lock v:ext="edit" shapetype="t"/>
              <v:textbox style="mso-fit-shape-to-text:t">
                <w:txbxContent>
                  <w:p w14:paraId="2C95B8CF" w14:textId="77777777" w:rsidR="004A5EF4" w:rsidRDefault="004A5EF4" w:rsidP="007B01B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60599" w14:textId="414739AE" w:rsidR="004A5EF4" w:rsidRDefault="004A5E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C090003"/>
    <w:lvl w:ilvl="0">
      <w:start w:val="1"/>
      <w:numFmt w:val="bullet"/>
      <w:lvlText w:val="o"/>
      <w:lvlJc w:val="left"/>
      <w:pPr>
        <w:ind w:left="360" w:hanging="360"/>
      </w:pPr>
      <w:rPr>
        <w:rFonts w:ascii="Courier New" w:hAnsi="Courier New" w:cs="Courier New" w:hint="default"/>
      </w:rPr>
    </w:lvl>
  </w:abstractNum>
  <w:abstractNum w:abstractNumId="1" w15:restartNumberingAfterBreak="0">
    <w:nsid w:val="00254C03"/>
    <w:multiLevelType w:val="hybridMultilevel"/>
    <w:tmpl w:val="EC7CF5D2"/>
    <w:lvl w:ilvl="0" w:tplc="0C09000F">
      <w:start w:val="22"/>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 w15:restartNumberingAfterBreak="0">
    <w:nsid w:val="00463146"/>
    <w:multiLevelType w:val="hybridMultilevel"/>
    <w:tmpl w:val="FD7061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01A41A99"/>
    <w:multiLevelType w:val="hybridMultilevel"/>
    <w:tmpl w:val="349801DC"/>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4" w15:restartNumberingAfterBreak="0">
    <w:nsid w:val="01A6756C"/>
    <w:multiLevelType w:val="hybridMultilevel"/>
    <w:tmpl w:val="25B02E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259375F"/>
    <w:multiLevelType w:val="hybridMultilevel"/>
    <w:tmpl w:val="CE6696BA"/>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6" w15:restartNumberingAfterBreak="0">
    <w:nsid w:val="039E679B"/>
    <w:multiLevelType w:val="hybridMultilevel"/>
    <w:tmpl w:val="035403F4"/>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7" w15:restartNumberingAfterBreak="0">
    <w:nsid w:val="03A3450C"/>
    <w:multiLevelType w:val="hybridMultilevel"/>
    <w:tmpl w:val="5A5E1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3D8279C"/>
    <w:multiLevelType w:val="hybridMultilevel"/>
    <w:tmpl w:val="9968CDDE"/>
    <w:lvl w:ilvl="0" w:tplc="0C090001">
      <w:start w:val="1"/>
      <w:numFmt w:val="bullet"/>
      <w:lvlText w:val=""/>
      <w:lvlJc w:val="left"/>
      <w:pPr>
        <w:ind w:left="1228" w:hanging="360"/>
      </w:pPr>
      <w:rPr>
        <w:rFonts w:ascii="Symbol" w:hAnsi="Symbol" w:hint="default"/>
      </w:rPr>
    </w:lvl>
    <w:lvl w:ilvl="1" w:tplc="0C090003" w:tentative="1">
      <w:start w:val="1"/>
      <w:numFmt w:val="bullet"/>
      <w:lvlText w:val="o"/>
      <w:lvlJc w:val="left"/>
      <w:pPr>
        <w:ind w:left="1948" w:hanging="360"/>
      </w:pPr>
      <w:rPr>
        <w:rFonts w:ascii="Courier New" w:hAnsi="Courier New" w:cs="Courier New" w:hint="default"/>
      </w:rPr>
    </w:lvl>
    <w:lvl w:ilvl="2" w:tplc="0C090005" w:tentative="1">
      <w:start w:val="1"/>
      <w:numFmt w:val="bullet"/>
      <w:lvlText w:val=""/>
      <w:lvlJc w:val="left"/>
      <w:pPr>
        <w:ind w:left="2668" w:hanging="360"/>
      </w:pPr>
      <w:rPr>
        <w:rFonts w:ascii="Wingdings" w:hAnsi="Wingdings" w:hint="default"/>
      </w:rPr>
    </w:lvl>
    <w:lvl w:ilvl="3" w:tplc="0C090001" w:tentative="1">
      <w:start w:val="1"/>
      <w:numFmt w:val="bullet"/>
      <w:lvlText w:val=""/>
      <w:lvlJc w:val="left"/>
      <w:pPr>
        <w:ind w:left="3388" w:hanging="360"/>
      </w:pPr>
      <w:rPr>
        <w:rFonts w:ascii="Symbol" w:hAnsi="Symbol" w:hint="default"/>
      </w:rPr>
    </w:lvl>
    <w:lvl w:ilvl="4" w:tplc="0C090003" w:tentative="1">
      <w:start w:val="1"/>
      <w:numFmt w:val="bullet"/>
      <w:lvlText w:val="o"/>
      <w:lvlJc w:val="left"/>
      <w:pPr>
        <w:ind w:left="4108" w:hanging="360"/>
      </w:pPr>
      <w:rPr>
        <w:rFonts w:ascii="Courier New" w:hAnsi="Courier New" w:cs="Courier New" w:hint="default"/>
      </w:rPr>
    </w:lvl>
    <w:lvl w:ilvl="5" w:tplc="0C090005" w:tentative="1">
      <w:start w:val="1"/>
      <w:numFmt w:val="bullet"/>
      <w:lvlText w:val=""/>
      <w:lvlJc w:val="left"/>
      <w:pPr>
        <w:ind w:left="4828" w:hanging="360"/>
      </w:pPr>
      <w:rPr>
        <w:rFonts w:ascii="Wingdings" w:hAnsi="Wingdings" w:hint="default"/>
      </w:rPr>
    </w:lvl>
    <w:lvl w:ilvl="6" w:tplc="0C090001" w:tentative="1">
      <w:start w:val="1"/>
      <w:numFmt w:val="bullet"/>
      <w:lvlText w:val=""/>
      <w:lvlJc w:val="left"/>
      <w:pPr>
        <w:ind w:left="5548" w:hanging="360"/>
      </w:pPr>
      <w:rPr>
        <w:rFonts w:ascii="Symbol" w:hAnsi="Symbol" w:hint="default"/>
      </w:rPr>
    </w:lvl>
    <w:lvl w:ilvl="7" w:tplc="0C090003" w:tentative="1">
      <w:start w:val="1"/>
      <w:numFmt w:val="bullet"/>
      <w:lvlText w:val="o"/>
      <w:lvlJc w:val="left"/>
      <w:pPr>
        <w:ind w:left="6268" w:hanging="360"/>
      </w:pPr>
      <w:rPr>
        <w:rFonts w:ascii="Courier New" w:hAnsi="Courier New" w:cs="Courier New" w:hint="default"/>
      </w:rPr>
    </w:lvl>
    <w:lvl w:ilvl="8" w:tplc="0C090005" w:tentative="1">
      <w:start w:val="1"/>
      <w:numFmt w:val="bullet"/>
      <w:lvlText w:val=""/>
      <w:lvlJc w:val="left"/>
      <w:pPr>
        <w:ind w:left="6988" w:hanging="360"/>
      </w:pPr>
      <w:rPr>
        <w:rFonts w:ascii="Wingdings" w:hAnsi="Wingdings" w:hint="default"/>
      </w:rPr>
    </w:lvl>
  </w:abstractNum>
  <w:abstractNum w:abstractNumId="9" w15:restartNumberingAfterBreak="0">
    <w:nsid w:val="03DA6B0F"/>
    <w:multiLevelType w:val="hybridMultilevel"/>
    <w:tmpl w:val="C3D07612"/>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0" w15:restartNumberingAfterBreak="0">
    <w:nsid w:val="04B12779"/>
    <w:multiLevelType w:val="hybridMultilevel"/>
    <w:tmpl w:val="1B4EC1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55A0E6E"/>
    <w:multiLevelType w:val="hybridMultilevel"/>
    <w:tmpl w:val="787EFC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57463F7"/>
    <w:multiLevelType w:val="hybridMultilevel"/>
    <w:tmpl w:val="716229E2"/>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3" w15:restartNumberingAfterBreak="0">
    <w:nsid w:val="0577593D"/>
    <w:multiLevelType w:val="hybridMultilevel"/>
    <w:tmpl w:val="6B7C133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7FD31C3"/>
    <w:multiLevelType w:val="hybridMultilevel"/>
    <w:tmpl w:val="05F87406"/>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5" w15:restartNumberingAfterBreak="0">
    <w:nsid w:val="086B1CFC"/>
    <w:multiLevelType w:val="hybridMultilevel"/>
    <w:tmpl w:val="37261E2E"/>
    <w:lvl w:ilvl="0" w:tplc="B462AC86">
      <w:start w:val="1"/>
      <w:numFmt w:val="decimal"/>
      <w:pStyle w:val="SubPara"/>
      <w:lvlText w:val="%1)"/>
      <w:lvlJc w:val="left"/>
      <w:pPr>
        <w:tabs>
          <w:tab w:val="num" w:pos="1080"/>
        </w:tabs>
        <w:ind w:left="1080" w:hanging="360"/>
      </w:pPr>
      <w:rPr>
        <w:rFonts w:hint="default"/>
      </w:rPr>
    </w:lvl>
    <w:lvl w:ilvl="1" w:tplc="1806FE20">
      <w:start w:val="1"/>
      <w:numFmt w:val="lowerLetter"/>
      <w:lvlText w:val="%2)"/>
      <w:lvlJc w:val="left"/>
      <w:pPr>
        <w:tabs>
          <w:tab w:val="num" w:pos="1440"/>
        </w:tabs>
        <w:ind w:left="1440" w:hanging="360"/>
      </w:pPr>
      <w:rPr>
        <w:rFonts w:hint="default"/>
      </w:rPr>
    </w:lvl>
    <w:lvl w:ilvl="2" w:tplc="97FC217A">
      <w:start w:val="1"/>
      <w:numFmt w:val="lowerRoman"/>
      <w:lvlText w:val="%3)"/>
      <w:lvlJc w:val="left"/>
      <w:pPr>
        <w:tabs>
          <w:tab w:val="num" w:pos="1800"/>
        </w:tabs>
        <w:ind w:left="1800" w:hanging="360"/>
      </w:pPr>
      <w:rPr>
        <w:rFonts w:hint="default"/>
      </w:rPr>
    </w:lvl>
    <w:lvl w:ilvl="3" w:tplc="A09E7D54">
      <w:start w:val="1"/>
      <w:numFmt w:val="decimal"/>
      <w:lvlText w:val="(%4)"/>
      <w:lvlJc w:val="left"/>
      <w:pPr>
        <w:tabs>
          <w:tab w:val="num" w:pos="2160"/>
        </w:tabs>
        <w:ind w:left="2160" w:hanging="360"/>
      </w:pPr>
      <w:rPr>
        <w:rFonts w:hint="default"/>
      </w:rPr>
    </w:lvl>
    <w:lvl w:ilvl="4" w:tplc="9814CB7C">
      <w:start w:val="1"/>
      <w:numFmt w:val="lowerLetter"/>
      <w:lvlText w:val="(%5)"/>
      <w:lvlJc w:val="left"/>
      <w:pPr>
        <w:tabs>
          <w:tab w:val="num" w:pos="2520"/>
        </w:tabs>
        <w:ind w:left="2520" w:hanging="360"/>
      </w:pPr>
      <w:rPr>
        <w:rFonts w:hint="default"/>
      </w:rPr>
    </w:lvl>
    <w:lvl w:ilvl="5" w:tplc="F5AA40FA">
      <w:start w:val="1"/>
      <w:numFmt w:val="lowerRoman"/>
      <w:lvlText w:val="(%6)"/>
      <w:lvlJc w:val="left"/>
      <w:pPr>
        <w:tabs>
          <w:tab w:val="num" w:pos="2880"/>
        </w:tabs>
        <w:ind w:left="2880" w:hanging="360"/>
      </w:pPr>
      <w:rPr>
        <w:rFonts w:hint="default"/>
      </w:rPr>
    </w:lvl>
    <w:lvl w:ilvl="6" w:tplc="1AD251DE">
      <w:start w:val="1"/>
      <w:numFmt w:val="decimal"/>
      <w:lvlText w:val="%7."/>
      <w:lvlJc w:val="left"/>
      <w:pPr>
        <w:tabs>
          <w:tab w:val="num" w:pos="3240"/>
        </w:tabs>
        <w:ind w:left="3240" w:hanging="360"/>
      </w:pPr>
      <w:rPr>
        <w:rFonts w:hint="default"/>
      </w:rPr>
    </w:lvl>
    <w:lvl w:ilvl="7" w:tplc="49BE4B88">
      <w:start w:val="1"/>
      <w:numFmt w:val="lowerLetter"/>
      <w:lvlText w:val="%8."/>
      <w:lvlJc w:val="left"/>
      <w:pPr>
        <w:tabs>
          <w:tab w:val="num" w:pos="3600"/>
        </w:tabs>
        <w:ind w:left="3600" w:hanging="360"/>
      </w:pPr>
      <w:rPr>
        <w:rFonts w:hint="default"/>
      </w:rPr>
    </w:lvl>
    <w:lvl w:ilvl="8" w:tplc="0A722618">
      <w:start w:val="1"/>
      <w:numFmt w:val="lowerRoman"/>
      <w:lvlText w:val="%9."/>
      <w:lvlJc w:val="left"/>
      <w:pPr>
        <w:tabs>
          <w:tab w:val="num" w:pos="3960"/>
        </w:tabs>
        <w:ind w:left="3960" w:hanging="360"/>
      </w:pPr>
      <w:rPr>
        <w:rFonts w:hint="default"/>
      </w:rPr>
    </w:lvl>
  </w:abstractNum>
  <w:abstractNum w:abstractNumId="16" w15:restartNumberingAfterBreak="0">
    <w:nsid w:val="0A3B3CC6"/>
    <w:multiLevelType w:val="hybridMultilevel"/>
    <w:tmpl w:val="5AA83C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A452AB9"/>
    <w:multiLevelType w:val="hybridMultilevel"/>
    <w:tmpl w:val="221E4E6A"/>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8" w15:restartNumberingAfterBreak="0">
    <w:nsid w:val="0AA7580A"/>
    <w:multiLevelType w:val="hybridMultilevel"/>
    <w:tmpl w:val="8FE481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0AD11947"/>
    <w:multiLevelType w:val="hybridMultilevel"/>
    <w:tmpl w:val="6DD29B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0ADC50CF"/>
    <w:multiLevelType w:val="hybridMultilevel"/>
    <w:tmpl w:val="D8B68172"/>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21" w15:restartNumberingAfterBreak="0">
    <w:nsid w:val="0BA731C4"/>
    <w:multiLevelType w:val="hybridMultilevel"/>
    <w:tmpl w:val="E916707C"/>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22" w15:restartNumberingAfterBreak="0">
    <w:nsid w:val="0BFC7CC8"/>
    <w:multiLevelType w:val="hybridMultilevel"/>
    <w:tmpl w:val="C7128562"/>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3" w15:restartNumberingAfterBreak="0">
    <w:nsid w:val="0C9C78A6"/>
    <w:multiLevelType w:val="hybridMultilevel"/>
    <w:tmpl w:val="7DE402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0CA8416F"/>
    <w:multiLevelType w:val="hybridMultilevel"/>
    <w:tmpl w:val="E976F10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0CCA5889"/>
    <w:multiLevelType w:val="hybridMultilevel"/>
    <w:tmpl w:val="7A2457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0D553AB1"/>
    <w:multiLevelType w:val="hybridMultilevel"/>
    <w:tmpl w:val="EA101E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F0310D2"/>
    <w:multiLevelType w:val="hybridMultilevel"/>
    <w:tmpl w:val="10CEFBF4"/>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28" w15:restartNumberingAfterBreak="0">
    <w:nsid w:val="10F23B00"/>
    <w:multiLevelType w:val="hybridMultilevel"/>
    <w:tmpl w:val="777899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117" w:hanging="360"/>
      </w:pPr>
      <w:rPr>
        <w:rFonts w:ascii="Courier New" w:hAnsi="Courier New" w:cs="Courier New" w:hint="default"/>
      </w:rPr>
    </w:lvl>
    <w:lvl w:ilvl="2" w:tplc="0C090005" w:tentative="1">
      <w:start w:val="1"/>
      <w:numFmt w:val="bullet"/>
      <w:lvlText w:val=""/>
      <w:lvlJc w:val="left"/>
      <w:pPr>
        <w:ind w:left="1837" w:hanging="360"/>
      </w:pPr>
      <w:rPr>
        <w:rFonts w:ascii="Wingdings" w:hAnsi="Wingdings" w:hint="default"/>
      </w:rPr>
    </w:lvl>
    <w:lvl w:ilvl="3" w:tplc="0C090001" w:tentative="1">
      <w:start w:val="1"/>
      <w:numFmt w:val="bullet"/>
      <w:lvlText w:val=""/>
      <w:lvlJc w:val="left"/>
      <w:pPr>
        <w:ind w:left="2557" w:hanging="360"/>
      </w:pPr>
      <w:rPr>
        <w:rFonts w:ascii="Symbol" w:hAnsi="Symbol" w:hint="default"/>
      </w:rPr>
    </w:lvl>
    <w:lvl w:ilvl="4" w:tplc="0C090003" w:tentative="1">
      <w:start w:val="1"/>
      <w:numFmt w:val="bullet"/>
      <w:lvlText w:val="o"/>
      <w:lvlJc w:val="left"/>
      <w:pPr>
        <w:ind w:left="3277" w:hanging="360"/>
      </w:pPr>
      <w:rPr>
        <w:rFonts w:ascii="Courier New" w:hAnsi="Courier New" w:cs="Courier New" w:hint="default"/>
      </w:rPr>
    </w:lvl>
    <w:lvl w:ilvl="5" w:tplc="0C090005" w:tentative="1">
      <w:start w:val="1"/>
      <w:numFmt w:val="bullet"/>
      <w:lvlText w:val=""/>
      <w:lvlJc w:val="left"/>
      <w:pPr>
        <w:ind w:left="3997" w:hanging="360"/>
      </w:pPr>
      <w:rPr>
        <w:rFonts w:ascii="Wingdings" w:hAnsi="Wingdings" w:hint="default"/>
      </w:rPr>
    </w:lvl>
    <w:lvl w:ilvl="6" w:tplc="0C090001" w:tentative="1">
      <w:start w:val="1"/>
      <w:numFmt w:val="bullet"/>
      <w:lvlText w:val=""/>
      <w:lvlJc w:val="left"/>
      <w:pPr>
        <w:ind w:left="4717" w:hanging="360"/>
      </w:pPr>
      <w:rPr>
        <w:rFonts w:ascii="Symbol" w:hAnsi="Symbol" w:hint="default"/>
      </w:rPr>
    </w:lvl>
    <w:lvl w:ilvl="7" w:tplc="0C090003" w:tentative="1">
      <w:start w:val="1"/>
      <w:numFmt w:val="bullet"/>
      <w:lvlText w:val="o"/>
      <w:lvlJc w:val="left"/>
      <w:pPr>
        <w:ind w:left="5437" w:hanging="360"/>
      </w:pPr>
      <w:rPr>
        <w:rFonts w:ascii="Courier New" w:hAnsi="Courier New" w:cs="Courier New" w:hint="default"/>
      </w:rPr>
    </w:lvl>
    <w:lvl w:ilvl="8" w:tplc="0C090005" w:tentative="1">
      <w:start w:val="1"/>
      <w:numFmt w:val="bullet"/>
      <w:lvlText w:val=""/>
      <w:lvlJc w:val="left"/>
      <w:pPr>
        <w:ind w:left="6157" w:hanging="360"/>
      </w:pPr>
      <w:rPr>
        <w:rFonts w:ascii="Wingdings" w:hAnsi="Wingdings" w:hint="default"/>
      </w:rPr>
    </w:lvl>
  </w:abstractNum>
  <w:abstractNum w:abstractNumId="29" w15:restartNumberingAfterBreak="0">
    <w:nsid w:val="11EB05F9"/>
    <w:multiLevelType w:val="hybridMultilevel"/>
    <w:tmpl w:val="4E3A6BB6"/>
    <w:lvl w:ilvl="0" w:tplc="8A509C12">
      <w:start w:val="1"/>
      <w:numFmt w:val="bullet"/>
      <w:lvlText w:val=""/>
      <w:lvlJc w:val="left"/>
      <w:pPr>
        <w:ind w:left="360" w:hanging="360"/>
      </w:pPr>
      <w:rPr>
        <w:rFonts w:ascii="Wingdings" w:hAnsi="Wingdings" w:hint="default"/>
        <w:color w:val="00B05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276667F"/>
    <w:multiLevelType w:val="multilevel"/>
    <w:tmpl w:val="B5D2B130"/>
    <w:lvl w:ilvl="0">
      <w:start w:val="1"/>
      <w:numFmt w:val="upperLetter"/>
      <w:pStyle w:val="AppendixHeading"/>
      <w:lvlText w:val="Appendix %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440"/>
        </w:tabs>
        <w:ind w:left="1134" w:hanging="1134"/>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1" w15:restartNumberingAfterBreak="0">
    <w:nsid w:val="13B549B3"/>
    <w:multiLevelType w:val="hybridMultilevel"/>
    <w:tmpl w:val="FFFFFFFF"/>
    <w:lvl w:ilvl="0" w:tplc="4FA2575E">
      <w:start w:val="1"/>
      <w:numFmt w:val="lowerLetter"/>
      <w:lvlText w:val="%1."/>
      <w:lvlJc w:val="left"/>
      <w:pPr>
        <w:ind w:left="720" w:hanging="360"/>
      </w:pPr>
    </w:lvl>
    <w:lvl w:ilvl="1" w:tplc="14B25C04">
      <w:start w:val="1"/>
      <w:numFmt w:val="lowerLetter"/>
      <w:lvlText w:val="%2."/>
      <w:lvlJc w:val="left"/>
      <w:pPr>
        <w:ind w:left="1440" w:hanging="360"/>
      </w:pPr>
    </w:lvl>
    <w:lvl w:ilvl="2" w:tplc="6F5A3108">
      <w:start w:val="1"/>
      <w:numFmt w:val="lowerRoman"/>
      <w:lvlText w:val="%3."/>
      <w:lvlJc w:val="right"/>
      <w:pPr>
        <w:ind w:left="2160" w:hanging="180"/>
      </w:pPr>
    </w:lvl>
    <w:lvl w:ilvl="3" w:tplc="55F28052">
      <w:start w:val="1"/>
      <w:numFmt w:val="decimal"/>
      <w:lvlText w:val="%4."/>
      <w:lvlJc w:val="left"/>
      <w:pPr>
        <w:ind w:left="2880" w:hanging="360"/>
      </w:pPr>
    </w:lvl>
    <w:lvl w:ilvl="4" w:tplc="3BB61C48">
      <w:start w:val="1"/>
      <w:numFmt w:val="lowerLetter"/>
      <w:lvlText w:val="%5."/>
      <w:lvlJc w:val="left"/>
      <w:pPr>
        <w:ind w:left="3600" w:hanging="360"/>
      </w:pPr>
    </w:lvl>
    <w:lvl w:ilvl="5" w:tplc="3AAE97BE">
      <w:start w:val="1"/>
      <w:numFmt w:val="lowerRoman"/>
      <w:lvlText w:val="%6."/>
      <w:lvlJc w:val="right"/>
      <w:pPr>
        <w:ind w:left="4320" w:hanging="180"/>
      </w:pPr>
    </w:lvl>
    <w:lvl w:ilvl="6" w:tplc="F8AC654E">
      <w:start w:val="1"/>
      <w:numFmt w:val="decimal"/>
      <w:lvlText w:val="%7."/>
      <w:lvlJc w:val="left"/>
      <w:pPr>
        <w:ind w:left="5040" w:hanging="360"/>
      </w:pPr>
    </w:lvl>
    <w:lvl w:ilvl="7" w:tplc="EAECE2A8">
      <w:start w:val="1"/>
      <w:numFmt w:val="lowerLetter"/>
      <w:lvlText w:val="%8."/>
      <w:lvlJc w:val="left"/>
      <w:pPr>
        <w:ind w:left="5760" w:hanging="360"/>
      </w:pPr>
    </w:lvl>
    <w:lvl w:ilvl="8" w:tplc="FB9C3388">
      <w:start w:val="1"/>
      <w:numFmt w:val="lowerRoman"/>
      <w:lvlText w:val="%9."/>
      <w:lvlJc w:val="right"/>
      <w:pPr>
        <w:ind w:left="6480" w:hanging="180"/>
      </w:pPr>
    </w:lvl>
  </w:abstractNum>
  <w:abstractNum w:abstractNumId="32" w15:restartNumberingAfterBreak="0">
    <w:nsid w:val="147D2C39"/>
    <w:multiLevelType w:val="hybridMultilevel"/>
    <w:tmpl w:val="94AAC54C"/>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33" w15:restartNumberingAfterBreak="0">
    <w:nsid w:val="15977DA5"/>
    <w:multiLevelType w:val="hybridMultilevel"/>
    <w:tmpl w:val="E3DC31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5AF08E4"/>
    <w:multiLevelType w:val="hybridMultilevel"/>
    <w:tmpl w:val="8D100662"/>
    <w:lvl w:ilvl="0" w:tplc="0C090001">
      <w:start w:val="1"/>
      <w:numFmt w:val="bullet"/>
      <w:lvlText w:val=""/>
      <w:lvlJc w:val="left"/>
      <w:pPr>
        <w:ind w:left="1154" w:hanging="360"/>
      </w:pPr>
      <w:rPr>
        <w:rFonts w:ascii="Symbol" w:hAnsi="Symbol" w:hint="default"/>
      </w:rPr>
    </w:lvl>
    <w:lvl w:ilvl="1" w:tplc="0C090003">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35" w15:restartNumberingAfterBreak="0">
    <w:nsid w:val="16724321"/>
    <w:multiLevelType w:val="multilevel"/>
    <w:tmpl w:val="3CF4F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6A158C1"/>
    <w:multiLevelType w:val="hybridMultilevel"/>
    <w:tmpl w:val="63121C7A"/>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37" w15:restartNumberingAfterBreak="0">
    <w:nsid w:val="17D32F87"/>
    <w:multiLevelType w:val="hybridMultilevel"/>
    <w:tmpl w:val="F02EC00C"/>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38" w15:restartNumberingAfterBreak="0">
    <w:nsid w:val="188C57BD"/>
    <w:multiLevelType w:val="hybridMultilevel"/>
    <w:tmpl w:val="C69618E8"/>
    <w:lvl w:ilvl="0" w:tplc="C6184170">
      <w:numFmt w:val="none"/>
      <w:pStyle w:val="Definition"/>
      <w:suff w:val="nothing"/>
      <w:lvlText w:val=""/>
      <w:lvlJc w:val="left"/>
      <w:pPr>
        <w:ind w:left="964" w:firstLine="0"/>
      </w:pPr>
      <w:rPr>
        <w:rFonts w:ascii="Times New Roman" w:hAnsi="Times New Roman" w:hint="default"/>
        <w:b w:val="0"/>
        <w:i w:val="0"/>
        <w:caps w:val="0"/>
        <w:sz w:val="22"/>
        <w:szCs w:val="22"/>
        <w:u w:val="none"/>
      </w:rPr>
    </w:lvl>
    <w:lvl w:ilvl="1" w:tplc="D8BEA192">
      <w:start w:val="1"/>
      <w:numFmt w:val="lowerLetter"/>
      <w:pStyle w:val="DefinitionNum2"/>
      <w:lvlText w:val="(%2)"/>
      <w:lvlJc w:val="left"/>
      <w:pPr>
        <w:tabs>
          <w:tab w:val="num" w:pos="1928"/>
        </w:tabs>
        <w:ind w:left="1928" w:hanging="964"/>
      </w:pPr>
      <w:rPr>
        <w:rFonts w:ascii="Times New Roman" w:hAnsi="Times New Roman" w:hint="default"/>
        <w:b w:val="0"/>
        <w:i w:val="0"/>
        <w:sz w:val="22"/>
        <w:szCs w:val="22"/>
        <w:u w:val="none"/>
      </w:rPr>
    </w:lvl>
    <w:lvl w:ilvl="2" w:tplc="D8A26212">
      <w:start w:val="1"/>
      <w:numFmt w:val="lowerRoman"/>
      <w:pStyle w:val="DefinitionNum3"/>
      <w:lvlText w:val="(%3)"/>
      <w:lvlJc w:val="left"/>
      <w:pPr>
        <w:tabs>
          <w:tab w:val="num" w:pos="2892"/>
        </w:tabs>
        <w:ind w:left="2892" w:hanging="964"/>
      </w:pPr>
      <w:rPr>
        <w:rFonts w:hint="default"/>
        <w:b w:val="0"/>
        <w:i w:val="0"/>
        <w:u w:val="none"/>
      </w:rPr>
    </w:lvl>
    <w:lvl w:ilvl="3" w:tplc="EAC29120">
      <w:start w:val="1"/>
      <w:numFmt w:val="upperLetter"/>
      <w:pStyle w:val="DefinitionNum4"/>
      <w:lvlText w:val="%4."/>
      <w:lvlJc w:val="left"/>
      <w:pPr>
        <w:tabs>
          <w:tab w:val="num" w:pos="3856"/>
        </w:tabs>
        <w:ind w:left="3856" w:hanging="964"/>
      </w:pPr>
      <w:rPr>
        <w:rFonts w:hint="default"/>
        <w:u w:val="none"/>
      </w:rPr>
    </w:lvl>
    <w:lvl w:ilvl="4" w:tplc="09BAA3D2">
      <w:start w:val="1"/>
      <w:numFmt w:val="none"/>
      <w:lvlText w:val="%5"/>
      <w:lvlJc w:val="left"/>
      <w:pPr>
        <w:tabs>
          <w:tab w:val="num" w:pos="3856"/>
        </w:tabs>
        <w:ind w:left="3856" w:hanging="964"/>
      </w:pPr>
      <w:rPr>
        <w:rFonts w:hint="default"/>
        <w:b w:val="0"/>
        <w:i w:val="0"/>
        <w:u w:val="none"/>
      </w:rPr>
    </w:lvl>
    <w:lvl w:ilvl="5" w:tplc="5E207690">
      <w:start w:val="1"/>
      <w:numFmt w:val="none"/>
      <w:lvlText w:val="%6"/>
      <w:lvlJc w:val="left"/>
      <w:pPr>
        <w:tabs>
          <w:tab w:val="num" w:pos="4820"/>
        </w:tabs>
        <w:ind w:left="4820" w:hanging="964"/>
      </w:pPr>
      <w:rPr>
        <w:rFonts w:hint="default"/>
        <w:b w:val="0"/>
        <w:i w:val="0"/>
        <w:u w:val="none"/>
      </w:rPr>
    </w:lvl>
    <w:lvl w:ilvl="6" w:tplc="F98E4A6E">
      <w:start w:val="1"/>
      <w:numFmt w:val="none"/>
      <w:lvlText w:val="%7"/>
      <w:lvlJc w:val="left"/>
      <w:pPr>
        <w:tabs>
          <w:tab w:val="num" w:pos="5783"/>
        </w:tabs>
        <w:ind w:left="5783" w:hanging="963"/>
      </w:pPr>
      <w:rPr>
        <w:rFonts w:hint="default"/>
        <w:b w:val="0"/>
        <w:i w:val="0"/>
        <w:u w:val="none"/>
      </w:rPr>
    </w:lvl>
    <w:lvl w:ilvl="7" w:tplc="DD10539A">
      <w:start w:val="1"/>
      <w:numFmt w:val="none"/>
      <w:lvlText w:val="%8"/>
      <w:lvlJc w:val="left"/>
      <w:pPr>
        <w:tabs>
          <w:tab w:val="num" w:pos="6747"/>
        </w:tabs>
        <w:ind w:left="6747" w:hanging="964"/>
      </w:pPr>
      <w:rPr>
        <w:rFonts w:hint="default"/>
        <w:b w:val="0"/>
        <w:i w:val="0"/>
        <w:u w:val="none"/>
      </w:rPr>
    </w:lvl>
    <w:lvl w:ilvl="8" w:tplc="91780D4C">
      <w:start w:val="1"/>
      <w:numFmt w:val="none"/>
      <w:lvlRestart w:val="0"/>
      <w:suff w:val="nothing"/>
      <w:lvlText w:val=""/>
      <w:lvlJc w:val="left"/>
      <w:pPr>
        <w:ind w:left="0" w:firstLine="0"/>
      </w:pPr>
      <w:rPr>
        <w:rFonts w:hint="default"/>
      </w:rPr>
    </w:lvl>
  </w:abstractNum>
  <w:abstractNum w:abstractNumId="39" w15:restartNumberingAfterBreak="0">
    <w:nsid w:val="189F4FE8"/>
    <w:multiLevelType w:val="hybridMultilevel"/>
    <w:tmpl w:val="892027FC"/>
    <w:lvl w:ilvl="0" w:tplc="0C090011">
      <w:start w:val="1"/>
      <w:numFmt w:val="decimal"/>
      <w:lvlText w:val="%1)"/>
      <w:lvlJc w:val="left"/>
      <w:pPr>
        <w:ind w:left="1154" w:hanging="360"/>
      </w:pPr>
    </w:lvl>
    <w:lvl w:ilvl="1" w:tplc="C206ED20">
      <w:start w:val="1"/>
      <w:numFmt w:val="decimal"/>
      <w:lvlText w:val="%2."/>
      <w:lvlJc w:val="left"/>
      <w:pPr>
        <w:ind w:left="1874" w:hanging="360"/>
      </w:pPr>
      <w:rPr>
        <w:rFonts w:hint="default"/>
      </w:rPr>
    </w:lvl>
    <w:lvl w:ilvl="2" w:tplc="0C09001B" w:tentative="1">
      <w:start w:val="1"/>
      <w:numFmt w:val="lowerRoman"/>
      <w:lvlText w:val="%3."/>
      <w:lvlJc w:val="right"/>
      <w:pPr>
        <w:ind w:left="2594" w:hanging="180"/>
      </w:pPr>
    </w:lvl>
    <w:lvl w:ilvl="3" w:tplc="0C09000F" w:tentative="1">
      <w:start w:val="1"/>
      <w:numFmt w:val="decimal"/>
      <w:lvlText w:val="%4."/>
      <w:lvlJc w:val="left"/>
      <w:pPr>
        <w:ind w:left="3314" w:hanging="360"/>
      </w:pPr>
    </w:lvl>
    <w:lvl w:ilvl="4" w:tplc="0C090019" w:tentative="1">
      <w:start w:val="1"/>
      <w:numFmt w:val="lowerLetter"/>
      <w:lvlText w:val="%5."/>
      <w:lvlJc w:val="left"/>
      <w:pPr>
        <w:ind w:left="4034" w:hanging="360"/>
      </w:pPr>
    </w:lvl>
    <w:lvl w:ilvl="5" w:tplc="0C09001B" w:tentative="1">
      <w:start w:val="1"/>
      <w:numFmt w:val="lowerRoman"/>
      <w:lvlText w:val="%6."/>
      <w:lvlJc w:val="right"/>
      <w:pPr>
        <w:ind w:left="4754" w:hanging="180"/>
      </w:pPr>
    </w:lvl>
    <w:lvl w:ilvl="6" w:tplc="0C09000F" w:tentative="1">
      <w:start w:val="1"/>
      <w:numFmt w:val="decimal"/>
      <w:lvlText w:val="%7."/>
      <w:lvlJc w:val="left"/>
      <w:pPr>
        <w:ind w:left="5474" w:hanging="360"/>
      </w:pPr>
    </w:lvl>
    <w:lvl w:ilvl="7" w:tplc="0C090019" w:tentative="1">
      <w:start w:val="1"/>
      <w:numFmt w:val="lowerLetter"/>
      <w:lvlText w:val="%8."/>
      <w:lvlJc w:val="left"/>
      <w:pPr>
        <w:ind w:left="6194" w:hanging="360"/>
      </w:pPr>
    </w:lvl>
    <w:lvl w:ilvl="8" w:tplc="0C09001B" w:tentative="1">
      <w:start w:val="1"/>
      <w:numFmt w:val="lowerRoman"/>
      <w:lvlText w:val="%9."/>
      <w:lvlJc w:val="right"/>
      <w:pPr>
        <w:ind w:left="6914" w:hanging="180"/>
      </w:pPr>
    </w:lvl>
  </w:abstractNum>
  <w:abstractNum w:abstractNumId="40" w15:restartNumberingAfterBreak="0">
    <w:nsid w:val="196F6A21"/>
    <w:multiLevelType w:val="hybridMultilevel"/>
    <w:tmpl w:val="7C4626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1AD87DEE"/>
    <w:multiLevelType w:val="hybridMultilevel"/>
    <w:tmpl w:val="DD0CA124"/>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42" w15:restartNumberingAfterBreak="0">
    <w:nsid w:val="1C1A3C25"/>
    <w:multiLevelType w:val="hybridMultilevel"/>
    <w:tmpl w:val="7D964B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3" w15:restartNumberingAfterBreak="0">
    <w:nsid w:val="1C620E19"/>
    <w:multiLevelType w:val="hybridMultilevel"/>
    <w:tmpl w:val="1F60FA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1C8D079A"/>
    <w:multiLevelType w:val="hybridMultilevel"/>
    <w:tmpl w:val="94DC3660"/>
    <w:lvl w:ilvl="0" w:tplc="0C090001">
      <w:start w:val="1"/>
      <w:numFmt w:val="bullet"/>
      <w:lvlText w:val=""/>
      <w:lvlJc w:val="left"/>
      <w:pPr>
        <w:ind w:left="932" w:hanging="360"/>
      </w:pPr>
      <w:rPr>
        <w:rFonts w:ascii="Symbol" w:hAnsi="Symbol" w:hint="default"/>
      </w:rPr>
    </w:lvl>
    <w:lvl w:ilvl="1" w:tplc="0C090003" w:tentative="1">
      <w:start w:val="1"/>
      <w:numFmt w:val="bullet"/>
      <w:lvlText w:val="o"/>
      <w:lvlJc w:val="left"/>
      <w:pPr>
        <w:ind w:left="1652" w:hanging="360"/>
      </w:pPr>
      <w:rPr>
        <w:rFonts w:ascii="Courier New" w:hAnsi="Courier New" w:cs="Courier New" w:hint="default"/>
      </w:rPr>
    </w:lvl>
    <w:lvl w:ilvl="2" w:tplc="0C090005" w:tentative="1">
      <w:start w:val="1"/>
      <w:numFmt w:val="bullet"/>
      <w:lvlText w:val=""/>
      <w:lvlJc w:val="left"/>
      <w:pPr>
        <w:ind w:left="2372" w:hanging="360"/>
      </w:pPr>
      <w:rPr>
        <w:rFonts w:ascii="Wingdings" w:hAnsi="Wingdings" w:hint="default"/>
      </w:rPr>
    </w:lvl>
    <w:lvl w:ilvl="3" w:tplc="0C090001" w:tentative="1">
      <w:start w:val="1"/>
      <w:numFmt w:val="bullet"/>
      <w:lvlText w:val=""/>
      <w:lvlJc w:val="left"/>
      <w:pPr>
        <w:ind w:left="3092" w:hanging="360"/>
      </w:pPr>
      <w:rPr>
        <w:rFonts w:ascii="Symbol" w:hAnsi="Symbol" w:hint="default"/>
      </w:rPr>
    </w:lvl>
    <w:lvl w:ilvl="4" w:tplc="0C090003" w:tentative="1">
      <w:start w:val="1"/>
      <w:numFmt w:val="bullet"/>
      <w:lvlText w:val="o"/>
      <w:lvlJc w:val="left"/>
      <w:pPr>
        <w:ind w:left="3812" w:hanging="360"/>
      </w:pPr>
      <w:rPr>
        <w:rFonts w:ascii="Courier New" w:hAnsi="Courier New" w:cs="Courier New" w:hint="default"/>
      </w:rPr>
    </w:lvl>
    <w:lvl w:ilvl="5" w:tplc="0C090005" w:tentative="1">
      <w:start w:val="1"/>
      <w:numFmt w:val="bullet"/>
      <w:lvlText w:val=""/>
      <w:lvlJc w:val="left"/>
      <w:pPr>
        <w:ind w:left="4532" w:hanging="360"/>
      </w:pPr>
      <w:rPr>
        <w:rFonts w:ascii="Wingdings" w:hAnsi="Wingdings" w:hint="default"/>
      </w:rPr>
    </w:lvl>
    <w:lvl w:ilvl="6" w:tplc="0C090001" w:tentative="1">
      <w:start w:val="1"/>
      <w:numFmt w:val="bullet"/>
      <w:lvlText w:val=""/>
      <w:lvlJc w:val="left"/>
      <w:pPr>
        <w:ind w:left="5252" w:hanging="360"/>
      </w:pPr>
      <w:rPr>
        <w:rFonts w:ascii="Symbol" w:hAnsi="Symbol" w:hint="default"/>
      </w:rPr>
    </w:lvl>
    <w:lvl w:ilvl="7" w:tplc="0C090003" w:tentative="1">
      <w:start w:val="1"/>
      <w:numFmt w:val="bullet"/>
      <w:lvlText w:val="o"/>
      <w:lvlJc w:val="left"/>
      <w:pPr>
        <w:ind w:left="5972" w:hanging="360"/>
      </w:pPr>
      <w:rPr>
        <w:rFonts w:ascii="Courier New" w:hAnsi="Courier New" w:cs="Courier New" w:hint="default"/>
      </w:rPr>
    </w:lvl>
    <w:lvl w:ilvl="8" w:tplc="0C090005" w:tentative="1">
      <w:start w:val="1"/>
      <w:numFmt w:val="bullet"/>
      <w:lvlText w:val=""/>
      <w:lvlJc w:val="left"/>
      <w:pPr>
        <w:ind w:left="6692" w:hanging="360"/>
      </w:pPr>
      <w:rPr>
        <w:rFonts w:ascii="Wingdings" w:hAnsi="Wingdings" w:hint="default"/>
      </w:rPr>
    </w:lvl>
  </w:abstractNum>
  <w:abstractNum w:abstractNumId="45" w15:restartNumberingAfterBreak="0">
    <w:nsid w:val="1C9D5FF2"/>
    <w:multiLevelType w:val="hybridMultilevel"/>
    <w:tmpl w:val="1C7E6BE2"/>
    <w:lvl w:ilvl="0" w:tplc="0C090001">
      <w:start w:val="1"/>
      <w:numFmt w:val="bullet"/>
      <w:lvlText w:val=""/>
      <w:lvlJc w:val="left"/>
      <w:pPr>
        <w:ind w:left="1228" w:hanging="360"/>
      </w:pPr>
      <w:rPr>
        <w:rFonts w:ascii="Symbol" w:hAnsi="Symbol" w:hint="default"/>
      </w:rPr>
    </w:lvl>
    <w:lvl w:ilvl="1" w:tplc="0C090003" w:tentative="1">
      <w:start w:val="1"/>
      <w:numFmt w:val="bullet"/>
      <w:lvlText w:val="o"/>
      <w:lvlJc w:val="left"/>
      <w:pPr>
        <w:ind w:left="1948" w:hanging="360"/>
      </w:pPr>
      <w:rPr>
        <w:rFonts w:ascii="Courier New" w:hAnsi="Courier New" w:cs="Courier New" w:hint="default"/>
      </w:rPr>
    </w:lvl>
    <w:lvl w:ilvl="2" w:tplc="0C090005" w:tentative="1">
      <w:start w:val="1"/>
      <w:numFmt w:val="bullet"/>
      <w:lvlText w:val=""/>
      <w:lvlJc w:val="left"/>
      <w:pPr>
        <w:ind w:left="2668" w:hanging="360"/>
      </w:pPr>
      <w:rPr>
        <w:rFonts w:ascii="Wingdings" w:hAnsi="Wingdings" w:hint="default"/>
      </w:rPr>
    </w:lvl>
    <w:lvl w:ilvl="3" w:tplc="0C090001" w:tentative="1">
      <w:start w:val="1"/>
      <w:numFmt w:val="bullet"/>
      <w:lvlText w:val=""/>
      <w:lvlJc w:val="left"/>
      <w:pPr>
        <w:ind w:left="3388" w:hanging="360"/>
      </w:pPr>
      <w:rPr>
        <w:rFonts w:ascii="Symbol" w:hAnsi="Symbol" w:hint="default"/>
      </w:rPr>
    </w:lvl>
    <w:lvl w:ilvl="4" w:tplc="0C090003" w:tentative="1">
      <w:start w:val="1"/>
      <w:numFmt w:val="bullet"/>
      <w:lvlText w:val="o"/>
      <w:lvlJc w:val="left"/>
      <w:pPr>
        <w:ind w:left="4108" w:hanging="360"/>
      </w:pPr>
      <w:rPr>
        <w:rFonts w:ascii="Courier New" w:hAnsi="Courier New" w:cs="Courier New" w:hint="default"/>
      </w:rPr>
    </w:lvl>
    <w:lvl w:ilvl="5" w:tplc="0C090005" w:tentative="1">
      <w:start w:val="1"/>
      <w:numFmt w:val="bullet"/>
      <w:lvlText w:val=""/>
      <w:lvlJc w:val="left"/>
      <w:pPr>
        <w:ind w:left="4828" w:hanging="360"/>
      </w:pPr>
      <w:rPr>
        <w:rFonts w:ascii="Wingdings" w:hAnsi="Wingdings" w:hint="default"/>
      </w:rPr>
    </w:lvl>
    <w:lvl w:ilvl="6" w:tplc="0C090001" w:tentative="1">
      <w:start w:val="1"/>
      <w:numFmt w:val="bullet"/>
      <w:lvlText w:val=""/>
      <w:lvlJc w:val="left"/>
      <w:pPr>
        <w:ind w:left="5548" w:hanging="360"/>
      </w:pPr>
      <w:rPr>
        <w:rFonts w:ascii="Symbol" w:hAnsi="Symbol" w:hint="default"/>
      </w:rPr>
    </w:lvl>
    <w:lvl w:ilvl="7" w:tplc="0C090003" w:tentative="1">
      <w:start w:val="1"/>
      <w:numFmt w:val="bullet"/>
      <w:lvlText w:val="o"/>
      <w:lvlJc w:val="left"/>
      <w:pPr>
        <w:ind w:left="6268" w:hanging="360"/>
      </w:pPr>
      <w:rPr>
        <w:rFonts w:ascii="Courier New" w:hAnsi="Courier New" w:cs="Courier New" w:hint="default"/>
      </w:rPr>
    </w:lvl>
    <w:lvl w:ilvl="8" w:tplc="0C090005" w:tentative="1">
      <w:start w:val="1"/>
      <w:numFmt w:val="bullet"/>
      <w:lvlText w:val=""/>
      <w:lvlJc w:val="left"/>
      <w:pPr>
        <w:ind w:left="6988" w:hanging="360"/>
      </w:pPr>
      <w:rPr>
        <w:rFonts w:ascii="Wingdings" w:hAnsi="Wingdings" w:hint="default"/>
      </w:rPr>
    </w:lvl>
  </w:abstractNum>
  <w:abstractNum w:abstractNumId="46" w15:restartNumberingAfterBreak="0">
    <w:nsid w:val="1D4D43C6"/>
    <w:multiLevelType w:val="hybridMultilevel"/>
    <w:tmpl w:val="0DBA00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1DC55774"/>
    <w:multiLevelType w:val="hybridMultilevel"/>
    <w:tmpl w:val="A476B626"/>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48" w15:restartNumberingAfterBreak="0">
    <w:nsid w:val="1EDB7340"/>
    <w:multiLevelType w:val="hybridMultilevel"/>
    <w:tmpl w:val="836C4DE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FA3697F"/>
    <w:multiLevelType w:val="hybridMultilevel"/>
    <w:tmpl w:val="785AB4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207C7C9C"/>
    <w:multiLevelType w:val="hybridMultilevel"/>
    <w:tmpl w:val="7EF4D0D8"/>
    <w:lvl w:ilvl="0" w:tplc="4E14AEFA">
      <w:start w:val="1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0C72987"/>
    <w:multiLevelType w:val="hybridMultilevel"/>
    <w:tmpl w:val="BA7E281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0F16436"/>
    <w:multiLevelType w:val="multilevel"/>
    <w:tmpl w:val="F096749C"/>
    <w:lvl w:ilvl="0">
      <w:start w:val="1"/>
      <w:numFmt w:val="decimal"/>
      <w:lvlText w:val="%1"/>
      <w:lvlJc w:val="left"/>
      <w:pPr>
        <w:ind w:left="500" w:hanging="500"/>
      </w:pPr>
    </w:lvl>
    <w:lvl w:ilvl="1">
      <w:start w:val="1"/>
      <w:numFmt w:val="decimal"/>
      <w:lvlText w:val="%1.%2"/>
      <w:lvlJc w:val="left"/>
      <w:pPr>
        <w:ind w:left="500" w:hanging="5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3" w15:restartNumberingAfterBreak="0">
    <w:nsid w:val="22531366"/>
    <w:multiLevelType w:val="hybridMultilevel"/>
    <w:tmpl w:val="C3288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303721B"/>
    <w:multiLevelType w:val="hybridMultilevel"/>
    <w:tmpl w:val="843C552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35C2708"/>
    <w:multiLevelType w:val="hybridMultilevel"/>
    <w:tmpl w:val="E9004C06"/>
    <w:lvl w:ilvl="0" w:tplc="0FCC69DC">
      <w:start w:val="1"/>
      <w:numFmt w:val="bullet"/>
      <w:lvlText w:val=""/>
      <w:lvlJc w:val="left"/>
      <w:pPr>
        <w:ind w:left="360" w:hanging="360"/>
      </w:pPr>
      <w:rPr>
        <w:rFonts w:ascii="Wingdings" w:hAnsi="Wingdings"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237924A6"/>
    <w:multiLevelType w:val="hybridMultilevel"/>
    <w:tmpl w:val="A24A7038"/>
    <w:lvl w:ilvl="0" w:tplc="B7942FA0">
      <w:start w:val="1"/>
      <w:numFmt w:val="bullet"/>
      <w:lvlText w:val=""/>
      <w:lvlJc w:val="left"/>
      <w:pPr>
        <w:ind w:left="360" w:hanging="360"/>
      </w:pPr>
      <w:rPr>
        <w:rFonts w:ascii="Wingdings" w:hAnsi="Wingdings"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3B343D0"/>
    <w:multiLevelType w:val="hybridMultilevel"/>
    <w:tmpl w:val="324A94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58807A7"/>
    <w:multiLevelType w:val="hybridMultilevel"/>
    <w:tmpl w:val="611ABB90"/>
    <w:lvl w:ilvl="0" w:tplc="0C090003">
      <w:start w:val="1"/>
      <w:numFmt w:val="bullet"/>
      <w:lvlText w:val="o"/>
      <w:lvlJc w:val="left"/>
      <w:pPr>
        <w:ind w:left="720" w:hanging="360"/>
      </w:pPr>
      <w:rPr>
        <w:rFonts w:ascii="Courier New" w:hAnsi="Courier New" w:cs="Courier New"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278D0961"/>
    <w:multiLevelType w:val="hybridMultilevel"/>
    <w:tmpl w:val="AFDAD54E"/>
    <w:lvl w:ilvl="0" w:tplc="0C090001">
      <w:start w:val="1"/>
      <w:numFmt w:val="bullet"/>
      <w:lvlText w:val=""/>
      <w:lvlJc w:val="left"/>
      <w:pPr>
        <w:ind w:left="1154" w:hanging="360"/>
      </w:pPr>
      <w:rPr>
        <w:rFonts w:ascii="Symbol" w:hAnsi="Symbol" w:hint="default"/>
      </w:rPr>
    </w:lvl>
    <w:lvl w:ilvl="1" w:tplc="0C090003">
      <w:start w:val="1"/>
      <w:numFmt w:val="bullet"/>
      <w:lvlText w:val="o"/>
      <w:lvlJc w:val="left"/>
      <w:pPr>
        <w:ind w:left="1874" w:hanging="360"/>
      </w:pPr>
      <w:rPr>
        <w:rFonts w:ascii="Courier New" w:hAnsi="Courier New" w:cs="Courier New" w:hint="default"/>
      </w:rPr>
    </w:lvl>
    <w:lvl w:ilvl="2" w:tplc="0C090005">
      <w:start w:val="1"/>
      <w:numFmt w:val="bullet"/>
      <w:lvlText w:val=""/>
      <w:lvlJc w:val="left"/>
      <w:pPr>
        <w:ind w:left="2594" w:hanging="360"/>
      </w:pPr>
      <w:rPr>
        <w:rFonts w:ascii="Wingdings" w:hAnsi="Wingdings" w:hint="default"/>
      </w:rPr>
    </w:lvl>
    <w:lvl w:ilvl="3" w:tplc="0C09000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60" w15:restartNumberingAfterBreak="0">
    <w:nsid w:val="279F41EB"/>
    <w:multiLevelType w:val="hybridMultilevel"/>
    <w:tmpl w:val="0FDCD7F8"/>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61" w15:restartNumberingAfterBreak="0">
    <w:nsid w:val="27A35832"/>
    <w:multiLevelType w:val="hybridMultilevel"/>
    <w:tmpl w:val="D90C347C"/>
    <w:lvl w:ilvl="0" w:tplc="66903350">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29055651"/>
    <w:multiLevelType w:val="hybridMultilevel"/>
    <w:tmpl w:val="2DD6BC64"/>
    <w:lvl w:ilvl="0" w:tplc="EB38673A">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15:restartNumberingAfterBreak="0">
    <w:nsid w:val="290559BB"/>
    <w:multiLevelType w:val="hybridMultilevel"/>
    <w:tmpl w:val="35DECF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298B0543"/>
    <w:multiLevelType w:val="hybridMultilevel"/>
    <w:tmpl w:val="01E2846C"/>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65" w15:restartNumberingAfterBreak="0">
    <w:nsid w:val="2A123D07"/>
    <w:multiLevelType w:val="hybridMultilevel"/>
    <w:tmpl w:val="59A8E98A"/>
    <w:lvl w:ilvl="0" w:tplc="DCBE07AA">
      <w:start w:val="1"/>
      <w:numFmt w:val="decimal"/>
      <w:lvlText w:val="%1)"/>
      <w:lvlJc w:val="left"/>
      <w:pPr>
        <w:ind w:left="1154" w:hanging="360"/>
      </w:pPr>
      <w:rPr>
        <w:rFonts w:hint="default"/>
        <w:b w:val="0"/>
      </w:rPr>
    </w:lvl>
    <w:lvl w:ilvl="1" w:tplc="0C090019" w:tentative="1">
      <w:start w:val="1"/>
      <w:numFmt w:val="lowerLetter"/>
      <w:lvlText w:val="%2."/>
      <w:lvlJc w:val="left"/>
      <w:pPr>
        <w:ind w:left="1874" w:hanging="360"/>
      </w:pPr>
    </w:lvl>
    <w:lvl w:ilvl="2" w:tplc="0C09001B" w:tentative="1">
      <w:start w:val="1"/>
      <w:numFmt w:val="lowerRoman"/>
      <w:lvlText w:val="%3."/>
      <w:lvlJc w:val="right"/>
      <w:pPr>
        <w:ind w:left="2594" w:hanging="180"/>
      </w:pPr>
    </w:lvl>
    <w:lvl w:ilvl="3" w:tplc="0C09000F" w:tentative="1">
      <w:start w:val="1"/>
      <w:numFmt w:val="decimal"/>
      <w:lvlText w:val="%4."/>
      <w:lvlJc w:val="left"/>
      <w:pPr>
        <w:ind w:left="3314" w:hanging="360"/>
      </w:pPr>
    </w:lvl>
    <w:lvl w:ilvl="4" w:tplc="0C090019" w:tentative="1">
      <w:start w:val="1"/>
      <w:numFmt w:val="lowerLetter"/>
      <w:lvlText w:val="%5."/>
      <w:lvlJc w:val="left"/>
      <w:pPr>
        <w:ind w:left="4034" w:hanging="360"/>
      </w:pPr>
    </w:lvl>
    <w:lvl w:ilvl="5" w:tplc="0C09001B" w:tentative="1">
      <w:start w:val="1"/>
      <w:numFmt w:val="lowerRoman"/>
      <w:lvlText w:val="%6."/>
      <w:lvlJc w:val="right"/>
      <w:pPr>
        <w:ind w:left="4754" w:hanging="180"/>
      </w:pPr>
    </w:lvl>
    <w:lvl w:ilvl="6" w:tplc="0C09000F" w:tentative="1">
      <w:start w:val="1"/>
      <w:numFmt w:val="decimal"/>
      <w:lvlText w:val="%7."/>
      <w:lvlJc w:val="left"/>
      <w:pPr>
        <w:ind w:left="5474" w:hanging="360"/>
      </w:pPr>
    </w:lvl>
    <w:lvl w:ilvl="7" w:tplc="0C090019" w:tentative="1">
      <w:start w:val="1"/>
      <w:numFmt w:val="lowerLetter"/>
      <w:lvlText w:val="%8."/>
      <w:lvlJc w:val="left"/>
      <w:pPr>
        <w:ind w:left="6194" w:hanging="360"/>
      </w:pPr>
    </w:lvl>
    <w:lvl w:ilvl="8" w:tplc="0C09001B" w:tentative="1">
      <w:start w:val="1"/>
      <w:numFmt w:val="lowerRoman"/>
      <w:lvlText w:val="%9."/>
      <w:lvlJc w:val="right"/>
      <w:pPr>
        <w:ind w:left="6914" w:hanging="180"/>
      </w:pPr>
    </w:lvl>
  </w:abstractNum>
  <w:abstractNum w:abstractNumId="66" w15:restartNumberingAfterBreak="0">
    <w:nsid w:val="2B4A6DB5"/>
    <w:multiLevelType w:val="hybridMultilevel"/>
    <w:tmpl w:val="17F8E3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2C0E4D86"/>
    <w:multiLevelType w:val="hybridMultilevel"/>
    <w:tmpl w:val="70445472"/>
    <w:lvl w:ilvl="0" w:tplc="0C090001">
      <w:start w:val="1"/>
      <w:numFmt w:val="bullet"/>
      <w:lvlText w:val=""/>
      <w:lvlJc w:val="left"/>
      <w:pPr>
        <w:ind w:left="1228" w:hanging="360"/>
      </w:pPr>
      <w:rPr>
        <w:rFonts w:ascii="Symbol" w:hAnsi="Symbol" w:hint="default"/>
      </w:rPr>
    </w:lvl>
    <w:lvl w:ilvl="1" w:tplc="0C090003" w:tentative="1">
      <w:start w:val="1"/>
      <w:numFmt w:val="bullet"/>
      <w:lvlText w:val="o"/>
      <w:lvlJc w:val="left"/>
      <w:pPr>
        <w:ind w:left="1948" w:hanging="360"/>
      </w:pPr>
      <w:rPr>
        <w:rFonts w:ascii="Courier New" w:hAnsi="Courier New" w:cs="Courier New" w:hint="default"/>
      </w:rPr>
    </w:lvl>
    <w:lvl w:ilvl="2" w:tplc="0C090005" w:tentative="1">
      <w:start w:val="1"/>
      <w:numFmt w:val="bullet"/>
      <w:lvlText w:val=""/>
      <w:lvlJc w:val="left"/>
      <w:pPr>
        <w:ind w:left="2668" w:hanging="360"/>
      </w:pPr>
      <w:rPr>
        <w:rFonts w:ascii="Wingdings" w:hAnsi="Wingdings" w:hint="default"/>
      </w:rPr>
    </w:lvl>
    <w:lvl w:ilvl="3" w:tplc="0C090001" w:tentative="1">
      <w:start w:val="1"/>
      <w:numFmt w:val="bullet"/>
      <w:lvlText w:val=""/>
      <w:lvlJc w:val="left"/>
      <w:pPr>
        <w:ind w:left="3388" w:hanging="360"/>
      </w:pPr>
      <w:rPr>
        <w:rFonts w:ascii="Symbol" w:hAnsi="Symbol" w:hint="default"/>
      </w:rPr>
    </w:lvl>
    <w:lvl w:ilvl="4" w:tplc="0C090003" w:tentative="1">
      <w:start w:val="1"/>
      <w:numFmt w:val="bullet"/>
      <w:lvlText w:val="o"/>
      <w:lvlJc w:val="left"/>
      <w:pPr>
        <w:ind w:left="4108" w:hanging="360"/>
      </w:pPr>
      <w:rPr>
        <w:rFonts w:ascii="Courier New" w:hAnsi="Courier New" w:cs="Courier New" w:hint="default"/>
      </w:rPr>
    </w:lvl>
    <w:lvl w:ilvl="5" w:tplc="0C090005" w:tentative="1">
      <w:start w:val="1"/>
      <w:numFmt w:val="bullet"/>
      <w:lvlText w:val=""/>
      <w:lvlJc w:val="left"/>
      <w:pPr>
        <w:ind w:left="4828" w:hanging="360"/>
      </w:pPr>
      <w:rPr>
        <w:rFonts w:ascii="Wingdings" w:hAnsi="Wingdings" w:hint="default"/>
      </w:rPr>
    </w:lvl>
    <w:lvl w:ilvl="6" w:tplc="0C090001" w:tentative="1">
      <w:start w:val="1"/>
      <w:numFmt w:val="bullet"/>
      <w:lvlText w:val=""/>
      <w:lvlJc w:val="left"/>
      <w:pPr>
        <w:ind w:left="5548" w:hanging="360"/>
      </w:pPr>
      <w:rPr>
        <w:rFonts w:ascii="Symbol" w:hAnsi="Symbol" w:hint="default"/>
      </w:rPr>
    </w:lvl>
    <w:lvl w:ilvl="7" w:tplc="0C090003" w:tentative="1">
      <w:start w:val="1"/>
      <w:numFmt w:val="bullet"/>
      <w:lvlText w:val="o"/>
      <w:lvlJc w:val="left"/>
      <w:pPr>
        <w:ind w:left="6268" w:hanging="360"/>
      </w:pPr>
      <w:rPr>
        <w:rFonts w:ascii="Courier New" w:hAnsi="Courier New" w:cs="Courier New" w:hint="default"/>
      </w:rPr>
    </w:lvl>
    <w:lvl w:ilvl="8" w:tplc="0C090005" w:tentative="1">
      <w:start w:val="1"/>
      <w:numFmt w:val="bullet"/>
      <w:lvlText w:val=""/>
      <w:lvlJc w:val="left"/>
      <w:pPr>
        <w:ind w:left="6988" w:hanging="360"/>
      </w:pPr>
      <w:rPr>
        <w:rFonts w:ascii="Wingdings" w:hAnsi="Wingdings" w:hint="default"/>
      </w:rPr>
    </w:lvl>
  </w:abstractNum>
  <w:abstractNum w:abstractNumId="68" w15:restartNumberingAfterBreak="0">
    <w:nsid w:val="2CC41700"/>
    <w:multiLevelType w:val="hybridMultilevel"/>
    <w:tmpl w:val="3702D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D821AA8"/>
    <w:multiLevelType w:val="hybridMultilevel"/>
    <w:tmpl w:val="3F7626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0" w15:restartNumberingAfterBreak="0">
    <w:nsid w:val="2DDD2648"/>
    <w:multiLevelType w:val="hybridMultilevel"/>
    <w:tmpl w:val="B262ED6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2E147EA9"/>
    <w:multiLevelType w:val="hybridMultilevel"/>
    <w:tmpl w:val="E2CE7E7A"/>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2" w15:restartNumberingAfterBreak="0">
    <w:nsid w:val="2E8673BA"/>
    <w:multiLevelType w:val="hybridMultilevel"/>
    <w:tmpl w:val="CDA0FB90"/>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73" w15:restartNumberingAfterBreak="0">
    <w:nsid w:val="2EA418DD"/>
    <w:multiLevelType w:val="hybridMultilevel"/>
    <w:tmpl w:val="5B38C4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4" w15:restartNumberingAfterBreak="0">
    <w:nsid w:val="2F3F416C"/>
    <w:multiLevelType w:val="hybridMultilevel"/>
    <w:tmpl w:val="052A8B98"/>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75" w15:restartNumberingAfterBreak="0">
    <w:nsid w:val="2F6F7B4E"/>
    <w:multiLevelType w:val="hybridMultilevel"/>
    <w:tmpl w:val="E328010C"/>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76" w15:restartNumberingAfterBreak="0">
    <w:nsid w:val="30380A4F"/>
    <w:multiLevelType w:val="hybridMultilevel"/>
    <w:tmpl w:val="6B8C3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0D34E34"/>
    <w:multiLevelType w:val="hybridMultilevel"/>
    <w:tmpl w:val="B420CA04"/>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78" w15:restartNumberingAfterBreak="0">
    <w:nsid w:val="31FA0DE0"/>
    <w:multiLevelType w:val="hybridMultilevel"/>
    <w:tmpl w:val="FD0C5B3C"/>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79" w15:restartNumberingAfterBreak="0">
    <w:nsid w:val="331A1A1A"/>
    <w:multiLevelType w:val="hybridMultilevel"/>
    <w:tmpl w:val="8C32FC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3FC032A"/>
    <w:multiLevelType w:val="hybridMultilevel"/>
    <w:tmpl w:val="14F8D12E"/>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81" w15:restartNumberingAfterBreak="0">
    <w:nsid w:val="35930E39"/>
    <w:multiLevelType w:val="hybridMultilevel"/>
    <w:tmpl w:val="A9DE27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370C75C4"/>
    <w:multiLevelType w:val="hybridMultilevel"/>
    <w:tmpl w:val="55ACF7B8"/>
    <w:lvl w:ilvl="0" w:tplc="4F1C4FCA">
      <w:start w:val="5"/>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3" w15:restartNumberingAfterBreak="0">
    <w:nsid w:val="38F8516C"/>
    <w:multiLevelType w:val="hybridMultilevel"/>
    <w:tmpl w:val="D67E5E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39426874"/>
    <w:multiLevelType w:val="hybridMultilevel"/>
    <w:tmpl w:val="5CEE9E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39483007"/>
    <w:multiLevelType w:val="hybridMultilevel"/>
    <w:tmpl w:val="5EA8D6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6" w15:restartNumberingAfterBreak="0">
    <w:nsid w:val="39A703FE"/>
    <w:multiLevelType w:val="hybridMultilevel"/>
    <w:tmpl w:val="94BC7072"/>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87" w15:restartNumberingAfterBreak="0">
    <w:nsid w:val="3AE51445"/>
    <w:multiLevelType w:val="hybridMultilevel"/>
    <w:tmpl w:val="BC103D8E"/>
    <w:lvl w:ilvl="0" w:tplc="CDD4C9E8">
      <w:start w:val="1"/>
      <w:numFmt w:val="decimal"/>
      <w:lvlText w:val="%1)"/>
      <w:lvlJc w:val="left"/>
      <w:pPr>
        <w:ind w:left="1154" w:hanging="360"/>
      </w:pPr>
      <w:rPr>
        <w:rFonts w:hint="default"/>
      </w:rPr>
    </w:lvl>
    <w:lvl w:ilvl="1" w:tplc="0C090019" w:tentative="1">
      <w:start w:val="1"/>
      <w:numFmt w:val="lowerLetter"/>
      <w:lvlText w:val="%2."/>
      <w:lvlJc w:val="left"/>
      <w:pPr>
        <w:ind w:left="1874" w:hanging="360"/>
      </w:pPr>
    </w:lvl>
    <w:lvl w:ilvl="2" w:tplc="0C09001B" w:tentative="1">
      <w:start w:val="1"/>
      <w:numFmt w:val="lowerRoman"/>
      <w:lvlText w:val="%3."/>
      <w:lvlJc w:val="right"/>
      <w:pPr>
        <w:ind w:left="2594" w:hanging="180"/>
      </w:pPr>
    </w:lvl>
    <w:lvl w:ilvl="3" w:tplc="0C09000F" w:tentative="1">
      <w:start w:val="1"/>
      <w:numFmt w:val="decimal"/>
      <w:lvlText w:val="%4."/>
      <w:lvlJc w:val="left"/>
      <w:pPr>
        <w:ind w:left="3314" w:hanging="360"/>
      </w:pPr>
    </w:lvl>
    <w:lvl w:ilvl="4" w:tplc="0C090019" w:tentative="1">
      <w:start w:val="1"/>
      <w:numFmt w:val="lowerLetter"/>
      <w:lvlText w:val="%5."/>
      <w:lvlJc w:val="left"/>
      <w:pPr>
        <w:ind w:left="4034" w:hanging="360"/>
      </w:pPr>
    </w:lvl>
    <w:lvl w:ilvl="5" w:tplc="0C09001B" w:tentative="1">
      <w:start w:val="1"/>
      <w:numFmt w:val="lowerRoman"/>
      <w:lvlText w:val="%6."/>
      <w:lvlJc w:val="right"/>
      <w:pPr>
        <w:ind w:left="4754" w:hanging="180"/>
      </w:pPr>
    </w:lvl>
    <w:lvl w:ilvl="6" w:tplc="0C09000F" w:tentative="1">
      <w:start w:val="1"/>
      <w:numFmt w:val="decimal"/>
      <w:lvlText w:val="%7."/>
      <w:lvlJc w:val="left"/>
      <w:pPr>
        <w:ind w:left="5474" w:hanging="360"/>
      </w:pPr>
    </w:lvl>
    <w:lvl w:ilvl="7" w:tplc="0C090019" w:tentative="1">
      <w:start w:val="1"/>
      <w:numFmt w:val="lowerLetter"/>
      <w:lvlText w:val="%8."/>
      <w:lvlJc w:val="left"/>
      <w:pPr>
        <w:ind w:left="6194" w:hanging="360"/>
      </w:pPr>
    </w:lvl>
    <w:lvl w:ilvl="8" w:tplc="0C09001B" w:tentative="1">
      <w:start w:val="1"/>
      <w:numFmt w:val="lowerRoman"/>
      <w:lvlText w:val="%9."/>
      <w:lvlJc w:val="right"/>
      <w:pPr>
        <w:ind w:left="6914" w:hanging="180"/>
      </w:pPr>
    </w:lvl>
  </w:abstractNum>
  <w:abstractNum w:abstractNumId="88" w15:restartNumberingAfterBreak="0">
    <w:nsid w:val="3BC5453B"/>
    <w:multiLevelType w:val="hybridMultilevel"/>
    <w:tmpl w:val="F81CDE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3BC65762"/>
    <w:multiLevelType w:val="hybridMultilevel"/>
    <w:tmpl w:val="EB28DE0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90" w15:restartNumberingAfterBreak="0">
    <w:nsid w:val="3C293FBB"/>
    <w:multiLevelType w:val="hybridMultilevel"/>
    <w:tmpl w:val="49FCAD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3C41481F"/>
    <w:multiLevelType w:val="hybridMultilevel"/>
    <w:tmpl w:val="1AE412D0"/>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92" w15:restartNumberingAfterBreak="0">
    <w:nsid w:val="3DC73D0E"/>
    <w:multiLevelType w:val="hybridMultilevel"/>
    <w:tmpl w:val="0040F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E3A6820"/>
    <w:multiLevelType w:val="hybridMultilevel"/>
    <w:tmpl w:val="BE38026C"/>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94" w15:restartNumberingAfterBreak="0">
    <w:nsid w:val="3EF869AF"/>
    <w:multiLevelType w:val="hybridMultilevel"/>
    <w:tmpl w:val="461284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40135DBF"/>
    <w:multiLevelType w:val="hybridMultilevel"/>
    <w:tmpl w:val="52FC21C4"/>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96" w15:restartNumberingAfterBreak="0">
    <w:nsid w:val="415F2C60"/>
    <w:multiLevelType w:val="hybridMultilevel"/>
    <w:tmpl w:val="785CC5D2"/>
    <w:lvl w:ilvl="0" w:tplc="EB8AAB0E">
      <w:start w:val="1"/>
      <w:numFmt w:val="bullet"/>
      <w:lvlText w:val=""/>
      <w:lvlJc w:val="left"/>
      <w:pPr>
        <w:tabs>
          <w:tab w:val="num" w:pos="1361"/>
        </w:tabs>
        <w:ind w:left="1361" w:hanging="567"/>
      </w:pPr>
      <w:rPr>
        <w:rFonts w:ascii="Symbol" w:hAnsi="Symbol" w:hint="default"/>
      </w:rPr>
    </w:lvl>
    <w:lvl w:ilvl="1" w:tplc="D1F2CFE6">
      <w:start w:val="1"/>
      <w:numFmt w:val="bullet"/>
      <w:lvlText w:val="○"/>
      <w:lvlJc w:val="left"/>
      <w:pPr>
        <w:tabs>
          <w:tab w:val="num" w:pos="1928"/>
        </w:tabs>
        <w:ind w:left="1928" w:hanging="567"/>
      </w:pPr>
      <w:rPr>
        <w:rFonts w:ascii="Courier New" w:hAnsi="Courier New" w:hint="default"/>
      </w:rPr>
    </w:lvl>
    <w:lvl w:ilvl="2" w:tplc="42065472">
      <w:start w:val="1"/>
      <w:numFmt w:val="bullet"/>
      <w:lvlText w:val="̶"/>
      <w:lvlJc w:val="left"/>
      <w:pPr>
        <w:tabs>
          <w:tab w:val="num" w:pos="2495"/>
        </w:tabs>
        <w:ind w:left="2495" w:hanging="567"/>
      </w:pPr>
      <w:rPr>
        <w:rFonts w:ascii="Calibri" w:hAnsi="Calibri" w:hint="default"/>
      </w:rPr>
    </w:lvl>
    <w:lvl w:ilvl="3" w:tplc="26920E2A">
      <w:start w:val="1"/>
      <w:numFmt w:val="bullet"/>
      <w:lvlText w:val="̶"/>
      <w:lvlJc w:val="left"/>
      <w:pPr>
        <w:tabs>
          <w:tab w:val="num" w:pos="3062"/>
        </w:tabs>
        <w:ind w:left="3062" w:hanging="567"/>
      </w:pPr>
      <w:rPr>
        <w:rFonts w:ascii="Calibri" w:hAnsi="Calibri" w:hint="default"/>
      </w:rPr>
    </w:lvl>
    <w:lvl w:ilvl="4" w:tplc="CB122428">
      <w:start w:val="1"/>
      <w:numFmt w:val="bullet"/>
      <w:lvlText w:val="̶"/>
      <w:lvlJc w:val="left"/>
      <w:pPr>
        <w:tabs>
          <w:tab w:val="num" w:pos="3629"/>
        </w:tabs>
        <w:ind w:left="3629" w:hanging="567"/>
      </w:pPr>
      <w:rPr>
        <w:rFonts w:ascii="Calibri" w:hAnsi="Calibri" w:hint="default"/>
      </w:rPr>
    </w:lvl>
    <w:lvl w:ilvl="5" w:tplc="916A20B0">
      <w:start w:val="1"/>
      <w:numFmt w:val="lowerRoman"/>
      <w:lvlText w:val="(%6)"/>
      <w:lvlJc w:val="left"/>
      <w:pPr>
        <w:ind w:left="2160" w:hanging="360"/>
      </w:pPr>
      <w:rPr>
        <w:rFonts w:hint="default"/>
      </w:rPr>
    </w:lvl>
    <w:lvl w:ilvl="6" w:tplc="57EA3460">
      <w:start w:val="1"/>
      <w:numFmt w:val="decimal"/>
      <w:lvlText w:val="%7."/>
      <w:lvlJc w:val="left"/>
      <w:pPr>
        <w:ind w:left="2520" w:hanging="360"/>
      </w:pPr>
      <w:rPr>
        <w:rFonts w:hint="default"/>
      </w:rPr>
    </w:lvl>
    <w:lvl w:ilvl="7" w:tplc="BDEA4060">
      <w:start w:val="1"/>
      <w:numFmt w:val="lowerLetter"/>
      <w:lvlText w:val="%8."/>
      <w:lvlJc w:val="left"/>
      <w:pPr>
        <w:ind w:left="2880" w:hanging="360"/>
      </w:pPr>
      <w:rPr>
        <w:rFonts w:hint="default"/>
      </w:rPr>
    </w:lvl>
    <w:lvl w:ilvl="8" w:tplc="2C26F662">
      <w:start w:val="1"/>
      <w:numFmt w:val="lowerRoman"/>
      <w:lvlText w:val="%9."/>
      <w:lvlJc w:val="left"/>
      <w:pPr>
        <w:ind w:left="3240" w:hanging="360"/>
      </w:pPr>
      <w:rPr>
        <w:rFonts w:hint="default"/>
      </w:rPr>
    </w:lvl>
  </w:abstractNum>
  <w:abstractNum w:abstractNumId="97" w15:restartNumberingAfterBreak="0">
    <w:nsid w:val="41796FAD"/>
    <w:multiLevelType w:val="hybridMultilevel"/>
    <w:tmpl w:val="09CC16F8"/>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98" w15:restartNumberingAfterBreak="0">
    <w:nsid w:val="41B8603F"/>
    <w:multiLevelType w:val="hybridMultilevel"/>
    <w:tmpl w:val="4348AFF4"/>
    <w:lvl w:ilvl="0" w:tplc="66903350">
      <w:start w:val="1"/>
      <w:numFmt w:val="bullet"/>
      <w:lvlText w:val=""/>
      <w:lvlJc w:val="left"/>
      <w:pPr>
        <w:ind w:left="1154" w:hanging="360"/>
      </w:pPr>
      <w:rPr>
        <w:rFonts w:ascii="Wingdings" w:hAnsi="Wingdings"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99" w15:restartNumberingAfterBreak="0">
    <w:nsid w:val="41C31807"/>
    <w:multiLevelType w:val="hybridMultilevel"/>
    <w:tmpl w:val="0AF83E7E"/>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00" w15:restartNumberingAfterBreak="0">
    <w:nsid w:val="42B137C0"/>
    <w:multiLevelType w:val="hybridMultilevel"/>
    <w:tmpl w:val="E6700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42F27953"/>
    <w:multiLevelType w:val="hybridMultilevel"/>
    <w:tmpl w:val="71A2ED5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2" w15:restartNumberingAfterBreak="0">
    <w:nsid w:val="433E5B84"/>
    <w:multiLevelType w:val="hybridMultilevel"/>
    <w:tmpl w:val="3370CFF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3" w15:restartNumberingAfterBreak="0">
    <w:nsid w:val="4348602C"/>
    <w:multiLevelType w:val="hybridMultilevel"/>
    <w:tmpl w:val="6FCC52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4" w15:restartNumberingAfterBreak="0">
    <w:nsid w:val="43C946A5"/>
    <w:multiLevelType w:val="hybridMultilevel"/>
    <w:tmpl w:val="03A2A5C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558769D"/>
    <w:multiLevelType w:val="hybridMultilevel"/>
    <w:tmpl w:val="605645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455D4D63"/>
    <w:multiLevelType w:val="hybridMultilevel"/>
    <w:tmpl w:val="58F065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4658664D"/>
    <w:multiLevelType w:val="hybridMultilevel"/>
    <w:tmpl w:val="A92231FA"/>
    <w:lvl w:ilvl="0" w:tplc="B61E50C6">
      <w:start w:val="1"/>
      <w:numFmt w:val="decimal"/>
      <w:lvlText w:val="%1)"/>
      <w:lvlJc w:val="left"/>
      <w:pPr>
        <w:ind w:left="1154" w:hanging="360"/>
      </w:pPr>
      <w:rPr>
        <w:rFonts w:cs="Times New Roman" w:hint="default"/>
        <w:b/>
      </w:rPr>
    </w:lvl>
    <w:lvl w:ilvl="1" w:tplc="0C090019" w:tentative="1">
      <w:start w:val="1"/>
      <w:numFmt w:val="lowerLetter"/>
      <w:lvlText w:val="%2."/>
      <w:lvlJc w:val="left"/>
      <w:pPr>
        <w:ind w:left="1874" w:hanging="360"/>
      </w:pPr>
    </w:lvl>
    <w:lvl w:ilvl="2" w:tplc="0C09001B" w:tentative="1">
      <w:start w:val="1"/>
      <w:numFmt w:val="lowerRoman"/>
      <w:lvlText w:val="%3."/>
      <w:lvlJc w:val="right"/>
      <w:pPr>
        <w:ind w:left="2594" w:hanging="180"/>
      </w:pPr>
    </w:lvl>
    <w:lvl w:ilvl="3" w:tplc="0C09000F" w:tentative="1">
      <w:start w:val="1"/>
      <w:numFmt w:val="decimal"/>
      <w:lvlText w:val="%4."/>
      <w:lvlJc w:val="left"/>
      <w:pPr>
        <w:ind w:left="3314" w:hanging="360"/>
      </w:pPr>
    </w:lvl>
    <w:lvl w:ilvl="4" w:tplc="0C090019" w:tentative="1">
      <w:start w:val="1"/>
      <w:numFmt w:val="lowerLetter"/>
      <w:lvlText w:val="%5."/>
      <w:lvlJc w:val="left"/>
      <w:pPr>
        <w:ind w:left="4034" w:hanging="360"/>
      </w:pPr>
    </w:lvl>
    <w:lvl w:ilvl="5" w:tplc="0C09001B" w:tentative="1">
      <w:start w:val="1"/>
      <w:numFmt w:val="lowerRoman"/>
      <w:lvlText w:val="%6."/>
      <w:lvlJc w:val="right"/>
      <w:pPr>
        <w:ind w:left="4754" w:hanging="180"/>
      </w:pPr>
    </w:lvl>
    <w:lvl w:ilvl="6" w:tplc="0C09000F" w:tentative="1">
      <w:start w:val="1"/>
      <w:numFmt w:val="decimal"/>
      <w:lvlText w:val="%7."/>
      <w:lvlJc w:val="left"/>
      <w:pPr>
        <w:ind w:left="5474" w:hanging="360"/>
      </w:pPr>
    </w:lvl>
    <w:lvl w:ilvl="7" w:tplc="0C090019" w:tentative="1">
      <w:start w:val="1"/>
      <w:numFmt w:val="lowerLetter"/>
      <w:lvlText w:val="%8."/>
      <w:lvlJc w:val="left"/>
      <w:pPr>
        <w:ind w:left="6194" w:hanging="360"/>
      </w:pPr>
    </w:lvl>
    <w:lvl w:ilvl="8" w:tplc="0C09001B" w:tentative="1">
      <w:start w:val="1"/>
      <w:numFmt w:val="lowerRoman"/>
      <w:lvlText w:val="%9."/>
      <w:lvlJc w:val="right"/>
      <w:pPr>
        <w:ind w:left="6914" w:hanging="180"/>
      </w:pPr>
    </w:lvl>
  </w:abstractNum>
  <w:abstractNum w:abstractNumId="108" w15:restartNumberingAfterBreak="0">
    <w:nsid w:val="465B4BDD"/>
    <w:multiLevelType w:val="hybridMultilevel"/>
    <w:tmpl w:val="2B34ADD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485539AA"/>
    <w:multiLevelType w:val="hybridMultilevel"/>
    <w:tmpl w:val="FD240C98"/>
    <w:lvl w:ilvl="0" w:tplc="0C090001">
      <w:start w:val="1"/>
      <w:numFmt w:val="bullet"/>
      <w:lvlText w:val=""/>
      <w:lvlJc w:val="left"/>
      <w:pPr>
        <w:ind w:left="1588" w:hanging="360"/>
      </w:pPr>
      <w:rPr>
        <w:rFonts w:ascii="Symbol" w:hAnsi="Symbol" w:hint="default"/>
      </w:rPr>
    </w:lvl>
    <w:lvl w:ilvl="1" w:tplc="0C090003" w:tentative="1">
      <w:start w:val="1"/>
      <w:numFmt w:val="bullet"/>
      <w:lvlText w:val="o"/>
      <w:lvlJc w:val="left"/>
      <w:pPr>
        <w:ind w:left="2308" w:hanging="360"/>
      </w:pPr>
      <w:rPr>
        <w:rFonts w:ascii="Courier New" w:hAnsi="Courier New" w:cs="Courier New" w:hint="default"/>
      </w:rPr>
    </w:lvl>
    <w:lvl w:ilvl="2" w:tplc="0C090005" w:tentative="1">
      <w:start w:val="1"/>
      <w:numFmt w:val="bullet"/>
      <w:lvlText w:val=""/>
      <w:lvlJc w:val="left"/>
      <w:pPr>
        <w:ind w:left="3028" w:hanging="360"/>
      </w:pPr>
      <w:rPr>
        <w:rFonts w:ascii="Wingdings" w:hAnsi="Wingdings" w:hint="default"/>
      </w:rPr>
    </w:lvl>
    <w:lvl w:ilvl="3" w:tplc="0C090001" w:tentative="1">
      <w:start w:val="1"/>
      <w:numFmt w:val="bullet"/>
      <w:lvlText w:val=""/>
      <w:lvlJc w:val="left"/>
      <w:pPr>
        <w:ind w:left="3748" w:hanging="360"/>
      </w:pPr>
      <w:rPr>
        <w:rFonts w:ascii="Symbol" w:hAnsi="Symbol" w:hint="default"/>
      </w:rPr>
    </w:lvl>
    <w:lvl w:ilvl="4" w:tplc="0C090003" w:tentative="1">
      <w:start w:val="1"/>
      <w:numFmt w:val="bullet"/>
      <w:lvlText w:val="o"/>
      <w:lvlJc w:val="left"/>
      <w:pPr>
        <w:ind w:left="4468" w:hanging="360"/>
      </w:pPr>
      <w:rPr>
        <w:rFonts w:ascii="Courier New" w:hAnsi="Courier New" w:cs="Courier New" w:hint="default"/>
      </w:rPr>
    </w:lvl>
    <w:lvl w:ilvl="5" w:tplc="0C090005" w:tentative="1">
      <w:start w:val="1"/>
      <w:numFmt w:val="bullet"/>
      <w:lvlText w:val=""/>
      <w:lvlJc w:val="left"/>
      <w:pPr>
        <w:ind w:left="5188" w:hanging="360"/>
      </w:pPr>
      <w:rPr>
        <w:rFonts w:ascii="Wingdings" w:hAnsi="Wingdings" w:hint="default"/>
      </w:rPr>
    </w:lvl>
    <w:lvl w:ilvl="6" w:tplc="0C090001" w:tentative="1">
      <w:start w:val="1"/>
      <w:numFmt w:val="bullet"/>
      <w:lvlText w:val=""/>
      <w:lvlJc w:val="left"/>
      <w:pPr>
        <w:ind w:left="5908" w:hanging="360"/>
      </w:pPr>
      <w:rPr>
        <w:rFonts w:ascii="Symbol" w:hAnsi="Symbol" w:hint="default"/>
      </w:rPr>
    </w:lvl>
    <w:lvl w:ilvl="7" w:tplc="0C090003" w:tentative="1">
      <w:start w:val="1"/>
      <w:numFmt w:val="bullet"/>
      <w:lvlText w:val="o"/>
      <w:lvlJc w:val="left"/>
      <w:pPr>
        <w:ind w:left="6628" w:hanging="360"/>
      </w:pPr>
      <w:rPr>
        <w:rFonts w:ascii="Courier New" w:hAnsi="Courier New" w:cs="Courier New" w:hint="default"/>
      </w:rPr>
    </w:lvl>
    <w:lvl w:ilvl="8" w:tplc="0C090005" w:tentative="1">
      <w:start w:val="1"/>
      <w:numFmt w:val="bullet"/>
      <w:lvlText w:val=""/>
      <w:lvlJc w:val="left"/>
      <w:pPr>
        <w:ind w:left="7348" w:hanging="360"/>
      </w:pPr>
      <w:rPr>
        <w:rFonts w:ascii="Wingdings" w:hAnsi="Wingdings" w:hint="default"/>
      </w:rPr>
    </w:lvl>
  </w:abstractNum>
  <w:abstractNum w:abstractNumId="110" w15:restartNumberingAfterBreak="0">
    <w:nsid w:val="48FB0903"/>
    <w:multiLevelType w:val="hybridMultilevel"/>
    <w:tmpl w:val="2A1829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494C332A"/>
    <w:multiLevelType w:val="hybridMultilevel"/>
    <w:tmpl w:val="2FE6030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4B8B5EF6"/>
    <w:multiLevelType w:val="hybridMultilevel"/>
    <w:tmpl w:val="0D6067BC"/>
    <w:lvl w:ilvl="0" w:tplc="0C090001">
      <w:start w:val="1"/>
      <w:numFmt w:val="bullet"/>
      <w:lvlText w:val=""/>
      <w:lvlJc w:val="left"/>
      <w:pPr>
        <w:ind w:left="1154" w:hanging="360"/>
      </w:pPr>
      <w:rPr>
        <w:rFonts w:ascii="Symbol" w:hAnsi="Symbol" w:hint="default"/>
      </w:rPr>
    </w:lvl>
    <w:lvl w:ilvl="1" w:tplc="1EE22AC0">
      <w:numFmt w:val="bullet"/>
      <w:lvlText w:val="•"/>
      <w:lvlJc w:val="left"/>
      <w:pPr>
        <w:ind w:left="2159" w:hanging="645"/>
      </w:pPr>
      <w:rPr>
        <w:rFonts w:ascii="Arial" w:eastAsia="Arial" w:hAnsi="Arial" w:cs="Arial"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13" w15:restartNumberingAfterBreak="0">
    <w:nsid w:val="4C52207D"/>
    <w:multiLevelType w:val="hybridMultilevel"/>
    <w:tmpl w:val="28662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4CA87BD6"/>
    <w:multiLevelType w:val="hybridMultilevel"/>
    <w:tmpl w:val="43A21576"/>
    <w:lvl w:ilvl="0" w:tplc="66903350">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4CC72C21"/>
    <w:multiLevelType w:val="hybridMultilevel"/>
    <w:tmpl w:val="6D9EAFB4"/>
    <w:lvl w:ilvl="0" w:tplc="66903350">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4D242018"/>
    <w:multiLevelType w:val="hybridMultilevel"/>
    <w:tmpl w:val="F00C967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4DD94A03"/>
    <w:multiLevelType w:val="multilevel"/>
    <w:tmpl w:val="0072524E"/>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5188"/>
        </w:tabs>
        <w:ind w:left="5188" w:hanging="79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94"/>
        </w:tabs>
        <w:ind w:left="794" w:hanging="794"/>
      </w:pPr>
      <w:rPr>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Heading4"/>
      <w:lvlText w:val="%4)"/>
      <w:lvlJc w:val="left"/>
      <w:pPr>
        <w:tabs>
          <w:tab w:val="num" w:pos="1588"/>
        </w:tabs>
        <w:ind w:left="1588" w:hanging="79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8" w15:restartNumberingAfterBreak="0">
    <w:nsid w:val="4E3D44D2"/>
    <w:multiLevelType w:val="hybridMultilevel"/>
    <w:tmpl w:val="FBC8B2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4E9201A1"/>
    <w:multiLevelType w:val="hybridMultilevel"/>
    <w:tmpl w:val="3662B410"/>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20" w15:restartNumberingAfterBreak="0">
    <w:nsid w:val="500F0374"/>
    <w:multiLevelType w:val="hybridMultilevel"/>
    <w:tmpl w:val="3DC88D1E"/>
    <w:lvl w:ilvl="0" w:tplc="53E4A670">
      <w:start w:val="1"/>
      <w:numFmt w:val="decimal"/>
      <w:lvlText w:val="%1)"/>
      <w:lvlJc w:val="left"/>
      <w:pPr>
        <w:ind w:left="1228" w:hanging="360"/>
      </w:pPr>
      <w:rPr>
        <w:rFonts w:hint="default"/>
        <w:b/>
      </w:rPr>
    </w:lvl>
    <w:lvl w:ilvl="1" w:tplc="0C090019" w:tentative="1">
      <w:start w:val="1"/>
      <w:numFmt w:val="lowerLetter"/>
      <w:lvlText w:val="%2."/>
      <w:lvlJc w:val="left"/>
      <w:pPr>
        <w:ind w:left="1948" w:hanging="360"/>
      </w:pPr>
    </w:lvl>
    <w:lvl w:ilvl="2" w:tplc="0C09001B" w:tentative="1">
      <w:start w:val="1"/>
      <w:numFmt w:val="lowerRoman"/>
      <w:lvlText w:val="%3."/>
      <w:lvlJc w:val="right"/>
      <w:pPr>
        <w:ind w:left="2668" w:hanging="180"/>
      </w:pPr>
    </w:lvl>
    <w:lvl w:ilvl="3" w:tplc="0C09000F" w:tentative="1">
      <w:start w:val="1"/>
      <w:numFmt w:val="decimal"/>
      <w:lvlText w:val="%4."/>
      <w:lvlJc w:val="left"/>
      <w:pPr>
        <w:ind w:left="3388" w:hanging="360"/>
      </w:pPr>
    </w:lvl>
    <w:lvl w:ilvl="4" w:tplc="0C090019" w:tentative="1">
      <w:start w:val="1"/>
      <w:numFmt w:val="lowerLetter"/>
      <w:lvlText w:val="%5."/>
      <w:lvlJc w:val="left"/>
      <w:pPr>
        <w:ind w:left="4108" w:hanging="360"/>
      </w:pPr>
    </w:lvl>
    <w:lvl w:ilvl="5" w:tplc="0C09001B" w:tentative="1">
      <w:start w:val="1"/>
      <w:numFmt w:val="lowerRoman"/>
      <w:lvlText w:val="%6."/>
      <w:lvlJc w:val="right"/>
      <w:pPr>
        <w:ind w:left="4828" w:hanging="180"/>
      </w:pPr>
    </w:lvl>
    <w:lvl w:ilvl="6" w:tplc="0C09000F" w:tentative="1">
      <w:start w:val="1"/>
      <w:numFmt w:val="decimal"/>
      <w:lvlText w:val="%7."/>
      <w:lvlJc w:val="left"/>
      <w:pPr>
        <w:ind w:left="5548" w:hanging="360"/>
      </w:pPr>
    </w:lvl>
    <w:lvl w:ilvl="7" w:tplc="0C090019" w:tentative="1">
      <w:start w:val="1"/>
      <w:numFmt w:val="lowerLetter"/>
      <w:lvlText w:val="%8."/>
      <w:lvlJc w:val="left"/>
      <w:pPr>
        <w:ind w:left="6268" w:hanging="360"/>
      </w:pPr>
    </w:lvl>
    <w:lvl w:ilvl="8" w:tplc="0C09001B" w:tentative="1">
      <w:start w:val="1"/>
      <w:numFmt w:val="lowerRoman"/>
      <w:lvlText w:val="%9."/>
      <w:lvlJc w:val="right"/>
      <w:pPr>
        <w:ind w:left="6988" w:hanging="180"/>
      </w:pPr>
    </w:lvl>
  </w:abstractNum>
  <w:abstractNum w:abstractNumId="121" w15:restartNumberingAfterBreak="0">
    <w:nsid w:val="50C85D1A"/>
    <w:multiLevelType w:val="hybridMultilevel"/>
    <w:tmpl w:val="F6CC94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51074E50"/>
    <w:multiLevelType w:val="hybridMultilevel"/>
    <w:tmpl w:val="0E3684D4"/>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23" w15:restartNumberingAfterBreak="0">
    <w:nsid w:val="511C5DDD"/>
    <w:multiLevelType w:val="hybridMultilevel"/>
    <w:tmpl w:val="7F64BE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516548F8"/>
    <w:multiLevelType w:val="hybridMultilevel"/>
    <w:tmpl w:val="0A1AD3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522C314D"/>
    <w:multiLevelType w:val="hybridMultilevel"/>
    <w:tmpl w:val="2F58BBEE"/>
    <w:lvl w:ilvl="0" w:tplc="2A92A5AC">
      <w:start w:val="1"/>
      <w:numFmt w:val="bullet"/>
      <w:lvlText w:val=""/>
      <w:lvlJc w:val="left"/>
      <w:pPr>
        <w:ind w:left="462"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52A30B64"/>
    <w:multiLevelType w:val="hybridMultilevel"/>
    <w:tmpl w:val="C5E809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52BC4D4E"/>
    <w:multiLevelType w:val="hybridMultilevel"/>
    <w:tmpl w:val="CBB46F60"/>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28" w15:restartNumberingAfterBreak="0">
    <w:nsid w:val="533D10D4"/>
    <w:multiLevelType w:val="multilevel"/>
    <w:tmpl w:val="12EE87E2"/>
    <w:lvl w:ilvl="0">
      <w:start w:val="1"/>
      <w:numFmt w:val="decimal"/>
      <w:pStyle w:val="OFSHeading1Numbered"/>
      <w:lvlText w:val="%1."/>
      <w:lvlJc w:val="left"/>
      <w:pPr>
        <w:tabs>
          <w:tab w:val="num" w:pos="794"/>
        </w:tabs>
        <w:ind w:left="794" w:hanging="794"/>
      </w:pPr>
      <w:rPr>
        <w:rFonts w:hint="default"/>
      </w:rPr>
    </w:lvl>
    <w:lvl w:ilvl="1">
      <w:start w:val="1"/>
      <w:numFmt w:val="decimal"/>
      <w:pStyle w:val="OFSHeading2Numbered"/>
      <w:lvlText w:val="%1.%2"/>
      <w:lvlJc w:val="left"/>
      <w:pPr>
        <w:tabs>
          <w:tab w:val="num" w:pos="794"/>
        </w:tabs>
        <w:ind w:left="794" w:hanging="794"/>
      </w:pPr>
      <w:rPr>
        <w:rFonts w:hint="default"/>
      </w:rPr>
    </w:lvl>
    <w:lvl w:ilvl="2">
      <w:start w:val="1"/>
      <w:numFmt w:val="decimal"/>
      <w:pStyle w:val="OFSHeading3Numbered"/>
      <w:lvlText w:val="%1.%2.%3"/>
      <w:lvlJc w:val="left"/>
      <w:pPr>
        <w:tabs>
          <w:tab w:val="num" w:pos="1588"/>
        </w:tabs>
        <w:ind w:left="1588" w:hanging="794"/>
      </w:pPr>
      <w:rPr>
        <w:rFonts w:hint="default"/>
      </w:rPr>
    </w:lvl>
    <w:lvl w:ilvl="3">
      <w:start w:val="1"/>
      <w:numFmt w:val="lowerLetter"/>
      <w:pStyle w:val="OFSHeading4Numbered"/>
      <w:lvlText w:val="(%4)"/>
      <w:lvlJc w:val="left"/>
      <w:pPr>
        <w:tabs>
          <w:tab w:val="num" w:pos="1588"/>
        </w:tabs>
        <w:ind w:left="1588"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9" w15:restartNumberingAfterBreak="0">
    <w:nsid w:val="54AF7D8C"/>
    <w:multiLevelType w:val="hybridMultilevel"/>
    <w:tmpl w:val="3E1C4748"/>
    <w:lvl w:ilvl="0" w:tplc="0C090001">
      <w:start w:val="1"/>
      <w:numFmt w:val="bullet"/>
      <w:lvlText w:val=""/>
      <w:lvlJc w:val="left"/>
      <w:pPr>
        <w:ind w:left="2160" w:hanging="360"/>
      </w:pPr>
      <w:rPr>
        <w:rFonts w:ascii="Symbol" w:hAnsi="Symbol" w:hint="default"/>
      </w:rPr>
    </w:lvl>
    <w:lvl w:ilvl="1" w:tplc="25FA5246">
      <w:numFmt w:val="bullet"/>
      <w:lvlText w:val="•"/>
      <w:lvlJc w:val="left"/>
      <w:pPr>
        <w:ind w:left="3165" w:hanging="645"/>
      </w:pPr>
      <w:rPr>
        <w:rFonts w:ascii="Arial" w:eastAsia="Times New Roman" w:hAnsi="Arial" w:cs="Arial"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0" w15:restartNumberingAfterBreak="0">
    <w:nsid w:val="54D655FF"/>
    <w:multiLevelType w:val="hybridMultilevel"/>
    <w:tmpl w:val="79F04D4E"/>
    <w:lvl w:ilvl="0" w:tplc="15B66EAA">
      <w:start w:val="1"/>
      <w:numFmt w:val="bullet"/>
      <w:lvlText w:val=""/>
      <w:lvlJc w:val="left"/>
      <w:pPr>
        <w:ind w:left="360" w:hanging="360"/>
      </w:pPr>
      <w:rPr>
        <w:rFonts w:ascii="Wingdings" w:hAnsi="Wingdings" w:hint="default"/>
        <w:color w:val="00B05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55270D79"/>
    <w:multiLevelType w:val="hybridMultilevel"/>
    <w:tmpl w:val="018E1188"/>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32" w15:restartNumberingAfterBreak="0">
    <w:nsid w:val="557A61E7"/>
    <w:multiLevelType w:val="hybridMultilevel"/>
    <w:tmpl w:val="4F76D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55990ED4"/>
    <w:multiLevelType w:val="hybridMultilevel"/>
    <w:tmpl w:val="AF084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56320301"/>
    <w:multiLevelType w:val="hybridMultilevel"/>
    <w:tmpl w:val="C3FE7588"/>
    <w:lvl w:ilvl="0" w:tplc="880803C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568C6F86"/>
    <w:multiLevelType w:val="hybridMultilevel"/>
    <w:tmpl w:val="68B67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584E7CB7"/>
    <w:multiLevelType w:val="hybridMultilevel"/>
    <w:tmpl w:val="09A8D7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7" w15:restartNumberingAfterBreak="0">
    <w:nsid w:val="58B55133"/>
    <w:multiLevelType w:val="hybridMultilevel"/>
    <w:tmpl w:val="750CACDA"/>
    <w:lvl w:ilvl="0" w:tplc="1E5C3112">
      <w:start w:val="1"/>
      <w:numFmt w:val="bullet"/>
      <w:pStyle w:val="TableDotPoint"/>
      <w:lvlText w:val=""/>
      <w:lvlJc w:val="left"/>
      <w:pPr>
        <w:ind w:left="1074" w:hanging="360"/>
      </w:pPr>
      <w:rPr>
        <w:rFonts w:ascii="Symbol" w:hAnsi="Symbol" w:hint="default"/>
      </w:rPr>
    </w:lvl>
    <w:lvl w:ilvl="1" w:tplc="0C090003">
      <w:start w:val="1"/>
      <w:numFmt w:val="bullet"/>
      <w:lvlText w:val="o"/>
      <w:lvlJc w:val="left"/>
      <w:pPr>
        <w:ind w:left="1794" w:hanging="360"/>
      </w:pPr>
      <w:rPr>
        <w:rFonts w:ascii="Courier New" w:hAnsi="Courier New" w:cs="Courier New" w:hint="default"/>
      </w:rPr>
    </w:lvl>
    <w:lvl w:ilvl="2" w:tplc="BFA21F0A">
      <w:numFmt w:val="bullet"/>
      <w:lvlText w:val="•"/>
      <w:lvlJc w:val="left"/>
      <w:pPr>
        <w:ind w:left="2799" w:hanging="645"/>
      </w:pPr>
      <w:rPr>
        <w:rFonts w:ascii="Arial Narrow" w:eastAsia="Times New Roman" w:hAnsi="Arial Narrow" w:cstheme="minorHAnsi"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38" w15:restartNumberingAfterBreak="0">
    <w:nsid w:val="596822C5"/>
    <w:multiLevelType w:val="hybridMultilevel"/>
    <w:tmpl w:val="1BC0F6D0"/>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39" w15:restartNumberingAfterBreak="0">
    <w:nsid w:val="59862AB9"/>
    <w:multiLevelType w:val="hybridMultilevel"/>
    <w:tmpl w:val="FC52772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0" w15:restartNumberingAfterBreak="0">
    <w:nsid w:val="59ED341C"/>
    <w:multiLevelType w:val="hybridMultilevel"/>
    <w:tmpl w:val="B92E99CA"/>
    <w:lvl w:ilvl="0" w:tplc="0C090001">
      <w:start w:val="1"/>
      <w:numFmt w:val="bullet"/>
      <w:lvlText w:val=""/>
      <w:lvlJc w:val="left"/>
      <w:pPr>
        <w:ind w:left="1228" w:hanging="360"/>
      </w:pPr>
      <w:rPr>
        <w:rFonts w:ascii="Symbol" w:hAnsi="Symbol" w:hint="default"/>
      </w:rPr>
    </w:lvl>
    <w:lvl w:ilvl="1" w:tplc="0C090003" w:tentative="1">
      <w:start w:val="1"/>
      <w:numFmt w:val="bullet"/>
      <w:lvlText w:val="o"/>
      <w:lvlJc w:val="left"/>
      <w:pPr>
        <w:ind w:left="1948" w:hanging="360"/>
      </w:pPr>
      <w:rPr>
        <w:rFonts w:ascii="Courier New" w:hAnsi="Courier New" w:cs="Courier New" w:hint="default"/>
      </w:rPr>
    </w:lvl>
    <w:lvl w:ilvl="2" w:tplc="0C090005" w:tentative="1">
      <w:start w:val="1"/>
      <w:numFmt w:val="bullet"/>
      <w:lvlText w:val=""/>
      <w:lvlJc w:val="left"/>
      <w:pPr>
        <w:ind w:left="2668" w:hanging="360"/>
      </w:pPr>
      <w:rPr>
        <w:rFonts w:ascii="Wingdings" w:hAnsi="Wingdings" w:hint="default"/>
      </w:rPr>
    </w:lvl>
    <w:lvl w:ilvl="3" w:tplc="0C090001" w:tentative="1">
      <w:start w:val="1"/>
      <w:numFmt w:val="bullet"/>
      <w:lvlText w:val=""/>
      <w:lvlJc w:val="left"/>
      <w:pPr>
        <w:ind w:left="3388" w:hanging="360"/>
      </w:pPr>
      <w:rPr>
        <w:rFonts w:ascii="Symbol" w:hAnsi="Symbol" w:hint="default"/>
      </w:rPr>
    </w:lvl>
    <w:lvl w:ilvl="4" w:tplc="0C090003" w:tentative="1">
      <w:start w:val="1"/>
      <w:numFmt w:val="bullet"/>
      <w:lvlText w:val="o"/>
      <w:lvlJc w:val="left"/>
      <w:pPr>
        <w:ind w:left="4108" w:hanging="360"/>
      </w:pPr>
      <w:rPr>
        <w:rFonts w:ascii="Courier New" w:hAnsi="Courier New" w:cs="Courier New" w:hint="default"/>
      </w:rPr>
    </w:lvl>
    <w:lvl w:ilvl="5" w:tplc="0C090005" w:tentative="1">
      <w:start w:val="1"/>
      <w:numFmt w:val="bullet"/>
      <w:lvlText w:val=""/>
      <w:lvlJc w:val="left"/>
      <w:pPr>
        <w:ind w:left="4828" w:hanging="360"/>
      </w:pPr>
      <w:rPr>
        <w:rFonts w:ascii="Wingdings" w:hAnsi="Wingdings" w:hint="default"/>
      </w:rPr>
    </w:lvl>
    <w:lvl w:ilvl="6" w:tplc="0C090001" w:tentative="1">
      <w:start w:val="1"/>
      <w:numFmt w:val="bullet"/>
      <w:lvlText w:val=""/>
      <w:lvlJc w:val="left"/>
      <w:pPr>
        <w:ind w:left="5548" w:hanging="360"/>
      </w:pPr>
      <w:rPr>
        <w:rFonts w:ascii="Symbol" w:hAnsi="Symbol" w:hint="default"/>
      </w:rPr>
    </w:lvl>
    <w:lvl w:ilvl="7" w:tplc="0C090003" w:tentative="1">
      <w:start w:val="1"/>
      <w:numFmt w:val="bullet"/>
      <w:lvlText w:val="o"/>
      <w:lvlJc w:val="left"/>
      <w:pPr>
        <w:ind w:left="6268" w:hanging="360"/>
      </w:pPr>
      <w:rPr>
        <w:rFonts w:ascii="Courier New" w:hAnsi="Courier New" w:cs="Courier New" w:hint="default"/>
      </w:rPr>
    </w:lvl>
    <w:lvl w:ilvl="8" w:tplc="0C090005" w:tentative="1">
      <w:start w:val="1"/>
      <w:numFmt w:val="bullet"/>
      <w:lvlText w:val=""/>
      <w:lvlJc w:val="left"/>
      <w:pPr>
        <w:ind w:left="6988" w:hanging="360"/>
      </w:pPr>
      <w:rPr>
        <w:rFonts w:ascii="Wingdings" w:hAnsi="Wingdings" w:hint="default"/>
      </w:rPr>
    </w:lvl>
  </w:abstractNum>
  <w:abstractNum w:abstractNumId="141" w15:restartNumberingAfterBreak="0">
    <w:nsid w:val="59F564A7"/>
    <w:multiLevelType w:val="hybridMultilevel"/>
    <w:tmpl w:val="679C2F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5A786729"/>
    <w:multiLevelType w:val="hybridMultilevel"/>
    <w:tmpl w:val="EB2A45F8"/>
    <w:lvl w:ilvl="0" w:tplc="5694E4E6">
      <w:start w:val="1"/>
      <w:numFmt w:val="decimal"/>
      <w:lvlText w:val="%1)"/>
      <w:lvlJc w:val="left"/>
      <w:pPr>
        <w:ind w:left="1154" w:hanging="360"/>
      </w:pPr>
      <w:rPr>
        <w:rFonts w:hint="default"/>
      </w:rPr>
    </w:lvl>
    <w:lvl w:ilvl="1" w:tplc="0C090019" w:tentative="1">
      <w:start w:val="1"/>
      <w:numFmt w:val="lowerLetter"/>
      <w:lvlText w:val="%2."/>
      <w:lvlJc w:val="left"/>
      <w:pPr>
        <w:ind w:left="1874" w:hanging="360"/>
      </w:pPr>
    </w:lvl>
    <w:lvl w:ilvl="2" w:tplc="0C09001B" w:tentative="1">
      <w:start w:val="1"/>
      <w:numFmt w:val="lowerRoman"/>
      <w:lvlText w:val="%3."/>
      <w:lvlJc w:val="right"/>
      <w:pPr>
        <w:ind w:left="2594" w:hanging="180"/>
      </w:pPr>
    </w:lvl>
    <w:lvl w:ilvl="3" w:tplc="0C09000F" w:tentative="1">
      <w:start w:val="1"/>
      <w:numFmt w:val="decimal"/>
      <w:lvlText w:val="%4."/>
      <w:lvlJc w:val="left"/>
      <w:pPr>
        <w:ind w:left="3314" w:hanging="360"/>
      </w:pPr>
    </w:lvl>
    <w:lvl w:ilvl="4" w:tplc="0C090019" w:tentative="1">
      <w:start w:val="1"/>
      <w:numFmt w:val="lowerLetter"/>
      <w:lvlText w:val="%5."/>
      <w:lvlJc w:val="left"/>
      <w:pPr>
        <w:ind w:left="4034" w:hanging="360"/>
      </w:pPr>
    </w:lvl>
    <w:lvl w:ilvl="5" w:tplc="0C09001B" w:tentative="1">
      <w:start w:val="1"/>
      <w:numFmt w:val="lowerRoman"/>
      <w:lvlText w:val="%6."/>
      <w:lvlJc w:val="right"/>
      <w:pPr>
        <w:ind w:left="4754" w:hanging="180"/>
      </w:pPr>
    </w:lvl>
    <w:lvl w:ilvl="6" w:tplc="0C09000F" w:tentative="1">
      <w:start w:val="1"/>
      <w:numFmt w:val="decimal"/>
      <w:lvlText w:val="%7."/>
      <w:lvlJc w:val="left"/>
      <w:pPr>
        <w:ind w:left="5474" w:hanging="360"/>
      </w:pPr>
    </w:lvl>
    <w:lvl w:ilvl="7" w:tplc="0C090019" w:tentative="1">
      <w:start w:val="1"/>
      <w:numFmt w:val="lowerLetter"/>
      <w:lvlText w:val="%8."/>
      <w:lvlJc w:val="left"/>
      <w:pPr>
        <w:ind w:left="6194" w:hanging="360"/>
      </w:pPr>
    </w:lvl>
    <w:lvl w:ilvl="8" w:tplc="0C09001B" w:tentative="1">
      <w:start w:val="1"/>
      <w:numFmt w:val="lowerRoman"/>
      <w:lvlText w:val="%9."/>
      <w:lvlJc w:val="right"/>
      <w:pPr>
        <w:ind w:left="6914" w:hanging="180"/>
      </w:pPr>
    </w:lvl>
  </w:abstractNum>
  <w:abstractNum w:abstractNumId="143" w15:restartNumberingAfterBreak="0">
    <w:nsid w:val="5AA713B5"/>
    <w:multiLevelType w:val="hybridMultilevel"/>
    <w:tmpl w:val="52642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5B0B0307"/>
    <w:multiLevelType w:val="hybridMultilevel"/>
    <w:tmpl w:val="C68EDE90"/>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45" w15:restartNumberingAfterBreak="0">
    <w:nsid w:val="5C171604"/>
    <w:multiLevelType w:val="hybridMultilevel"/>
    <w:tmpl w:val="E2C09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5CD7004E"/>
    <w:multiLevelType w:val="hybridMultilevel"/>
    <w:tmpl w:val="BC90623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5EEA0CF8"/>
    <w:multiLevelType w:val="hybridMultilevel"/>
    <w:tmpl w:val="58B6DA7E"/>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48" w15:restartNumberingAfterBreak="0">
    <w:nsid w:val="5F503BE7"/>
    <w:multiLevelType w:val="hybridMultilevel"/>
    <w:tmpl w:val="96FE0E4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60241574"/>
    <w:multiLevelType w:val="hybridMultilevel"/>
    <w:tmpl w:val="696853B0"/>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50" w15:restartNumberingAfterBreak="0">
    <w:nsid w:val="61857461"/>
    <w:multiLevelType w:val="hybridMultilevel"/>
    <w:tmpl w:val="1DA6F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62397D5A"/>
    <w:multiLevelType w:val="hybridMultilevel"/>
    <w:tmpl w:val="808C0E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2" w15:restartNumberingAfterBreak="0">
    <w:nsid w:val="62662372"/>
    <w:multiLevelType w:val="hybridMultilevel"/>
    <w:tmpl w:val="785CC5D2"/>
    <w:lvl w:ilvl="0" w:tplc="27426DE0">
      <w:start w:val="1"/>
      <w:numFmt w:val="bullet"/>
      <w:lvlText w:val=""/>
      <w:lvlJc w:val="left"/>
      <w:pPr>
        <w:tabs>
          <w:tab w:val="num" w:pos="1361"/>
        </w:tabs>
        <w:ind w:left="1361" w:hanging="567"/>
      </w:pPr>
      <w:rPr>
        <w:rFonts w:ascii="Symbol" w:hAnsi="Symbol" w:hint="default"/>
      </w:rPr>
    </w:lvl>
    <w:lvl w:ilvl="1" w:tplc="AA086932">
      <w:start w:val="1"/>
      <w:numFmt w:val="bullet"/>
      <w:lvlText w:val="○"/>
      <w:lvlJc w:val="left"/>
      <w:pPr>
        <w:tabs>
          <w:tab w:val="num" w:pos="1928"/>
        </w:tabs>
        <w:ind w:left="1928" w:hanging="567"/>
      </w:pPr>
      <w:rPr>
        <w:rFonts w:ascii="Courier New" w:hAnsi="Courier New" w:hint="default"/>
      </w:rPr>
    </w:lvl>
    <w:lvl w:ilvl="2" w:tplc="06C2968C">
      <w:start w:val="1"/>
      <w:numFmt w:val="bullet"/>
      <w:lvlText w:val="̶"/>
      <w:lvlJc w:val="left"/>
      <w:pPr>
        <w:tabs>
          <w:tab w:val="num" w:pos="2495"/>
        </w:tabs>
        <w:ind w:left="2495" w:hanging="567"/>
      </w:pPr>
      <w:rPr>
        <w:rFonts w:ascii="Calibri" w:hAnsi="Calibri" w:hint="default"/>
      </w:rPr>
    </w:lvl>
    <w:lvl w:ilvl="3" w:tplc="EC2CD3F6">
      <w:start w:val="1"/>
      <w:numFmt w:val="bullet"/>
      <w:lvlText w:val="̶"/>
      <w:lvlJc w:val="left"/>
      <w:pPr>
        <w:tabs>
          <w:tab w:val="num" w:pos="3062"/>
        </w:tabs>
        <w:ind w:left="3062" w:hanging="567"/>
      </w:pPr>
      <w:rPr>
        <w:rFonts w:ascii="Calibri" w:hAnsi="Calibri" w:hint="default"/>
      </w:rPr>
    </w:lvl>
    <w:lvl w:ilvl="4" w:tplc="FFB68278">
      <w:start w:val="1"/>
      <w:numFmt w:val="bullet"/>
      <w:lvlText w:val="̶"/>
      <w:lvlJc w:val="left"/>
      <w:pPr>
        <w:tabs>
          <w:tab w:val="num" w:pos="3629"/>
        </w:tabs>
        <w:ind w:left="3629" w:hanging="567"/>
      </w:pPr>
      <w:rPr>
        <w:rFonts w:ascii="Calibri" w:hAnsi="Calibri" w:hint="default"/>
      </w:rPr>
    </w:lvl>
    <w:lvl w:ilvl="5" w:tplc="9C4ED3A0">
      <w:start w:val="1"/>
      <w:numFmt w:val="lowerRoman"/>
      <w:lvlText w:val="(%6)"/>
      <w:lvlJc w:val="left"/>
      <w:pPr>
        <w:ind w:left="2160" w:hanging="360"/>
      </w:pPr>
      <w:rPr>
        <w:rFonts w:hint="default"/>
      </w:rPr>
    </w:lvl>
    <w:lvl w:ilvl="6" w:tplc="4A921AC2">
      <w:start w:val="1"/>
      <w:numFmt w:val="decimal"/>
      <w:lvlText w:val="%7."/>
      <w:lvlJc w:val="left"/>
      <w:pPr>
        <w:ind w:left="2520" w:hanging="360"/>
      </w:pPr>
      <w:rPr>
        <w:rFonts w:hint="default"/>
      </w:rPr>
    </w:lvl>
    <w:lvl w:ilvl="7" w:tplc="E1D43678">
      <w:start w:val="1"/>
      <w:numFmt w:val="lowerLetter"/>
      <w:lvlText w:val="%8."/>
      <w:lvlJc w:val="left"/>
      <w:pPr>
        <w:ind w:left="2880" w:hanging="360"/>
      </w:pPr>
      <w:rPr>
        <w:rFonts w:hint="default"/>
      </w:rPr>
    </w:lvl>
    <w:lvl w:ilvl="8" w:tplc="EC14440A">
      <w:start w:val="1"/>
      <w:numFmt w:val="lowerRoman"/>
      <w:lvlText w:val="%9."/>
      <w:lvlJc w:val="left"/>
      <w:pPr>
        <w:ind w:left="3240" w:hanging="360"/>
      </w:pPr>
      <w:rPr>
        <w:rFonts w:hint="default"/>
      </w:rPr>
    </w:lvl>
  </w:abstractNum>
  <w:abstractNum w:abstractNumId="153" w15:restartNumberingAfterBreak="0">
    <w:nsid w:val="6277438E"/>
    <w:multiLevelType w:val="hybridMultilevel"/>
    <w:tmpl w:val="1C8213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4" w15:restartNumberingAfterBreak="0">
    <w:nsid w:val="62C9125B"/>
    <w:multiLevelType w:val="hybridMultilevel"/>
    <w:tmpl w:val="A2D43A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640146C7"/>
    <w:multiLevelType w:val="hybridMultilevel"/>
    <w:tmpl w:val="F66C53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6" w15:restartNumberingAfterBreak="0">
    <w:nsid w:val="65CF15EA"/>
    <w:multiLevelType w:val="hybridMultilevel"/>
    <w:tmpl w:val="C2C0CE4E"/>
    <w:lvl w:ilvl="0" w:tplc="0C090001">
      <w:start w:val="1"/>
      <w:numFmt w:val="bullet"/>
      <w:lvlText w:val=""/>
      <w:lvlJc w:val="left"/>
      <w:pPr>
        <w:ind w:left="1588" w:hanging="360"/>
      </w:pPr>
      <w:rPr>
        <w:rFonts w:ascii="Symbol" w:hAnsi="Symbol" w:hint="default"/>
      </w:rPr>
    </w:lvl>
    <w:lvl w:ilvl="1" w:tplc="0C090003" w:tentative="1">
      <w:start w:val="1"/>
      <w:numFmt w:val="bullet"/>
      <w:lvlText w:val="o"/>
      <w:lvlJc w:val="left"/>
      <w:pPr>
        <w:ind w:left="2308" w:hanging="360"/>
      </w:pPr>
      <w:rPr>
        <w:rFonts w:ascii="Courier New" w:hAnsi="Courier New" w:cs="Courier New" w:hint="default"/>
      </w:rPr>
    </w:lvl>
    <w:lvl w:ilvl="2" w:tplc="0C090005" w:tentative="1">
      <w:start w:val="1"/>
      <w:numFmt w:val="bullet"/>
      <w:lvlText w:val=""/>
      <w:lvlJc w:val="left"/>
      <w:pPr>
        <w:ind w:left="3028" w:hanging="360"/>
      </w:pPr>
      <w:rPr>
        <w:rFonts w:ascii="Wingdings" w:hAnsi="Wingdings" w:hint="default"/>
      </w:rPr>
    </w:lvl>
    <w:lvl w:ilvl="3" w:tplc="0C090001" w:tentative="1">
      <w:start w:val="1"/>
      <w:numFmt w:val="bullet"/>
      <w:lvlText w:val=""/>
      <w:lvlJc w:val="left"/>
      <w:pPr>
        <w:ind w:left="3748" w:hanging="360"/>
      </w:pPr>
      <w:rPr>
        <w:rFonts w:ascii="Symbol" w:hAnsi="Symbol" w:hint="default"/>
      </w:rPr>
    </w:lvl>
    <w:lvl w:ilvl="4" w:tplc="0C090003" w:tentative="1">
      <w:start w:val="1"/>
      <w:numFmt w:val="bullet"/>
      <w:lvlText w:val="o"/>
      <w:lvlJc w:val="left"/>
      <w:pPr>
        <w:ind w:left="4468" w:hanging="360"/>
      </w:pPr>
      <w:rPr>
        <w:rFonts w:ascii="Courier New" w:hAnsi="Courier New" w:cs="Courier New" w:hint="default"/>
      </w:rPr>
    </w:lvl>
    <w:lvl w:ilvl="5" w:tplc="0C090005" w:tentative="1">
      <w:start w:val="1"/>
      <w:numFmt w:val="bullet"/>
      <w:lvlText w:val=""/>
      <w:lvlJc w:val="left"/>
      <w:pPr>
        <w:ind w:left="5188" w:hanging="360"/>
      </w:pPr>
      <w:rPr>
        <w:rFonts w:ascii="Wingdings" w:hAnsi="Wingdings" w:hint="default"/>
      </w:rPr>
    </w:lvl>
    <w:lvl w:ilvl="6" w:tplc="0C090001" w:tentative="1">
      <w:start w:val="1"/>
      <w:numFmt w:val="bullet"/>
      <w:lvlText w:val=""/>
      <w:lvlJc w:val="left"/>
      <w:pPr>
        <w:ind w:left="5908" w:hanging="360"/>
      </w:pPr>
      <w:rPr>
        <w:rFonts w:ascii="Symbol" w:hAnsi="Symbol" w:hint="default"/>
      </w:rPr>
    </w:lvl>
    <w:lvl w:ilvl="7" w:tplc="0C090003" w:tentative="1">
      <w:start w:val="1"/>
      <w:numFmt w:val="bullet"/>
      <w:lvlText w:val="o"/>
      <w:lvlJc w:val="left"/>
      <w:pPr>
        <w:ind w:left="6628" w:hanging="360"/>
      </w:pPr>
      <w:rPr>
        <w:rFonts w:ascii="Courier New" w:hAnsi="Courier New" w:cs="Courier New" w:hint="default"/>
      </w:rPr>
    </w:lvl>
    <w:lvl w:ilvl="8" w:tplc="0C090005" w:tentative="1">
      <w:start w:val="1"/>
      <w:numFmt w:val="bullet"/>
      <w:lvlText w:val=""/>
      <w:lvlJc w:val="left"/>
      <w:pPr>
        <w:ind w:left="7348" w:hanging="360"/>
      </w:pPr>
      <w:rPr>
        <w:rFonts w:ascii="Wingdings" w:hAnsi="Wingdings" w:hint="default"/>
      </w:rPr>
    </w:lvl>
  </w:abstractNum>
  <w:abstractNum w:abstractNumId="157" w15:restartNumberingAfterBreak="0">
    <w:nsid w:val="66AF0D60"/>
    <w:multiLevelType w:val="hybridMultilevel"/>
    <w:tmpl w:val="E82A4E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8" w15:restartNumberingAfterBreak="0">
    <w:nsid w:val="67CC465A"/>
    <w:multiLevelType w:val="hybridMultilevel"/>
    <w:tmpl w:val="65307E38"/>
    <w:lvl w:ilvl="0" w:tplc="0C090011">
      <w:start w:val="1"/>
      <w:numFmt w:val="decimal"/>
      <w:lvlText w:val="%1)"/>
      <w:lvlJc w:val="left"/>
      <w:pPr>
        <w:ind w:left="1154" w:hanging="360"/>
      </w:pPr>
    </w:lvl>
    <w:lvl w:ilvl="1" w:tplc="0C090019" w:tentative="1">
      <w:start w:val="1"/>
      <w:numFmt w:val="lowerLetter"/>
      <w:lvlText w:val="%2."/>
      <w:lvlJc w:val="left"/>
      <w:pPr>
        <w:ind w:left="1874" w:hanging="360"/>
      </w:pPr>
    </w:lvl>
    <w:lvl w:ilvl="2" w:tplc="0C09001B" w:tentative="1">
      <w:start w:val="1"/>
      <w:numFmt w:val="lowerRoman"/>
      <w:lvlText w:val="%3."/>
      <w:lvlJc w:val="right"/>
      <w:pPr>
        <w:ind w:left="2594" w:hanging="180"/>
      </w:pPr>
    </w:lvl>
    <w:lvl w:ilvl="3" w:tplc="0C09000F" w:tentative="1">
      <w:start w:val="1"/>
      <w:numFmt w:val="decimal"/>
      <w:lvlText w:val="%4."/>
      <w:lvlJc w:val="left"/>
      <w:pPr>
        <w:ind w:left="3314" w:hanging="360"/>
      </w:pPr>
    </w:lvl>
    <w:lvl w:ilvl="4" w:tplc="0C090019" w:tentative="1">
      <w:start w:val="1"/>
      <w:numFmt w:val="lowerLetter"/>
      <w:lvlText w:val="%5."/>
      <w:lvlJc w:val="left"/>
      <w:pPr>
        <w:ind w:left="4034" w:hanging="360"/>
      </w:pPr>
    </w:lvl>
    <w:lvl w:ilvl="5" w:tplc="0C09001B" w:tentative="1">
      <w:start w:val="1"/>
      <w:numFmt w:val="lowerRoman"/>
      <w:lvlText w:val="%6."/>
      <w:lvlJc w:val="right"/>
      <w:pPr>
        <w:ind w:left="4754" w:hanging="180"/>
      </w:pPr>
    </w:lvl>
    <w:lvl w:ilvl="6" w:tplc="0C09000F" w:tentative="1">
      <w:start w:val="1"/>
      <w:numFmt w:val="decimal"/>
      <w:lvlText w:val="%7."/>
      <w:lvlJc w:val="left"/>
      <w:pPr>
        <w:ind w:left="5474" w:hanging="360"/>
      </w:pPr>
    </w:lvl>
    <w:lvl w:ilvl="7" w:tplc="0C090019" w:tentative="1">
      <w:start w:val="1"/>
      <w:numFmt w:val="lowerLetter"/>
      <w:lvlText w:val="%8."/>
      <w:lvlJc w:val="left"/>
      <w:pPr>
        <w:ind w:left="6194" w:hanging="360"/>
      </w:pPr>
    </w:lvl>
    <w:lvl w:ilvl="8" w:tplc="0C09001B" w:tentative="1">
      <w:start w:val="1"/>
      <w:numFmt w:val="lowerRoman"/>
      <w:lvlText w:val="%9."/>
      <w:lvlJc w:val="right"/>
      <w:pPr>
        <w:ind w:left="6914" w:hanging="180"/>
      </w:pPr>
    </w:lvl>
  </w:abstractNum>
  <w:abstractNum w:abstractNumId="159" w15:restartNumberingAfterBreak="0">
    <w:nsid w:val="68FC461D"/>
    <w:multiLevelType w:val="hybridMultilevel"/>
    <w:tmpl w:val="F4E8F7A8"/>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60" w15:restartNumberingAfterBreak="0">
    <w:nsid w:val="69083180"/>
    <w:multiLevelType w:val="hybridMultilevel"/>
    <w:tmpl w:val="51A0BA64"/>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61" w15:restartNumberingAfterBreak="0">
    <w:nsid w:val="696215C2"/>
    <w:multiLevelType w:val="hybridMultilevel"/>
    <w:tmpl w:val="F4CA8D2C"/>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62" w15:restartNumberingAfterBreak="0">
    <w:nsid w:val="696634F0"/>
    <w:multiLevelType w:val="hybridMultilevel"/>
    <w:tmpl w:val="39A4909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69B166D7"/>
    <w:multiLevelType w:val="hybridMultilevel"/>
    <w:tmpl w:val="1228E918"/>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64" w15:restartNumberingAfterBreak="0">
    <w:nsid w:val="6A7679DB"/>
    <w:multiLevelType w:val="hybridMultilevel"/>
    <w:tmpl w:val="31ACEA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5" w15:restartNumberingAfterBreak="0">
    <w:nsid w:val="6AA04353"/>
    <w:multiLevelType w:val="hybridMultilevel"/>
    <w:tmpl w:val="15B62D50"/>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66" w15:restartNumberingAfterBreak="0">
    <w:nsid w:val="6B0B54B2"/>
    <w:multiLevelType w:val="hybridMultilevel"/>
    <w:tmpl w:val="D92E3F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7" w15:restartNumberingAfterBreak="0">
    <w:nsid w:val="6B457E72"/>
    <w:multiLevelType w:val="hybridMultilevel"/>
    <w:tmpl w:val="7572039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8" w15:restartNumberingAfterBreak="0">
    <w:nsid w:val="6BA26486"/>
    <w:multiLevelType w:val="hybridMultilevel"/>
    <w:tmpl w:val="6A6C4066"/>
    <w:lvl w:ilvl="0" w:tplc="0C090001">
      <w:start w:val="1"/>
      <w:numFmt w:val="bullet"/>
      <w:lvlText w:val=""/>
      <w:lvlJc w:val="left"/>
      <w:pPr>
        <w:ind w:left="1228" w:hanging="360"/>
      </w:pPr>
      <w:rPr>
        <w:rFonts w:ascii="Symbol" w:hAnsi="Symbol" w:hint="default"/>
      </w:rPr>
    </w:lvl>
    <w:lvl w:ilvl="1" w:tplc="0C090003" w:tentative="1">
      <w:start w:val="1"/>
      <w:numFmt w:val="bullet"/>
      <w:lvlText w:val="o"/>
      <w:lvlJc w:val="left"/>
      <w:pPr>
        <w:ind w:left="1948" w:hanging="360"/>
      </w:pPr>
      <w:rPr>
        <w:rFonts w:ascii="Courier New" w:hAnsi="Courier New" w:cs="Courier New" w:hint="default"/>
      </w:rPr>
    </w:lvl>
    <w:lvl w:ilvl="2" w:tplc="0C090005" w:tentative="1">
      <w:start w:val="1"/>
      <w:numFmt w:val="bullet"/>
      <w:lvlText w:val=""/>
      <w:lvlJc w:val="left"/>
      <w:pPr>
        <w:ind w:left="2668" w:hanging="360"/>
      </w:pPr>
      <w:rPr>
        <w:rFonts w:ascii="Wingdings" w:hAnsi="Wingdings" w:hint="default"/>
      </w:rPr>
    </w:lvl>
    <w:lvl w:ilvl="3" w:tplc="0C090001" w:tentative="1">
      <w:start w:val="1"/>
      <w:numFmt w:val="bullet"/>
      <w:lvlText w:val=""/>
      <w:lvlJc w:val="left"/>
      <w:pPr>
        <w:ind w:left="3388" w:hanging="360"/>
      </w:pPr>
      <w:rPr>
        <w:rFonts w:ascii="Symbol" w:hAnsi="Symbol" w:hint="default"/>
      </w:rPr>
    </w:lvl>
    <w:lvl w:ilvl="4" w:tplc="0C090003" w:tentative="1">
      <w:start w:val="1"/>
      <w:numFmt w:val="bullet"/>
      <w:lvlText w:val="o"/>
      <w:lvlJc w:val="left"/>
      <w:pPr>
        <w:ind w:left="4108" w:hanging="360"/>
      </w:pPr>
      <w:rPr>
        <w:rFonts w:ascii="Courier New" w:hAnsi="Courier New" w:cs="Courier New" w:hint="default"/>
      </w:rPr>
    </w:lvl>
    <w:lvl w:ilvl="5" w:tplc="0C090005" w:tentative="1">
      <w:start w:val="1"/>
      <w:numFmt w:val="bullet"/>
      <w:lvlText w:val=""/>
      <w:lvlJc w:val="left"/>
      <w:pPr>
        <w:ind w:left="4828" w:hanging="360"/>
      </w:pPr>
      <w:rPr>
        <w:rFonts w:ascii="Wingdings" w:hAnsi="Wingdings" w:hint="default"/>
      </w:rPr>
    </w:lvl>
    <w:lvl w:ilvl="6" w:tplc="0C090001" w:tentative="1">
      <w:start w:val="1"/>
      <w:numFmt w:val="bullet"/>
      <w:lvlText w:val=""/>
      <w:lvlJc w:val="left"/>
      <w:pPr>
        <w:ind w:left="5548" w:hanging="360"/>
      </w:pPr>
      <w:rPr>
        <w:rFonts w:ascii="Symbol" w:hAnsi="Symbol" w:hint="default"/>
      </w:rPr>
    </w:lvl>
    <w:lvl w:ilvl="7" w:tplc="0C090003" w:tentative="1">
      <w:start w:val="1"/>
      <w:numFmt w:val="bullet"/>
      <w:lvlText w:val="o"/>
      <w:lvlJc w:val="left"/>
      <w:pPr>
        <w:ind w:left="6268" w:hanging="360"/>
      </w:pPr>
      <w:rPr>
        <w:rFonts w:ascii="Courier New" w:hAnsi="Courier New" w:cs="Courier New" w:hint="default"/>
      </w:rPr>
    </w:lvl>
    <w:lvl w:ilvl="8" w:tplc="0C090005" w:tentative="1">
      <w:start w:val="1"/>
      <w:numFmt w:val="bullet"/>
      <w:lvlText w:val=""/>
      <w:lvlJc w:val="left"/>
      <w:pPr>
        <w:ind w:left="6988" w:hanging="360"/>
      </w:pPr>
      <w:rPr>
        <w:rFonts w:ascii="Wingdings" w:hAnsi="Wingdings" w:hint="default"/>
      </w:rPr>
    </w:lvl>
  </w:abstractNum>
  <w:abstractNum w:abstractNumId="169" w15:restartNumberingAfterBreak="0">
    <w:nsid w:val="6BE873B0"/>
    <w:multiLevelType w:val="hybridMultilevel"/>
    <w:tmpl w:val="F6D28BB4"/>
    <w:lvl w:ilvl="0" w:tplc="66903350">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0" w15:restartNumberingAfterBreak="0">
    <w:nsid w:val="6DA80A01"/>
    <w:multiLevelType w:val="hybridMultilevel"/>
    <w:tmpl w:val="E1E468E8"/>
    <w:lvl w:ilvl="0" w:tplc="0C09000F">
      <w:start w:val="1"/>
      <w:numFmt w:val="decimal"/>
      <w:lvlText w:val="%1."/>
      <w:lvlJc w:val="left"/>
      <w:pPr>
        <w:ind w:left="1514" w:hanging="360"/>
      </w:pPr>
    </w:lvl>
    <w:lvl w:ilvl="1" w:tplc="0C090019" w:tentative="1">
      <w:start w:val="1"/>
      <w:numFmt w:val="lowerLetter"/>
      <w:lvlText w:val="%2."/>
      <w:lvlJc w:val="left"/>
      <w:pPr>
        <w:ind w:left="2234" w:hanging="360"/>
      </w:pPr>
    </w:lvl>
    <w:lvl w:ilvl="2" w:tplc="0C09001B" w:tentative="1">
      <w:start w:val="1"/>
      <w:numFmt w:val="lowerRoman"/>
      <w:lvlText w:val="%3."/>
      <w:lvlJc w:val="right"/>
      <w:pPr>
        <w:ind w:left="2954" w:hanging="180"/>
      </w:pPr>
    </w:lvl>
    <w:lvl w:ilvl="3" w:tplc="0C09000F" w:tentative="1">
      <w:start w:val="1"/>
      <w:numFmt w:val="decimal"/>
      <w:lvlText w:val="%4."/>
      <w:lvlJc w:val="left"/>
      <w:pPr>
        <w:ind w:left="3674" w:hanging="360"/>
      </w:pPr>
    </w:lvl>
    <w:lvl w:ilvl="4" w:tplc="0C090019" w:tentative="1">
      <w:start w:val="1"/>
      <w:numFmt w:val="lowerLetter"/>
      <w:lvlText w:val="%5."/>
      <w:lvlJc w:val="left"/>
      <w:pPr>
        <w:ind w:left="4394" w:hanging="360"/>
      </w:pPr>
    </w:lvl>
    <w:lvl w:ilvl="5" w:tplc="0C09001B" w:tentative="1">
      <w:start w:val="1"/>
      <w:numFmt w:val="lowerRoman"/>
      <w:lvlText w:val="%6."/>
      <w:lvlJc w:val="right"/>
      <w:pPr>
        <w:ind w:left="5114" w:hanging="180"/>
      </w:pPr>
    </w:lvl>
    <w:lvl w:ilvl="6" w:tplc="0C09000F" w:tentative="1">
      <w:start w:val="1"/>
      <w:numFmt w:val="decimal"/>
      <w:lvlText w:val="%7."/>
      <w:lvlJc w:val="left"/>
      <w:pPr>
        <w:ind w:left="5834" w:hanging="360"/>
      </w:pPr>
    </w:lvl>
    <w:lvl w:ilvl="7" w:tplc="0C090019" w:tentative="1">
      <w:start w:val="1"/>
      <w:numFmt w:val="lowerLetter"/>
      <w:lvlText w:val="%8."/>
      <w:lvlJc w:val="left"/>
      <w:pPr>
        <w:ind w:left="6554" w:hanging="360"/>
      </w:pPr>
    </w:lvl>
    <w:lvl w:ilvl="8" w:tplc="0C09001B" w:tentative="1">
      <w:start w:val="1"/>
      <w:numFmt w:val="lowerRoman"/>
      <w:lvlText w:val="%9."/>
      <w:lvlJc w:val="right"/>
      <w:pPr>
        <w:ind w:left="7274" w:hanging="180"/>
      </w:pPr>
    </w:lvl>
  </w:abstractNum>
  <w:abstractNum w:abstractNumId="171" w15:restartNumberingAfterBreak="0">
    <w:nsid w:val="6E214664"/>
    <w:multiLevelType w:val="hybridMultilevel"/>
    <w:tmpl w:val="35EC2D88"/>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72" w15:restartNumberingAfterBreak="0">
    <w:nsid w:val="6EDE007E"/>
    <w:multiLevelType w:val="hybridMultilevel"/>
    <w:tmpl w:val="197C0F94"/>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73" w15:restartNumberingAfterBreak="0">
    <w:nsid w:val="6F8C145B"/>
    <w:multiLevelType w:val="hybridMultilevel"/>
    <w:tmpl w:val="42EEF22C"/>
    <w:lvl w:ilvl="0" w:tplc="66903350">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4" w15:restartNumberingAfterBreak="0">
    <w:nsid w:val="6F9049D0"/>
    <w:multiLevelType w:val="hybridMultilevel"/>
    <w:tmpl w:val="C7A0F582"/>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75" w15:restartNumberingAfterBreak="0">
    <w:nsid w:val="6FA857FC"/>
    <w:multiLevelType w:val="hybridMultilevel"/>
    <w:tmpl w:val="C9648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6FFA073B"/>
    <w:multiLevelType w:val="multilevel"/>
    <w:tmpl w:val="3B582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01F2DD8"/>
    <w:multiLevelType w:val="hybridMultilevel"/>
    <w:tmpl w:val="51F0B4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8" w15:restartNumberingAfterBreak="0">
    <w:nsid w:val="7086059E"/>
    <w:multiLevelType w:val="hybridMultilevel"/>
    <w:tmpl w:val="562C33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9" w15:restartNumberingAfterBreak="0">
    <w:nsid w:val="72480889"/>
    <w:multiLevelType w:val="hybridMultilevel"/>
    <w:tmpl w:val="62AA6A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0" w15:restartNumberingAfterBreak="0">
    <w:nsid w:val="72707972"/>
    <w:multiLevelType w:val="hybridMultilevel"/>
    <w:tmpl w:val="C4B6273E"/>
    <w:lvl w:ilvl="0" w:tplc="880803C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72BB48D0"/>
    <w:multiLevelType w:val="hybridMultilevel"/>
    <w:tmpl w:val="110A0A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72DC3998"/>
    <w:multiLevelType w:val="hybridMultilevel"/>
    <w:tmpl w:val="533A39A2"/>
    <w:lvl w:ilvl="0" w:tplc="0C090001">
      <w:start w:val="1"/>
      <w:numFmt w:val="bullet"/>
      <w:lvlText w:val=""/>
      <w:lvlJc w:val="left"/>
      <w:pPr>
        <w:ind w:left="683" w:hanging="360"/>
      </w:pPr>
      <w:rPr>
        <w:rFonts w:ascii="Symbol" w:hAnsi="Symbol" w:hint="default"/>
      </w:rPr>
    </w:lvl>
    <w:lvl w:ilvl="1" w:tplc="0C090003">
      <w:start w:val="1"/>
      <w:numFmt w:val="bullet"/>
      <w:lvlText w:val="o"/>
      <w:lvlJc w:val="left"/>
      <w:pPr>
        <w:ind w:left="1403" w:hanging="360"/>
      </w:pPr>
      <w:rPr>
        <w:rFonts w:ascii="Courier New" w:hAnsi="Courier New" w:cs="Courier New" w:hint="default"/>
      </w:rPr>
    </w:lvl>
    <w:lvl w:ilvl="2" w:tplc="0C090005" w:tentative="1">
      <w:start w:val="1"/>
      <w:numFmt w:val="bullet"/>
      <w:lvlText w:val=""/>
      <w:lvlJc w:val="left"/>
      <w:pPr>
        <w:ind w:left="2123" w:hanging="360"/>
      </w:pPr>
      <w:rPr>
        <w:rFonts w:ascii="Wingdings" w:hAnsi="Wingdings" w:hint="default"/>
      </w:rPr>
    </w:lvl>
    <w:lvl w:ilvl="3" w:tplc="0C090001" w:tentative="1">
      <w:start w:val="1"/>
      <w:numFmt w:val="bullet"/>
      <w:lvlText w:val=""/>
      <w:lvlJc w:val="left"/>
      <w:pPr>
        <w:ind w:left="2843" w:hanging="360"/>
      </w:pPr>
      <w:rPr>
        <w:rFonts w:ascii="Symbol" w:hAnsi="Symbol" w:hint="default"/>
      </w:rPr>
    </w:lvl>
    <w:lvl w:ilvl="4" w:tplc="0C090003" w:tentative="1">
      <w:start w:val="1"/>
      <w:numFmt w:val="bullet"/>
      <w:lvlText w:val="o"/>
      <w:lvlJc w:val="left"/>
      <w:pPr>
        <w:ind w:left="3563" w:hanging="360"/>
      </w:pPr>
      <w:rPr>
        <w:rFonts w:ascii="Courier New" w:hAnsi="Courier New" w:cs="Courier New" w:hint="default"/>
      </w:rPr>
    </w:lvl>
    <w:lvl w:ilvl="5" w:tplc="0C090005" w:tentative="1">
      <w:start w:val="1"/>
      <w:numFmt w:val="bullet"/>
      <w:lvlText w:val=""/>
      <w:lvlJc w:val="left"/>
      <w:pPr>
        <w:ind w:left="4283" w:hanging="360"/>
      </w:pPr>
      <w:rPr>
        <w:rFonts w:ascii="Wingdings" w:hAnsi="Wingdings" w:hint="default"/>
      </w:rPr>
    </w:lvl>
    <w:lvl w:ilvl="6" w:tplc="0C090001" w:tentative="1">
      <w:start w:val="1"/>
      <w:numFmt w:val="bullet"/>
      <w:lvlText w:val=""/>
      <w:lvlJc w:val="left"/>
      <w:pPr>
        <w:ind w:left="5003" w:hanging="360"/>
      </w:pPr>
      <w:rPr>
        <w:rFonts w:ascii="Symbol" w:hAnsi="Symbol" w:hint="default"/>
      </w:rPr>
    </w:lvl>
    <w:lvl w:ilvl="7" w:tplc="0C090003" w:tentative="1">
      <w:start w:val="1"/>
      <w:numFmt w:val="bullet"/>
      <w:lvlText w:val="o"/>
      <w:lvlJc w:val="left"/>
      <w:pPr>
        <w:ind w:left="5723" w:hanging="360"/>
      </w:pPr>
      <w:rPr>
        <w:rFonts w:ascii="Courier New" w:hAnsi="Courier New" w:cs="Courier New" w:hint="default"/>
      </w:rPr>
    </w:lvl>
    <w:lvl w:ilvl="8" w:tplc="0C090005" w:tentative="1">
      <w:start w:val="1"/>
      <w:numFmt w:val="bullet"/>
      <w:lvlText w:val=""/>
      <w:lvlJc w:val="left"/>
      <w:pPr>
        <w:ind w:left="6443" w:hanging="360"/>
      </w:pPr>
      <w:rPr>
        <w:rFonts w:ascii="Wingdings" w:hAnsi="Wingdings" w:hint="default"/>
      </w:rPr>
    </w:lvl>
  </w:abstractNum>
  <w:abstractNum w:abstractNumId="183" w15:restartNumberingAfterBreak="0">
    <w:nsid w:val="732D67ED"/>
    <w:multiLevelType w:val="multilevel"/>
    <w:tmpl w:val="8990EA4C"/>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4" w15:restartNumberingAfterBreak="0">
    <w:nsid w:val="7360091F"/>
    <w:multiLevelType w:val="hybridMultilevel"/>
    <w:tmpl w:val="1EAE5EA4"/>
    <w:lvl w:ilvl="0" w:tplc="4740D6BC">
      <w:start w:val="1"/>
      <w:numFmt w:val="bullet"/>
      <w:lvlText w:val=""/>
      <w:lvlJc w:val="left"/>
      <w:pPr>
        <w:ind w:left="360" w:hanging="360"/>
      </w:pPr>
      <w:rPr>
        <w:rFonts w:ascii="Wingdings" w:hAnsi="Wingdings"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5" w15:restartNumberingAfterBreak="0">
    <w:nsid w:val="74F05DD9"/>
    <w:multiLevelType w:val="hybridMultilevel"/>
    <w:tmpl w:val="2E54D43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7505110C"/>
    <w:multiLevelType w:val="hybridMultilevel"/>
    <w:tmpl w:val="547C7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7" w15:restartNumberingAfterBreak="0">
    <w:nsid w:val="752F4F2D"/>
    <w:multiLevelType w:val="hybridMultilevel"/>
    <w:tmpl w:val="94F61F94"/>
    <w:lvl w:ilvl="0" w:tplc="0C090001">
      <w:start w:val="1"/>
      <w:numFmt w:val="bullet"/>
      <w:lvlText w:val=""/>
      <w:lvlJc w:val="left"/>
      <w:pPr>
        <w:ind w:left="1006" w:hanging="360"/>
      </w:pPr>
      <w:rPr>
        <w:rFonts w:ascii="Symbol" w:hAnsi="Symbol" w:hint="default"/>
      </w:rPr>
    </w:lvl>
    <w:lvl w:ilvl="1" w:tplc="0C090003" w:tentative="1">
      <w:start w:val="1"/>
      <w:numFmt w:val="bullet"/>
      <w:lvlText w:val="o"/>
      <w:lvlJc w:val="left"/>
      <w:pPr>
        <w:ind w:left="1726" w:hanging="360"/>
      </w:pPr>
      <w:rPr>
        <w:rFonts w:ascii="Courier New" w:hAnsi="Courier New" w:cs="Courier New" w:hint="default"/>
      </w:rPr>
    </w:lvl>
    <w:lvl w:ilvl="2" w:tplc="0C090005" w:tentative="1">
      <w:start w:val="1"/>
      <w:numFmt w:val="bullet"/>
      <w:lvlText w:val=""/>
      <w:lvlJc w:val="left"/>
      <w:pPr>
        <w:ind w:left="2446" w:hanging="360"/>
      </w:pPr>
      <w:rPr>
        <w:rFonts w:ascii="Wingdings" w:hAnsi="Wingdings" w:hint="default"/>
      </w:rPr>
    </w:lvl>
    <w:lvl w:ilvl="3" w:tplc="0C090001" w:tentative="1">
      <w:start w:val="1"/>
      <w:numFmt w:val="bullet"/>
      <w:lvlText w:val=""/>
      <w:lvlJc w:val="left"/>
      <w:pPr>
        <w:ind w:left="3166" w:hanging="360"/>
      </w:pPr>
      <w:rPr>
        <w:rFonts w:ascii="Symbol" w:hAnsi="Symbol" w:hint="default"/>
      </w:rPr>
    </w:lvl>
    <w:lvl w:ilvl="4" w:tplc="0C090003" w:tentative="1">
      <w:start w:val="1"/>
      <w:numFmt w:val="bullet"/>
      <w:lvlText w:val="o"/>
      <w:lvlJc w:val="left"/>
      <w:pPr>
        <w:ind w:left="3886" w:hanging="360"/>
      </w:pPr>
      <w:rPr>
        <w:rFonts w:ascii="Courier New" w:hAnsi="Courier New" w:cs="Courier New" w:hint="default"/>
      </w:rPr>
    </w:lvl>
    <w:lvl w:ilvl="5" w:tplc="0C090005" w:tentative="1">
      <w:start w:val="1"/>
      <w:numFmt w:val="bullet"/>
      <w:lvlText w:val=""/>
      <w:lvlJc w:val="left"/>
      <w:pPr>
        <w:ind w:left="4606" w:hanging="360"/>
      </w:pPr>
      <w:rPr>
        <w:rFonts w:ascii="Wingdings" w:hAnsi="Wingdings" w:hint="default"/>
      </w:rPr>
    </w:lvl>
    <w:lvl w:ilvl="6" w:tplc="0C090001" w:tentative="1">
      <w:start w:val="1"/>
      <w:numFmt w:val="bullet"/>
      <w:lvlText w:val=""/>
      <w:lvlJc w:val="left"/>
      <w:pPr>
        <w:ind w:left="5326" w:hanging="360"/>
      </w:pPr>
      <w:rPr>
        <w:rFonts w:ascii="Symbol" w:hAnsi="Symbol" w:hint="default"/>
      </w:rPr>
    </w:lvl>
    <w:lvl w:ilvl="7" w:tplc="0C090003" w:tentative="1">
      <w:start w:val="1"/>
      <w:numFmt w:val="bullet"/>
      <w:lvlText w:val="o"/>
      <w:lvlJc w:val="left"/>
      <w:pPr>
        <w:ind w:left="6046" w:hanging="360"/>
      </w:pPr>
      <w:rPr>
        <w:rFonts w:ascii="Courier New" w:hAnsi="Courier New" w:cs="Courier New" w:hint="default"/>
      </w:rPr>
    </w:lvl>
    <w:lvl w:ilvl="8" w:tplc="0C090005" w:tentative="1">
      <w:start w:val="1"/>
      <w:numFmt w:val="bullet"/>
      <w:lvlText w:val=""/>
      <w:lvlJc w:val="left"/>
      <w:pPr>
        <w:ind w:left="6766" w:hanging="360"/>
      </w:pPr>
      <w:rPr>
        <w:rFonts w:ascii="Wingdings" w:hAnsi="Wingdings" w:hint="default"/>
      </w:rPr>
    </w:lvl>
  </w:abstractNum>
  <w:abstractNum w:abstractNumId="188" w15:restartNumberingAfterBreak="0">
    <w:nsid w:val="762C59B2"/>
    <w:multiLevelType w:val="hybridMultilevel"/>
    <w:tmpl w:val="9FD09D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76C53BF4"/>
    <w:multiLevelType w:val="hybridMultilevel"/>
    <w:tmpl w:val="820C676C"/>
    <w:lvl w:ilvl="0" w:tplc="0C090011">
      <w:start w:val="1"/>
      <w:numFmt w:val="decimal"/>
      <w:lvlText w:val="%1)"/>
      <w:lvlJc w:val="left"/>
      <w:pPr>
        <w:ind w:left="1154" w:hanging="360"/>
      </w:pPr>
      <w:rPr>
        <w:rFonts w:hint="default"/>
      </w:rPr>
    </w:lvl>
    <w:lvl w:ilvl="1" w:tplc="0C090019" w:tentative="1">
      <w:start w:val="1"/>
      <w:numFmt w:val="lowerLetter"/>
      <w:lvlText w:val="%2."/>
      <w:lvlJc w:val="left"/>
      <w:pPr>
        <w:ind w:left="1874" w:hanging="360"/>
      </w:pPr>
    </w:lvl>
    <w:lvl w:ilvl="2" w:tplc="0C09001B" w:tentative="1">
      <w:start w:val="1"/>
      <w:numFmt w:val="lowerRoman"/>
      <w:lvlText w:val="%3."/>
      <w:lvlJc w:val="right"/>
      <w:pPr>
        <w:ind w:left="2594" w:hanging="180"/>
      </w:pPr>
    </w:lvl>
    <w:lvl w:ilvl="3" w:tplc="0C09000F" w:tentative="1">
      <w:start w:val="1"/>
      <w:numFmt w:val="decimal"/>
      <w:lvlText w:val="%4."/>
      <w:lvlJc w:val="left"/>
      <w:pPr>
        <w:ind w:left="3314" w:hanging="360"/>
      </w:pPr>
    </w:lvl>
    <w:lvl w:ilvl="4" w:tplc="0C090019" w:tentative="1">
      <w:start w:val="1"/>
      <w:numFmt w:val="lowerLetter"/>
      <w:lvlText w:val="%5."/>
      <w:lvlJc w:val="left"/>
      <w:pPr>
        <w:ind w:left="4034" w:hanging="360"/>
      </w:pPr>
    </w:lvl>
    <w:lvl w:ilvl="5" w:tplc="0C09001B" w:tentative="1">
      <w:start w:val="1"/>
      <w:numFmt w:val="lowerRoman"/>
      <w:lvlText w:val="%6."/>
      <w:lvlJc w:val="right"/>
      <w:pPr>
        <w:ind w:left="4754" w:hanging="180"/>
      </w:pPr>
    </w:lvl>
    <w:lvl w:ilvl="6" w:tplc="0C09000F" w:tentative="1">
      <w:start w:val="1"/>
      <w:numFmt w:val="decimal"/>
      <w:lvlText w:val="%7."/>
      <w:lvlJc w:val="left"/>
      <w:pPr>
        <w:ind w:left="5474" w:hanging="360"/>
      </w:pPr>
    </w:lvl>
    <w:lvl w:ilvl="7" w:tplc="0C090019" w:tentative="1">
      <w:start w:val="1"/>
      <w:numFmt w:val="lowerLetter"/>
      <w:lvlText w:val="%8."/>
      <w:lvlJc w:val="left"/>
      <w:pPr>
        <w:ind w:left="6194" w:hanging="360"/>
      </w:pPr>
    </w:lvl>
    <w:lvl w:ilvl="8" w:tplc="0C09001B" w:tentative="1">
      <w:start w:val="1"/>
      <w:numFmt w:val="lowerRoman"/>
      <w:lvlText w:val="%9."/>
      <w:lvlJc w:val="right"/>
      <w:pPr>
        <w:ind w:left="6914" w:hanging="180"/>
      </w:pPr>
    </w:lvl>
  </w:abstractNum>
  <w:abstractNum w:abstractNumId="190" w15:restartNumberingAfterBreak="0">
    <w:nsid w:val="76E162FA"/>
    <w:multiLevelType w:val="hybridMultilevel"/>
    <w:tmpl w:val="F8A6C2C4"/>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91" w15:restartNumberingAfterBreak="0">
    <w:nsid w:val="772A5ABE"/>
    <w:multiLevelType w:val="hybridMultilevel"/>
    <w:tmpl w:val="DE4452AC"/>
    <w:lvl w:ilvl="0" w:tplc="FD24E8A6">
      <w:start w:val="1"/>
      <w:numFmt w:val="decimal"/>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2" w15:restartNumberingAfterBreak="0">
    <w:nsid w:val="784543B6"/>
    <w:multiLevelType w:val="hybridMultilevel"/>
    <w:tmpl w:val="DFCE83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3" w15:restartNumberingAfterBreak="0">
    <w:nsid w:val="788E36D8"/>
    <w:multiLevelType w:val="hybridMultilevel"/>
    <w:tmpl w:val="83887BE6"/>
    <w:lvl w:ilvl="0" w:tplc="52E20F62">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94" w15:restartNumberingAfterBreak="0">
    <w:nsid w:val="790577E2"/>
    <w:multiLevelType w:val="hybridMultilevel"/>
    <w:tmpl w:val="57523E74"/>
    <w:lvl w:ilvl="0" w:tplc="C4F6C784">
      <w:start w:val="1"/>
      <w:numFmt w:val="decimal"/>
      <w:pStyle w:val="AttachmentHeading"/>
      <w:suff w:val="space"/>
      <w:lvlText w:val="Attachment %1"/>
      <w:lvlJc w:val="left"/>
      <w:pPr>
        <w:ind w:left="0" w:firstLine="0"/>
      </w:pPr>
      <w:rPr>
        <w:rFonts w:ascii="Arial" w:hAnsi="Arial" w:hint="default"/>
        <w:b/>
        <w:i w:val="0"/>
        <w:sz w:val="24"/>
        <w:szCs w:val="24"/>
      </w:rPr>
    </w:lvl>
    <w:lvl w:ilvl="1" w:tplc="C4C2F0F0">
      <w:start w:val="1"/>
      <w:numFmt w:val="none"/>
      <w:lvlText w:val=""/>
      <w:lvlJc w:val="left"/>
      <w:pPr>
        <w:tabs>
          <w:tab w:val="num" w:pos="720"/>
        </w:tabs>
        <w:ind w:left="720" w:hanging="360"/>
      </w:pPr>
      <w:rPr>
        <w:rFonts w:hint="default"/>
      </w:rPr>
    </w:lvl>
    <w:lvl w:ilvl="2" w:tplc="A6F6D31A">
      <w:start w:val="1"/>
      <w:numFmt w:val="none"/>
      <w:lvlText w:val=""/>
      <w:lvlJc w:val="left"/>
      <w:pPr>
        <w:tabs>
          <w:tab w:val="num" w:pos="1080"/>
        </w:tabs>
        <w:ind w:left="1080" w:hanging="360"/>
      </w:pPr>
      <w:rPr>
        <w:rFonts w:hint="default"/>
      </w:rPr>
    </w:lvl>
    <w:lvl w:ilvl="3" w:tplc="12D24822">
      <w:start w:val="1"/>
      <w:numFmt w:val="none"/>
      <w:lvlText w:val=""/>
      <w:lvlJc w:val="left"/>
      <w:pPr>
        <w:tabs>
          <w:tab w:val="num" w:pos="1440"/>
        </w:tabs>
        <w:ind w:left="1440" w:hanging="360"/>
      </w:pPr>
      <w:rPr>
        <w:rFonts w:hint="default"/>
      </w:rPr>
    </w:lvl>
    <w:lvl w:ilvl="4" w:tplc="8C12110C">
      <w:start w:val="1"/>
      <w:numFmt w:val="none"/>
      <w:lvlText w:val=""/>
      <w:lvlJc w:val="left"/>
      <w:pPr>
        <w:tabs>
          <w:tab w:val="num" w:pos="1800"/>
        </w:tabs>
        <w:ind w:left="1800" w:hanging="360"/>
      </w:pPr>
      <w:rPr>
        <w:rFonts w:hint="default"/>
      </w:rPr>
    </w:lvl>
    <w:lvl w:ilvl="5" w:tplc="51361098">
      <w:start w:val="1"/>
      <w:numFmt w:val="none"/>
      <w:lvlText w:val=""/>
      <w:lvlJc w:val="left"/>
      <w:pPr>
        <w:tabs>
          <w:tab w:val="num" w:pos="2160"/>
        </w:tabs>
        <w:ind w:left="2160" w:hanging="360"/>
      </w:pPr>
      <w:rPr>
        <w:rFonts w:hint="default"/>
      </w:rPr>
    </w:lvl>
    <w:lvl w:ilvl="6" w:tplc="F42619BC">
      <w:start w:val="1"/>
      <w:numFmt w:val="none"/>
      <w:lvlText w:val=""/>
      <w:lvlJc w:val="left"/>
      <w:pPr>
        <w:tabs>
          <w:tab w:val="num" w:pos="2520"/>
        </w:tabs>
        <w:ind w:left="2520" w:hanging="360"/>
      </w:pPr>
      <w:rPr>
        <w:rFonts w:hint="default"/>
      </w:rPr>
    </w:lvl>
    <w:lvl w:ilvl="7" w:tplc="CBD40670">
      <w:start w:val="1"/>
      <w:numFmt w:val="none"/>
      <w:lvlText w:val=""/>
      <w:lvlJc w:val="left"/>
      <w:pPr>
        <w:tabs>
          <w:tab w:val="num" w:pos="2880"/>
        </w:tabs>
        <w:ind w:left="2880" w:hanging="360"/>
      </w:pPr>
      <w:rPr>
        <w:rFonts w:hint="default"/>
      </w:rPr>
    </w:lvl>
    <w:lvl w:ilvl="8" w:tplc="581A3B12">
      <w:start w:val="1"/>
      <w:numFmt w:val="none"/>
      <w:lvlText w:val=""/>
      <w:lvlJc w:val="left"/>
      <w:pPr>
        <w:tabs>
          <w:tab w:val="num" w:pos="3240"/>
        </w:tabs>
        <w:ind w:left="3240" w:hanging="360"/>
      </w:pPr>
      <w:rPr>
        <w:rFonts w:hint="default"/>
      </w:rPr>
    </w:lvl>
  </w:abstractNum>
  <w:abstractNum w:abstractNumId="195" w15:restartNumberingAfterBreak="0">
    <w:nsid w:val="793E215F"/>
    <w:multiLevelType w:val="hybridMultilevel"/>
    <w:tmpl w:val="E1309A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6" w15:restartNumberingAfterBreak="0">
    <w:nsid w:val="797974D3"/>
    <w:multiLevelType w:val="hybridMultilevel"/>
    <w:tmpl w:val="234EC3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7" w15:restartNumberingAfterBreak="0">
    <w:nsid w:val="7A1E2CBE"/>
    <w:multiLevelType w:val="hybridMultilevel"/>
    <w:tmpl w:val="6A943A98"/>
    <w:lvl w:ilvl="0" w:tplc="66903350">
      <w:start w:val="1"/>
      <w:numFmt w:val="bullet"/>
      <w:lvlText w:val=""/>
      <w:lvlJc w:val="left"/>
      <w:pPr>
        <w:ind w:left="1154" w:hanging="360"/>
      </w:pPr>
      <w:rPr>
        <w:rFonts w:ascii="Wingdings" w:hAnsi="Wingdings"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98" w15:restartNumberingAfterBreak="0">
    <w:nsid w:val="7A5D0413"/>
    <w:multiLevelType w:val="hybridMultilevel"/>
    <w:tmpl w:val="3F26F1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9" w15:restartNumberingAfterBreak="0">
    <w:nsid w:val="7B6365E0"/>
    <w:multiLevelType w:val="hybridMultilevel"/>
    <w:tmpl w:val="16D8BB90"/>
    <w:lvl w:ilvl="0" w:tplc="8EF4C912">
      <w:start w:val="1"/>
      <w:numFmt w:val="bullet"/>
      <w:pStyle w:val="Bullet"/>
      <w:lvlText w:val=""/>
      <w:lvlJc w:val="left"/>
      <w:pPr>
        <w:tabs>
          <w:tab w:val="num" w:pos="1588"/>
        </w:tabs>
        <w:ind w:left="1588" w:hanging="794"/>
      </w:pPr>
      <w:rPr>
        <w:rFonts w:ascii="Symbol" w:hAnsi="Symbol" w:hint="default"/>
      </w:rPr>
    </w:lvl>
    <w:lvl w:ilvl="1" w:tplc="5FF81DE0">
      <w:start w:val="1"/>
      <w:numFmt w:val="bullet"/>
      <w:lvlText w:val="o"/>
      <w:lvlJc w:val="left"/>
      <w:pPr>
        <w:tabs>
          <w:tab w:val="num" w:pos="1704"/>
        </w:tabs>
        <w:ind w:left="1704" w:hanging="360"/>
      </w:pPr>
      <w:rPr>
        <w:rFonts w:ascii="Courier New" w:hAnsi="Courier New" w:hint="default"/>
      </w:rPr>
    </w:lvl>
    <w:lvl w:ilvl="2" w:tplc="7CC4DDF4">
      <w:start w:val="1"/>
      <w:numFmt w:val="bullet"/>
      <w:lvlText w:val=""/>
      <w:lvlJc w:val="left"/>
      <w:pPr>
        <w:tabs>
          <w:tab w:val="num" w:pos="2424"/>
        </w:tabs>
        <w:ind w:left="2424" w:hanging="360"/>
      </w:pPr>
      <w:rPr>
        <w:rFonts w:ascii="Wingdings" w:hAnsi="Wingdings" w:hint="default"/>
      </w:rPr>
    </w:lvl>
    <w:lvl w:ilvl="3" w:tplc="9C341A6C" w:tentative="1">
      <w:start w:val="1"/>
      <w:numFmt w:val="bullet"/>
      <w:lvlText w:val=""/>
      <w:lvlJc w:val="left"/>
      <w:pPr>
        <w:tabs>
          <w:tab w:val="num" w:pos="3144"/>
        </w:tabs>
        <w:ind w:left="3144" w:hanging="360"/>
      </w:pPr>
      <w:rPr>
        <w:rFonts w:ascii="Symbol" w:hAnsi="Symbol" w:hint="default"/>
      </w:rPr>
    </w:lvl>
    <w:lvl w:ilvl="4" w:tplc="FC48ED52" w:tentative="1">
      <w:start w:val="1"/>
      <w:numFmt w:val="bullet"/>
      <w:lvlText w:val="o"/>
      <w:lvlJc w:val="left"/>
      <w:pPr>
        <w:tabs>
          <w:tab w:val="num" w:pos="3864"/>
        </w:tabs>
        <w:ind w:left="3864" w:hanging="360"/>
      </w:pPr>
      <w:rPr>
        <w:rFonts w:ascii="Courier New" w:hAnsi="Courier New" w:hint="default"/>
      </w:rPr>
    </w:lvl>
    <w:lvl w:ilvl="5" w:tplc="FE56EA98" w:tentative="1">
      <w:start w:val="1"/>
      <w:numFmt w:val="bullet"/>
      <w:lvlText w:val=""/>
      <w:lvlJc w:val="left"/>
      <w:pPr>
        <w:tabs>
          <w:tab w:val="num" w:pos="4584"/>
        </w:tabs>
        <w:ind w:left="4584" w:hanging="360"/>
      </w:pPr>
      <w:rPr>
        <w:rFonts w:ascii="Wingdings" w:hAnsi="Wingdings" w:hint="default"/>
      </w:rPr>
    </w:lvl>
    <w:lvl w:ilvl="6" w:tplc="59F45032" w:tentative="1">
      <w:start w:val="1"/>
      <w:numFmt w:val="bullet"/>
      <w:lvlText w:val=""/>
      <w:lvlJc w:val="left"/>
      <w:pPr>
        <w:tabs>
          <w:tab w:val="num" w:pos="5304"/>
        </w:tabs>
        <w:ind w:left="5304" w:hanging="360"/>
      </w:pPr>
      <w:rPr>
        <w:rFonts w:ascii="Symbol" w:hAnsi="Symbol" w:hint="default"/>
      </w:rPr>
    </w:lvl>
    <w:lvl w:ilvl="7" w:tplc="0A3052FA" w:tentative="1">
      <w:start w:val="1"/>
      <w:numFmt w:val="bullet"/>
      <w:lvlText w:val="o"/>
      <w:lvlJc w:val="left"/>
      <w:pPr>
        <w:tabs>
          <w:tab w:val="num" w:pos="6024"/>
        </w:tabs>
        <w:ind w:left="6024" w:hanging="360"/>
      </w:pPr>
      <w:rPr>
        <w:rFonts w:ascii="Courier New" w:hAnsi="Courier New" w:hint="default"/>
      </w:rPr>
    </w:lvl>
    <w:lvl w:ilvl="8" w:tplc="D144B1BE" w:tentative="1">
      <w:start w:val="1"/>
      <w:numFmt w:val="bullet"/>
      <w:lvlText w:val=""/>
      <w:lvlJc w:val="left"/>
      <w:pPr>
        <w:tabs>
          <w:tab w:val="num" w:pos="6744"/>
        </w:tabs>
        <w:ind w:left="6744" w:hanging="360"/>
      </w:pPr>
      <w:rPr>
        <w:rFonts w:ascii="Wingdings" w:hAnsi="Wingdings" w:hint="default"/>
      </w:rPr>
    </w:lvl>
  </w:abstractNum>
  <w:abstractNum w:abstractNumId="200" w15:restartNumberingAfterBreak="0">
    <w:nsid w:val="7D335614"/>
    <w:multiLevelType w:val="hybridMultilevel"/>
    <w:tmpl w:val="0F4896F2"/>
    <w:lvl w:ilvl="0" w:tplc="0C090001">
      <w:start w:val="1"/>
      <w:numFmt w:val="bullet"/>
      <w:lvlText w:val=""/>
      <w:lvlJc w:val="left"/>
      <w:pPr>
        <w:ind w:left="1228" w:hanging="360"/>
      </w:pPr>
      <w:rPr>
        <w:rFonts w:ascii="Symbol" w:hAnsi="Symbol" w:hint="default"/>
      </w:rPr>
    </w:lvl>
    <w:lvl w:ilvl="1" w:tplc="0C090003" w:tentative="1">
      <w:start w:val="1"/>
      <w:numFmt w:val="bullet"/>
      <w:lvlText w:val="o"/>
      <w:lvlJc w:val="left"/>
      <w:pPr>
        <w:ind w:left="1948" w:hanging="360"/>
      </w:pPr>
      <w:rPr>
        <w:rFonts w:ascii="Courier New" w:hAnsi="Courier New" w:cs="Courier New" w:hint="default"/>
      </w:rPr>
    </w:lvl>
    <w:lvl w:ilvl="2" w:tplc="0C090005" w:tentative="1">
      <w:start w:val="1"/>
      <w:numFmt w:val="bullet"/>
      <w:lvlText w:val=""/>
      <w:lvlJc w:val="left"/>
      <w:pPr>
        <w:ind w:left="2668" w:hanging="360"/>
      </w:pPr>
      <w:rPr>
        <w:rFonts w:ascii="Wingdings" w:hAnsi="Wingdings" w:hint="default"/>
      </w:rPr>
    </w:lvl>
    <w:lvl w:ilvl="3" w:tplc="0C090001" w:tentative="1">
      <w:start w:val="1"/>
      <w:numFmt w:val="bullet"/>
      <w:lvlText w:val=""/>
      <w:lvlJc w:val="left"/>
      <w:pPr>
        <w:ind w:left="3388" w:hanging="360"/>
      </w:pPr>
      <w:rPr>
        <w:rFonts w:ascii="Symbol" w:hAnsi="Symbol" w:hint="default"/>
      </w:rPr>
    </w:lvl>
    <w:lvl w:ilvl="4" w:tplc="0C090003" w:tentative="1">
      <w:start w:val="1"/>
      <w:numFmt w:val="bullet"/>
      <w:lvlText w:val="o"/>
      <w:lvlJc w:val="left"/>
      <w:pPr>
        <w:ind w:left="4108" w:hanging="360"/>
      </w:pPr>
      <w:rPr>
        <w:rFonts w:ascii="Courier New" w:hAnsi="Courier New" w:cs="Courier New" w:hint="default"/>
      </w:rPr>
    </w:lvl>
    <w:lvl w:ilvl="5" w:tplc="0C090005" w:tentative="1">
      <w:start w:val="1"/>
      <w:numFmt w:val="bullet"/>
      <w:lvlText w:val=""/>
      <w:lvlJc w:val="left"/>
      <w:pPr>
        <w:ind w:left="4828" w:hanging="360"/>
      </w:pPr>
      <w:rPr>
        <w:rFonts w:ascii="Wingdings" w:hAnsi="Wingdings" w:hint="default"/>
      </w:rPr>
    </w:lvl>
    <w:lvl w:ilvl="6" w:tplc="0C090001" w:tentative="1">
      <w:start w:val="1"/>
      <w:numFmt w:val="bullet"/>
      <w:lvlText w:val=""/>
      <w:lvlJc w:val="left"/>
      <w:pPr>
        <w:ind w:left="5548" w:hanging="360"/>
      </w:pPr>
      <w:rPr>
        <w:rFonts w:ascii="Symbol" w:hAnsi="Symbol" w:hint="default"/>
      </w:rPr>
    </w:lvl>
    <w:lvl w:ilvl="7" w:tplc="0C090003" w:tentative="1">
      <w:start w:val="1"/>
      <w:numFmt w:val="bullet"/>
      <w:lvlText w:val="o"/>
      <w:lvlJc w:val="left"/>
      <w:pPr>
        <w:ind w:left="6268" w:hanging="360"/>
      </w:pPr>
      <w:rPr>
        <w:rFonts w:ascii="Courier New" w:hAnsi="Courier New" w:cs="Courier New" w:hint="default"/>
      </w:rPr>
    </w:lvl>
    <w:lvl w:ilvl="8" w:tplc="0C090005" w:tentative="1">
      <w:start w:val="1"/>
      <w:numFmt w:val="bullet"/>
      <w:lvlText w:val=""/>
      <w:lvlJc w:val="left"/>
      <w:pPr>
        <w:ind w:left="6988" w:hanging="360"/>
      </w:pPr>
      <w:rPr>
        <w:rFonts w:ascii="Wingdings" w:hAnsi="Wingdings" w:hint="default"/>
      </w:rPr>
    </w:lvl>
  </w:abstractNum>
  <w:abstractNum w:abstractNumId="201" w15:restartNumberingAfterBreak="0">
    <w:nsid w:val="7E391A7B"/>
    <w:multiLevelType w:val="hybridMultilevel"/>
    <w:tmpl w:val="27D0B4A0"/>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02" w15:restartNumberingAfterBreak="0">
    <w:nsid w:val="7EC057A0"/>
    <w:multiLevelType w:val="hybridMultilevel"/>
    <w:tmpl w:val="27D6B9DE"/>
    <w:lvl w:ilvl="0" w:tplc="EC1A3FA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4"/>
  </w:num>
  <w:num w:numId="2">
    <w:abstractNumId w:val="199"/>
  </w:num>
  <w:num w:numId="3">
    <w:abstractNumId w:val="38"/>
  </w:num>
  <w:num w:numId="4">
    <w:abstractNumId w:val="128"/>
  </w:num>
  <w:num w:numId="5">
    <w:abstractNumId w:val="117"/>
  </w:num>
  <w:num w:numId="6">
    <w:abstractNumId w:val="202"/>
  </w:num>
  <w:num w:numId="7">
    <w:abstractNumId w:val="135"/>
  </w:num>
  <w:num w:numId="8">
    <w:abstractNumId w:val="92"/>
  </w:num>
  <w:num w:numId="9">
    <w:abstractNumId w:val="18"/>
  </w:num>
  <w:num w:numId="10">
    <w:abstractNumId w:val="101"/>
  </w:num>
  <w:num w:numId="11">
    <w:abstractNumId w:val="76"/>
  </w:num>
  <w:num w:numId="12">
    <w:abstractNumId w:val="68"/>
  </w:num>
  <w:num w:numId="13">
    <w:abstractNumId w:val="26"/>
  </w:num>
  <w:num w:numId="14">
    <w:abstractNumId w:val="113"/>
  </w:num>
  <w:num w:numId="15">
    <w:abstractNumId w:val="150"/>
  </w:num>
  <w:num w:numId="16">
    <w:abstractNumId w:val="196"/>
  </w:num>
  <w:num w:numId="17">
    <w:abstractNumId w:val="159"/>
  </w:num>
  <w:num w:numId="18">
    <w:abstractNumId w:val="9"/>
  </w:num>
  <w:num w:numId="19">
    <w:abstractNumId w:val="59"/>
  </w:num>
  <w:num w:numId="20">
    <w:abstractNumId w:val="112"/>
  </w:num>
  <w:num w:numId="21">
    <w:abstractNumId w:val="84"/>
  </w:num>
  <w:num w:numId="22">
    <w:abstractNumId w:val="87"/>
  </w:num>
  <w:num w:numId="23">
    <w:abstractNumId w:val="183"/>
  </w:num>
  <w:num w:numId="24">
    <w:abstractNumId w:val="15"/>
  </w:num>
  <w:num w:numId="25">
    <w:abstractNumId w:val="30"/>
  </w:num>
  <w:num w:numId="26">
    <w:abstractNumId w:val="137"/>
  </w:num>
  <w:num w:numId="27">
    <w:abstractNumId w:val="125"/>
  </w:num>
  <w:num w:numId="28">
    <w:abstractNumId w:val="93"/>
  </w:num>
  <w:num w:numId="29">
    <w:abstractNumId w:val="64"/>
  </w:num>
  <w:num w:numId="30">
    <w:abstractNumId w:val="61"/>
  </w:num>
  <w:num w:numId="31">
    <w:abstractNumId w:val="115"/>
  </w:num>
  <w:num w:numId="32">
    <w:abstractNumId w:val="130"/>
  </w:num>
  <w:num w:numId="33">
    <w:abstractNumId w:val="29"/>
  </w:num>
  <w:num w:numId="34">
    <w:abstractNumId w:val="56"/>
  </w:num>
  <w:num w:numId="35">
    <w:abstractNumId w:val="55"/>
  </w:num>
  <w:num w:numId="36">
    <w:abstractNumId w:val="184"/>
  </w:num>
  <w:num w:numId="37">
    <w:abstractNumId w:val="180"/>
  </w:num>
  <w:num w:numId="38">
    <w:abstractNumId w:val="134"/>
  </w:num>
  <w:num w:numId="39">
    <w:abstractNumId w:val="42"/>
  </w:num>
  <w:num w:numId="40">
    <w:abstractNumId w:val="104"/>
  </w:num>
  <w:num w:numId="41">
    <w:abstractNumId w:val="155"/>
  </w:num>
  <w:num w:numId="42">
    <w:abstractNumId w:val="139"/>
  </w:num>
  <w:num w:numId="43">
    <w:abstractNumId w:val="83"/>
  </w:num>
  <w:num w:numId="44">
    <w:abstractNumId w:val="39"/>
  </w:num>
  <w:num w:numId="45">
    <w:abstractNumId w:val="96"/>
  </w:num>
  <w:num w:numId="46">
    <w:abstractNumId w:val="152"/>
  </w:num>
  <w:num w:numId="47">
    <w:abstractNumId w:val="175"/>
  </w:num>
  <w:num w:numId="48">
    <w:abstractNumId w:val="0"/>
  </w:num>
  <w:num w:numId="49">
    <w:abstractNumId w:val="132"/>
  </w:num>
  <w:num w:numId="50">
    <w:abstractNumId w:val="165"/>
  </w:num>
  <w:num w:numId="51">
    <w:abstractNumId w:val="6"/>
  </w:num>
  <w:num w:numId="52">
    <w:abstractNumId w:val="36"/>
  </w:num>
  <w:num w:numId="53">
    <w:abstractNumId w:val="78"/>
  </w:num>
  <w:num w:numId="54">
    <w:abstractNumId w:val="20"/>
  </w:num>
  <w:num w:numId="55">
    <w:abstractNumId w:val="5"/>
  </w:num>
  <w:num w:numId="56">
    <w:abstractNumId w:val="192"/>
  </w:num>
  <w:num w:numId="57">
    <w:abstractNumId w:val="179"/>
  </w:num>
  <w:num w:numId="58">
    <w:abstractNumId w:val="63"/>
  </w:num>
  <w:num w:numId="59">
    <w:abstractNumId w:val="124"/>
  </w:num>
  <w:num w:numId="60">
    <w:abstractNumId w:val="126"/>
  </w:num>
  <w:num w:numId="61">
    <w:abstractNumId w:val="148"/>
  </w:num>
  <w:num w:numId="62">
    <w:abstractNumId w:val="62"/>
  </w:num>
  <w:num w:numId="63">
    <w:abstractNumId w:val="70"/>
  </w:num>
  <w:num w:numId="64">
    <w:abstractNumId w:val="151"/>
  </w:num>
  <w:num w:numId="65">
    <w:abstractNumId w:val="177"/>
  </w:num>
  <w:num w:numId="66">
    <w:abstractNumId w:val="162"/>
  </w:num>
  <w:num w:numId="67">
    <w:abstractNumId w:val="57"/>
  </w:num>
  <w:num w:numId="68">
    <w:abstractNumId w:val="51"/>
  </w:num>
  <w:num w:numId="69">
    <w:abstractNumId w:val="23"/>
  </w:num>
  <w:num w:numId="70">
    <w:abstractNumId w:val="121"/>
  </w:num>
  <w:num w:numId="71">
    <w:abstractNumId w:val="10"/>
  </w:num>
  <w:num w:numId="72">
    <w:abstractNumId w:val="48"/>
  </w:num>
  <w:num w:numId="73">
    <w:abstractNumId w:val="146"/>
  </w:num>
  <w:num w:numId="74">
    <w:abstractNumId w:val="153"/>
  </w:num>
  <w:num w:numId="75">
    <w:abstractNumId w:val="110"/>
  </w:num>
  <w:num w:numId="76">
    <w:abstractNumId w:val="118"/>
  </w:num>
  <w:num w:numId="77">
    <w:abstractNumId w:val="53"/>
  </w:num>
  <w:num w:numId="78">
    <w:abstractNumId w:val="105"/>
  </w:num>
  <w:num w:numId="79">
    <w:abstractNumId w:val="25"/>
  </w:num>
  <w:num w:numId="80">
    <w:abstractNumId w:val="106"/>
  </w:num>
  <w:num w:numId="81">
    <w:abstractNumId w:val="11"/>
  </w:num>
  <w:num w:numId="82">
    <w:abstractNumId w:val="164"/>
  </w:num>
  <w:num w:numId="83">
    <w:abstractNumId w:val="88"/>
  </w:num>
  <w:num w:numId="84">
    <w:abstractNumId w:val="13"/>
  </w:num>
  <w:num w:numId="85">
    <w:abstractNumId w:val="44"/>
  </w:num>
  <w:num w:numId="86">
    <w:abstractNumId w:val="147"/>
  </w:num>
  <w:num w:numId="87">
    <w:abstractNumId w:val="119"/>
  </w:num>
  <w:num w:numId="88">
    <w:abstractNumId w:val="171"/>
  </w:num>
  <w:num w:numId="89">
    <w:abstractNumId w:val="187"/>
  </w:num>
  <w:num w:numId="90">
    <w:abstractNumId w:val="81"/>
  </w:num>
  <w:num w:numId="91">
    <w:abstractNumId w:val="182"/>
  </w:num>
  <w:num w:numId="92">
    <w:abstractNumId w:val="28"/>
  </w:num>
  <w:num w:numId="93">
    <w:abstractNumId w:val="136"/>
  </w:num>
  <w:num w:numId="94">
    <w:abstractNumId w:val="67"/>
  </w:num>
  <w:num w:numId="95">
    <w:abstractNumId w:val="12"/>
  </w:num>
  <w:num w:numId="96">
    <w:abstractNumId w:val="161"/>
  </w:num>
  <w:num w:numId="97">
    <w:abstractNumId w:val="122"/>
  </w:num>
  <w:num w:numId="98">
    <w:abstractNumId w:val="140"/>
  </w:num>
  <w:num w:numId="99">
    <w:abstractNumId w:val="200"/>
  </w:num>
  <w:num w:numId="100">
    <w:abstractNumId w:val="80"/>
  </w:num>
  <w:num w:numId="101">
    <w:abstractNumId w:val="95"/>
  </w:num>
  <w:num w:numId="102">
    <w:abstractNumId w:val="185"/>
  </w:num>
  <w:num w:numId="103">
    <w:abstractNumId w:val="33"/>
  </w:num>
  <w:num w:numId="104">
    <w:abstractNumId w:val="156"/>
  </w:num>
  <w:num w:numId="105">
    <w:abstractNumId w:val="109"/>
  </w:num>
  <w:num w:numId="106">
    <w:abstractNumId w:val="145"/>
  </w:num>
  <w:num w:numId="107">
    <w:abstractNumId w:val="186"/>
  </w:num>
  <w:num w:numId="108">
    <w:abstractNumId w:val="154"/>
  </w:num>
  <w:num w:numId="109">
    <w:abstractNumId w:val="107"/>
  </w:num>
  <w:num w:numId="110">
    <w:abstractNumId w:val="168"/>
  </w:num>
  <w:num w:numId="111">
    <w:abstractNumId w:val="157"/>
  </w:num>
  <w:num w:numId="112">
    <w:abstractNumId w:val="120"/>
  </w:num>
  <w:num w:numId="113">
    <w:abstractNumId w:val="27"/>
  </w:num>
  <w:num w:numId="114">
    <w:abstractNumId w:val="97"/>
  </w:num>
  <w:num w:numId="115">
    <w:abstractNumId w:val="71"/>
  </w:num>
  <w:num w:numId="116">
    <w:abstractNumId w:val="129"/>
  </w:num>
  <w:num w:numId="117">
    <w:abstractNumId w:val="149"/>
  </w:num>
  <w:num w:numId="118">
    <w:abstractNumId w:val="160"/>
  </w:num>
  <w:num w:numId="119">
    <w:abstractNumId w:val="77"/>
  </w:num>
  <w:num w:numId="120">
    <w:abstractNumId w:val="24"/>
  </w:num>
  <w:num w:numId="121">
    <w:abstractNumId w:val="174"/>
  </w:num>
  <w:num w:numId="122">
    <w:abstractNumId w:val="172"/>
  </w:num>
  <w:num w:numId="123">
    <w:abstractNumId w:val="99"/>
  </w:num>
  <w:num w:numId="124">
    <w:abstractNumId w:val="163"/>
  </w:num>
  <w:num w:numId="125">
    <w:abstractNumId w:val="32"/>
  </w:num>
  <w:num w:numId="126">
    <w:abstractNumId w:val="2"/>
  </w:num>
  <w:num w:numId="127">
    <w:abstractNumId w:val="198"/>
  </w:num>
  <w:num w:numId="128">
    <w:abstractNumId w:val="73"/>
  </w:num>
  <w:num w:numId="129">
    <w:abstractNumId w:val="167"/>
  </w:num>
  <w:num w:numId="130">
    <w:abstractNumId w:val="102"/>
  </w:num>
  <w:num w:numId="131">
    <w:abstractNumId w:val="116"/>
  </w:num>
  <w:num w:numId="132">
    <w:abstractNumId w:val="158"/>
  </w:num>
  <w:num w:numId="133">
    <w:abstractNumId w:val="111"/>
  </w:num>
  <w:num w:numId="134">
    <w:abstractNumId w:val="131"/>
  </w:num>
  <w:num w:numId="135">
    <w:abstractNumId w:val="19"/>
  </w:num>
  <w:num w:numId="136">
    <w:abstractNumId w:val="195"/>
  </w:num>
  <w:num w:numId="137">
    <w:abstractNumId w:val="85"/>
  </w:num>
  <w:num w:numId="138">
    <w:abstractNumId w:val="49"/>
  </w:num>
  <w:num w:numId="139">
    <w:abstractNumId w:val="1"/>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1"/>
  </w:num>
  <w:num w:numId="141">
    <w:abstractNumId w:val="86"/>
  </w:num>
  <w:num w:numId="142">
    <w:abstractNumId w:val="14"/>
  </w:num>
  <w:num w:numId="143">
    <w:abstractNumId w:val="17"/>
  </w:num>
  <w:num w:numId="144">
    <w:abstractNumId w:val="190"/>
  </w:num>
  <w:num w:numId="145">
    <w:abstractNumId w:val="65"/>
  </w:num>
  <w:num w:numId="146">
    <w:abstractNumId w:val="138"/>
  </w:num>
  <w:num w:numId="147">
    <w:abstractNumId w:val="72"/>
  </w:num>
  <w:num w:numId="148">
    <w:abstractNumId w:val="91"/>
  </w:num>
  <w:num w:numId="149">
    <w:abstractNumId w:val="22"/>
  </w:num>
  <w:num w:numId="150">
    <w:abstractNumId w:val="142"/>
  </w:num>
  <w:num w:numId="151">
    <w:abstractNumId w:val="47"/>
  </w:num>
  <w:num w:numId="152">
    <w:abstractNumId w:val="41"/>
  </w:num>
  <w:num w:numId="153">
    <w:abstractNumId w:val="100"/>
  </w:num>
  <w:num w:numId="154">
    <w:abstractNumId w:val="108"/>
  </w:num>
  <w:num w:numId="155">
    <w:abstractNumId w:val="127"/>
  </w:num>
  <w:num w:numId="156">
    <w:abstractNumId w:val="60"/>
  </w:num>
  <w:num w:numId="157">
    <w:abstractNumId w:val="37"/>
  </w:num>
  <w:num w:numId="158">
    <w:abstractNumId w:val="3"/>
  </w:num>
  <w:num w:numId="159">
    <w:abstractNumId w:val="98"/>
  </w:num>
  <w:num w:numId="160">
    <w:abstractNumId w:val="197"/>
  </w:num>
  <w:num w:numId="161">
    <w:abstractNumId w:val="75"/>
  </w:num>
  <w:num w:numId="162">
    <w:abstractNumId w:val="34"/>
  </w:num>
  <w:num w:numId="163">
    <w:abstractNumId w:val="144"/>
  </w:num>
  <w:num w:numId="164">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50"/>
  </w:num>
  <w:num w:numId="166">
    <w:abstractNumId w:val="114"/>
  </w:num>
  <w:num w:numId="167">
    <w:abstractNumId w:val="181"/>
  </w:num>
  <w:num w:numId="168">
    <w:abstractNumId w:val="45"/>
  </w:num>
  <w:num w:numId="169">
    <w:abstractNumId w:val="173"/>
  </w:num>
  <w:num w:numId="170">
    <w:abstractNumId w:val="169"/>
  </w:num>
  <w:num w:numId="171">
    <w:abstractNumId w:val="189"/>
  </w:num>
  <w:num w:numId="172">
    <w:abstractNumId w:val="123"/>
  </w:num>
  <w:num w:numId="173">
    <w:abstractNumId w:val="191"/>
  </w:num>
  <w:num w:numId="174">
    <w:abstractNumId w:val="94"/>
  </w:num>
  <w:num w:numId="175">
    <w:abstractNumId w:val="54"/>
  </w:num>
  <w:num w:numId="176">
    <w:abstractNumId w:val="178"/>
  </w:num>
  <w:num w:numId="177">
    <w:abstractNumId w:val="133"/>
  </w:num>
  <w:num w:numId="178">
    <w:abstractNumId w:val="43"/>
  </w:num>
  <w:num w:numId="179">
    <w:abstractNumId w:val="58"/>
  </w:num>
  <w:num w:numId="180">
    <w:abstractNumId w:val="46"/>
  </w:num>
  <w:num w:numId="181">
    <w:abstractNumId w:val="66"/>
  </w:num>
  <w:num w:numId="182">
    <w:abstractNumId w:val="141"/>
  </w:num>
  <w:num w:numId="183">
    <w:abstractNumId w:val="79"/>
  </w:num>
  <w:num w:numId="184">
    <w:abstractNumId w:val="74"/>
  </w:num>
  <w:num w:numId="185">
    <w:abstractNumId w:val="40"/>
  </w:num>
  <w:num w:numId="186">
    <w:abstractNumId w:val="90"/>
  </w:num>
  <w:num w:numId="187">
    <w:abstractNumId w:val="166"/>
  </w:num>
  <w:num w:numId="188">
    <w:abstractNumId w:val="1"/>
  </w:num>
  <w:num w:numId="189">
    <w:abstractNumId w:val="16"/>
  </w:num>
  <w:num w:numId="190">
    <w:abstractNumId w:val="123"/>
  </w:num>
  <w:num w:numId="191">
    <w:abstractNumId w:val="201"/>
  </w:num>
  <w:num w:numId="192">
    <w:abstractNumId w:val="188"/>
  </w:num>
  <w:num w:numId="193">
    <w:abstractNumId w:val="8"/>
  </w:num>
  <w:num w:numId="194">
    <w:abstractNumId w:val="82"/>
  </w:num>
  <w:num w:numId="195">
    <w:abstractNumId w:val="69"/>
  </w:num>
  <w:num w:numId="196">
    <w:abstractNumId w:val="4"/>
  </w:num>
  <w:num w:numId="197">
    <w:abstractNumId w:val="103"/>
  </w:num>
  <w:num w:numId="19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31"/>
  </w:num>
  <w:num w:numId="200">
    <w:abstractNumId w:val="89"/>
  </w:num>
  <w:num w:numId="201">
    <w:abstractNumId w:val="35"/>
  </w:num>
  <w:num w:numId="202">
    <w:abstractNumId w:val="176"/>
  </w:num>
  <w:num w:numId="203">
    <w:abstractNumId w:val="117"/>
  </w:num>
  <w:num w:numId="204">
    <w:abstractNumId w:val="117"/>
  </w:num>
  <w:num w:numId="205">
    <w:abstractNumId w:val="117"/>
  </w:num>
  <w:num w:numId="206">
    <w:abstractNumId w:val="117"/>
  </w:num>
  <w:num w:numId="207">
    <w:abstractNumId w:val="117"/>
  </w:num>
  <w:num w:numId="208">
    <w:abstractNumId w:val="117"/>
  </w:num>
  <w:num w:numId="209">
    <w:abstractNumId w:val="117"/>
  </w:num>
  <w:num w:numId="210">
    <w:abstractNumId w:val="117"/>
  </w:num>
  <w:num w:numId="211">
    <w:abstractNumId w:val="117"/>
  </w:num>
  <w:num w:numId="212">
    <w:abstractNumId w:val="117"/>
  </w:num>
  <w:num w:numId="213">
    <w:abstractNumId w:val="117"/>
  </w:num>
  <w:num w:numId="214">
    <w:abstractNumId w:val="117"/>
  </w:num>
  <w:num w:numId="215">
    <w:abstractNumId w:val="159"/>
  </w:num>
  <w:num w:numId="216">
    <w:abstractNumId w:val="159"/>
  </w:num>
  <w:num w:numId="217">
    <w:abstractNumId w:val="170"/>
  </w:num>
  <w:num w:numId="218">
    <w:abstractNumId w:val="143"/>
  </w:num>
  <w:num w:numId="219">
    <w:abstractNumId w:val="7"/>
  </w:num>
  <w:num w:numId="220">
    <w:abstractNumId w:val="117"/>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3NTU2Nrc0sDAwMDBX0lEKTi0uzszPAykwrgUA7nNTZSwAAAA="/>
  </w:docVars>
  <w:rsids>
    <w:rsidRoot w:val="004F3A28"/>
    <w:rsid w:val="0000023D"/>
    <w:rsid w:val="00000277"/>
    <w:rsid w:val="00000ED9"/>
    <w:rsid w:val="000011B3"/>
    <w:rsid w:val="00001406"/>
    <w:rsid w:val="0000148F"/>
    <w:rsid w:val="000014B1"/>
    <w:rsid w:val="000014F5"/>
    <w:rsid w:val="00001827"/>
    <w:rsid w:val="00001E2A"/>
    <w:rsid w:val="00001E40"/>
    <w:rsid w:val="00001F29"/>
    <w:rsid w:val="0000204C"/>
    <w:rsid w:val="0000207B"/>
    <w:rsid w:val="0000230A"/>
    <w:rsid w:val="00002318"/>
    <w:rsid w:val="0000257C"/>
    <w:rsid w:val="000027DB"/>
    <w:rsid w:val="00002CF7"/>
    <w:rsid w:val="00003096"/>
    <w:rsid w:val="000031C6"/>
    <w:rsid w:val="00003410"/>
    <w:rsid w:val="00003541"/>
    <w:rsid w:val="00003F3A"/>
    <w:rsid w:val="00003FB1"/>
    <w:rsid w:val="0000452E"/>
    <w:rsid w:val="000047AE"/>
    <w:rsid w:val="00005053"/>
    <w:rsid w:val="000059CF"/>
    <w:rsid w:val="00005A8F"/>
    <w:rsid w:val="00005E03"/>
    <w:rsid w:val="00006278"/>
    <w:rsid w:val="000067D3"/>
    <w:rsid w:val="000068EA"/>
    <w:rsid w:val="000070A2"/>
    <w:rsid w:val="00007376"/>
    <w:rsid w:val="0000754B"/>
    <w:rsid w:val="0000776B"/>
    <w:rsid w:val="000077F7"/>
    <w:rsid w:val="00007F29"/>
    <w:rsid w:val="00010569"/>
    <w:rsid w:val="000106C3"/>
    <w:rsid w:val="000106D1"/>
    <w:rsid w:val="000108C6"/>
    <w:rsid w:val="00010A09"/>
    <w:rsid w:val="00010CC9"/>
    <w:rsid w:val="00010E35"/>
    <w:rsid w:val="000111AC"/>
    <w:rsid w:val="00011231"/>
    <w:rsid w:val="0001130D"/>
    <w:rsid w:val="0001132E"/>
    <w:rsid w:val="00011387"/>
    <w:rsid w:val="0001142E"/>
    <w:rsid w:val="0001146A"/>
    <w:rsid w:val="00011481"/>
    <w:rsid w:val="00011941"/>
    <w:rsid w:val="00011A43"/>
    <w:rsid w:val="00011A7E"/>
    <w:rsid w:val="00011DE7"/>
    <w:rsid w:val="000120B1"/>
    <w:rsid w:val="00012376"/>
    <w:rsid w:val="00012424"/>
    <w:rsid w:val="00012774"/>
    <w:rsid w:val="00012922"/>
    <w:rsid w:val="00012A66"/>
    <w:rsid w:val="00013129"/>
    <w:rsid w:val="00013FA6"/>
    <w:rsid w:val="00013FB6"/>
    <w:rsid w:val="000141F8"/>
    <w:rsid w:val="0001454C"/>
    <w:rsid w:val="00014766"/>
    <w:rsid w:val="000147C5"/>
    <w:rsid w:val="00014908"/>
    <w:rsid w:val="00014A58"/>
    <w:rsid w:val="00014C59"/>
    <w:rsid w:val="000153E7"/>
    <w:rsid w:val="000159FE"/>
    <w:rsid w:val="00015E43"/>
    <w:rsid w:val="00015EA4"/>
    <w:rsid w:val="00015F34"/>
    <w:rsid w:val="00016158"/>
    <w:rsid w:val="000163B3"/>
    <w:rsid w:val="000164F4"/>
    <w:rsid w:val="000167B4"/>
    <w:rsid w:val="00016C34"/>
    <w:rsid w:val="00016E65"/>
    <w:rsid w:val="00016EAF"/>
    <w:rsid w:val="00017200"/>
    <w:rsid w:val="00017261"/>
    <w:rsid w:val="0001742D"/>
    <w:rsid w:val="000176C6"/>
    <w:rsid w:val="00017A19"/>
    <w:rsid w:val="00017F66"/>
    <w:rsid w:val="0002005F"/>
    <w:rsid w:val="00020114"/>
    <w:rsid w:val="000202FF"/>
    <w:rsid w:val="00020377"/>
    <w:rsid w:val="000207B7"/>
    <w:rsid w:val="00020995"/>
    <w:rsid w:val="000216AF"/>
    <w:rsid w:val="000216B9"/>
    <w:rsid w:val="000216F7"/>
    <w:rsid w:val="00021828"/>
    <w:rsid w:val="000219BB"/>
    <w:rsid w:val="00021A99"/>
    <w:rsid w:val="00021CE3"/>
    <w:rsid w:val="00021F11"/>
    <w:rsid w:val="00022444"/>
    <w:rsid w:val="00022B9D"/>
    <w:rsid w:val="00022BB4"/>
    <w:rsid w:val="00022DD1"/>
    <w:rsid w:val="00022FAD"/>
    <w:rsid w:val="0002321F"/>
    <w:rsid w:val="00023A81"/>
    <w:rsid w:val="00023EF6"/>
    <w:rsid w:val="00023FF6"/>
    <w:rsid w:val="000243E2"/>
    <w:rsid w:val="000248B2"/>
    <w:rsid w:val="00024B10"/>
    <w:rsid w:val="00024B99"/>
    <w:rsid w:val="00024EE4"/>
    <w:rsid w:val="00025348"/>
    <w:rsid w:val="00025BC7"/>
    <w:rsid w:val="00025F1F"/>
    <w:rsid w:val="00025F47"/>
    <w:rsid w:val="00025FF4"/>
    <w:rsid w:val="00026134"/>
    <w:rsid w:val="000263E4"/>
    <w:rsid w:val="00026442"/>
    <w:rsid w:val="000266CA"/>
    <w:rsid w:val="00026C9F"/>
    <w:rsid w:val="00026CE1"/>
    <w:rsid w:val="00026D09"/>
    <w:rsid w:val="0002705A"/>
    <w:rsid w:val="00027137"/>
    <w:rsid w:val="0002719B"/>
    <w:rsid w:val="00027289"/>
    <w:rsid w:val="00027456"/>
    <w:rsid w:val="000274F4"/>
    <w:rsid w:val="00027641"/>
    <w:rsid w:val="00027718"/>
    <w:rsid w:val="0003006D"/>
    <w:rsid w:val="00030290"/>
    <w:rsid w:val="0003075C"/>
    <w:rsid w:val="000309E1"/>
    <w:rsid w:val="00030B23"/>
    <w:rsid w:val="00030F4F"/>
    <w:rsid w:val="000312C6"/>
    <w:rsid w:val="000313F2"/>
    <w:rsid w:val="00031660"/>
    <w:rsid w:val="0003168D"/>
    <w:rsid w:val="000316AA"/>
    <w:rsid w:val="00031849"/>
    <w:rsid w:val="000319AB"/>
    <w:rsid w:val="000319D8"/>
    <w:rsid w:val="00031A7D"/>
    <w:rsid w:val="00031B23"/>
    <w:rsid w:val="00031FFD"/>
    <w:rsid w:val="000320EC"/>
    <w:rsid w:val="00032498"/>
    <w:rsid w:val="00032884"/>
    <w:rsid w:val="00032ED1"/>
    <w:rsid w:val="00032FAC"/>
    <w:rsid w:val="000332AF"/>
    <w:rsid w:val="0003349C"/>
    <w:rsid w:val="000335D9"/>
    <w:rsid w:val="000335EA"/>
    <w:rsid w:val="0003374B"/>
    <w:rsid w:val="00033924"/>
    <w:rsid w:val="000343EC"/>
    <w:rsid w:val="0003467D"/>
    <w:rsid w:val="00034B14"/>
    <w:rsid w:val="00035182"/>
    <w:rsid w:val="000351AA"/>
    <w:rsid w:val="00035503"/>
    <w:rsid w:val="00035A61"/>
    <w:rsid w:val="00035AC1"/>
    <w:rsid w:val="00035DBF"/>
    <w:rsid w:val="00035E1B"/>
    <w:rsid w:val="0003617D"/>
    <w:rsid w:val="00036796"/>
    <w:rsid w:val="000368E9"/>
    <w:rsid w:val="00036957"/>
    <w:rsid w:val="00036B61"/>
    <w:rsid w:val="00036DE3"/>
    <w:rsid w:val="00036F3B"/>
    <w:rsid w:val="000371FE"/>
    <w:rsid w:val="00037721"/>
    <w:rsid w:val="000378CA"/>
    <w:rsid w:val="00037917"/>
    <w:rsid w:val="00037A3A"/>
    <w:rsid w:val="00037A45"/>
    <w:rsid w:val="00037CD6"/>
    <w:rsid w:val="00037D74"/>
    <w:rsid w:val="00037E59"/>
    <w:rsid w:val="00040001"/>
    <w:rsid w:val="000403A4"/>
    <w:rsid w:val="0004074F"/>
    <w:rsid w:val="0004084F"/>
    <w:rsid w:val="00040AC5"/>
    <w:rsid w:val="00040E30"/>
    <w:rsid w:val="00040F9F"/>
    <w:rsid w:val="000413D9"/>
    <w:rsid w:val="00041913"/>
    <w:rsid w:val="00041B68"/>
    <w:rsid w:val="00041C90"/>
    <w:rsid w:val="000423F1"/>
    <w:rsid w:val="00043065"/>
    <w:rsid w:val="00043071"/>
    <w:rsid w:val="000430E1"/>
    <w:rsid w:val="00043776"/>
    <w:rsid w:val="0004388C"/>
    <w:rsid w:val="000439E3"/>
    <w:rsid w:val="00043A92"/>
    <w:rsid w:val="00043FAC"/>
    <w:rsid w:val="0004401F"/>
    <w:rsid w:val="0004411E"/>
    <w:rsid w:val="00044355"/>
    <w:rsid w:val="0004446C"/>
    <w:rsid w:val="00044703"/>
    <w:rsid w:val="0004473A"/>
    <w:rsid w:val="00044A42"/>
    <w:rsid w:val="00044FEB"/>
    <w:rsid w:val="00045096"/>
    <w:rsid w:val="00045447"/>
    <w:rsid w:val="000454B0"/>
    <w:rsid w:val="000454FF"/>
    <w:rsid w:val="00045D40"/>
    <w:rsid w:val="00045DC9"/>
    <w:rsid w:val="00046181"/>
    <w:rsid w:val="000471C0"/>
    <w:rsid w:val="0004789C"/>
    <w:rsid w:val="00047A45"/>
    <w:rsid w:val="00047C93"/>
    <w:rsid w:val="00047E9B"/>
    <w:rsid w:val="00050546"/>
    <w:rsid w:val="00050841"/>
    <w:rsid w:val="00050D80"/>
    <w:rsid w:val="000511FC"/>
    <w:rsid w:val="000513F5"/>
    <w:rsid w:val="00051774"/>
    <w:rsid w:val="000518CE"/>
    <w:rsid w:val="00051A87"/>
    <w:rsid w:val="00052316"/>
    <w:rsid w:val="0005240F"/>
    <w:rsid w:val="00052554"/>
    <w:rsid w:val="00052B25"/>
    <w:rsid w:val="00053062"/>
    <w:rsid w:val="0005311F"/>
    <w:rsid w:val="000532CE"/>
    <w:rsid w:val="000534DC"/>
    <w:rsid w:val="000536EE"/>
    <w:rsid w:val="000537EF"/>
    <w:rsid w:val="00053BEA"/>
    <w:rsid w:val="00053E74"/>
    <w:rsid w:val="00053FE6"/>
    <w:rsid w:val="00054006"/>
    <w:rsid w:val="000541FE"/>
    <w:rsid w:val="000543EF"/>
    <w:rsid w:val="0005442B"/>
    <w:rsid w:val="000549F4"/>
    <w:rsid w:val="00054B12"/>
    <w:rsid w:val="00054C8E"/>
    <w:rsid w:val="00054E84"/>
    <w:rsid w:val="000550E6"/>
    <w:rsid w:val="000551F0"/>
    <w:rsid w:val="00055296"/>
    <w:rsid w:val="00055AC5"/>
    <w:rsid w:val="00055B0D"/>
    <w:rsid w:val="00055ECC"/>
    <w:rsid w:val="00056141"/>
    <w:rsid w:val="00056238"/>
    <w:rsid w:val="000563F4"/>
    <w:rsid w:val="00056691"/>
    <w:rsid w:val="00056885"/>
    <w:rsid w:val="00056E05"/>
    <w:rsid w:val="00057752"/>
    <w:rsid w:val="00057C54"/>
    <w:rsid w:val="00057E1E"/>
    <w:rsid w:val="000606C7"/>
    <w:rsid w:val="000607BE"/>
    <w:rsid w:val="0006098F"/>
    <w:rsid w:val="0006100C"/>
    <w:rsid w:val="00061053"/>
    <w:rsid w:val="00061387"/>
    <w:rsid w:val="000619BE"/>
    <w:rsid w:val="00061B9F"/>
    <w:rsid w:val="00062070"/>
    <w:rsid w:val="0006236E"/>
    <w:rsid w:val="0006257C"/>
    <w:rsid w:val="0006258A"/>
    <w:rsid w:val="00062758"/>
    <w:rsid w:val="00062B7E"/>
    <w:rsid w:val="00062D1F"/>
    <w:rsid w:val="00062F76"/>
    <w:rsid w:val="000633C9"/>
    <w:rsid w:val="0006342B"/>
    <w:rsid w:val="00063A75"/>
    <w:rsid w:val="00063AAD"/>
    <w:rsid w:val="00063B27"/>
    <w:rsid w:val="00063DA6"/>
    <w:rsid w:val="00063F5A"/>
    <w:rsid w:val="00064617"/>
    <w:rsid w:val="000648C3"/>
    <w:rsid w:val="000648FE"/>
    <w:rsid w:val="00064A9D"/>
    <w:rsid w:val="00064D4D"/>
    <w:rsid w:val="00065363"/>
    <w:rsid w:val="00065633"/>
    <w:rsid w:val="00065B53"/>
    <w:rsid w:val="0006620D"/>
    <w:rsid w:val="000663E8"/>
    <w:rsid w:val="00066939"/>
    <w:rsid w:val="0006695E"/>
    <w:rsid w:val="00066C05"/>
    <w:rsid w:val="00067112"/>
    <w:rsid w:val="00067469"/>
    <w:rsid w:val="00067600"/>
    <w:rsid w:val="000676A2"/>
    <w:rsid w:val="0006789C"/>
    <w:rsid w:val="000678D9"/>
    <w:rsid w:val="0006797B"/>
    <w:rsid w:val="00067A00"/>
    <w:rsid w:val="00067F8B"/>
    <w:rsid w:val="00067F92"/>
    <w:rsid w:val="000705E6"/>
    <w:rsid w:val="00070A80"/>
    <w:rsid w:val="00070C58"/>
    <w:rsid w:val="00070D63"/>
    <w:rsid w:val="00071067"/>
    <w:rsid w:val="00071089"/>
    <w:rsid w:val="0007114E"/>
    <w:rsid w:val="00071217"/>
    <w:rsid w:val="000712E9"/>
    <w:rsid w:val="000714F9"/>
    <w:rsid w:val="000718D2"/>
    <w:rsid w:val="00071E57"/>
    <w:rsid w:val="00071F25"/>
    <w:rsid w:val="00072C65"/>
    <w:rsid w:val="000730E6"/>
    <w:rsid w:val="000730E8"/>
    <w:rsid w:val="000733EE"/>
    <w:rsid w:val="00073E6B"/>
    <w:rsid w:val="00073EA7"/>
    <w:rsid w:val="00073EFE"/>
    <w:rsid w:val="00073F5F"/>
    <w:rsid w:val="000742A5"/>
    <w:rsid w:val="00074617"/>
    <w:rsid w:val="00074770"/>
    <w:rsid w:val="000748D6"/>
    <w:rsid w:val="00074F2A"/>
    <w:rsid w:val="000753D7"/>
    <w:rsid w:val="00075410"/>
    <w:rsid w:val="000755D8"/>
    <w:rsid w:val="00075696"/>
    <w:rsid w:val="00075728"/>
    <w:rsid w:val="0007578F"/>
    <w:rsid w:val="0007596C"/>
    <w:rsid w:val="00075A90"/>
    <w:rsid w:val="00075D13"/>
    <w:rsid w:val="00075E06"/>
    <w:rsid w:val="0007643D"/>
    <w:rsid w:val="0007664C"/>
    <w:rsid w:val="0007675E"/>
    <w:rsid w:val="00076A93"/>
    <w:rsid w:val="00076A96"/>
    <w:rsid w:val="00076B1B"/>
    <w:rsid w:val="00076C18"/>
    <w:rsid w:val="00076C26"/>
    <w:rsid w:val="00077097"/>
    <w:rsid w:val="000772F4"/>
    <w:rsid w:val="00077310"/>
    <w:rsid w:val="0007762D"/>
    <w:rsid w:val="0007764C"/>
    <w:rsid w:val="000777E0"/>
    <w:rsid w:val="00077BC0"/>
    <w:rsid w:val="00077C68"/>
    <w:rsid w:val="00077DBC"/>
    <w:rsid w:val="0008020B"/>
    <w:rsid w:val="000802A1"/>
    <w:rsid w:val="000803A4"/>
    <w:rsid w:val="00080924"/>
    <w:rsid w:val="000810A2"/>
    <w:rsid w:val="0008118B"/>
    <w:rsid w:val="000814D0"/>
    <w:rsid w:val="00081C38"/>
    <w:rsid w:val="00081D78"/>
    <w:rsid w:val="000824A0"/>
    <w:rsid w:val="00082844"/>
    <w:rsid w:val="00082D74"/>
    <w:rsid w:val="00082DB1"/>
    <w:rsid w:val="00082FFB"/>
    <w:rsid w:val="0008303D"/>
    <w:rsid w:val="0008317D"/>
    <w:rsid w:val="0008330C"/>
    <w:rsid w:val="000834AF"/>
    <w:rsid w:val="0008371A"/>
    <w:rsid w:val="0008379A"/>
    <w:rsid w:val="00083BD2"/>
    <w:rsid w:val="00083CF9"/>
    <w:rsid w:val="00084115"/>
    <w:rsid w:val="0008412A"/>
    <w:rsid w:val="000842D5"/>
    <w:rsid w:val="00084371"/>
    <w:rsid w:val="00084428"/>
    <w:rsid w:val="000844E1"/>
    <w:rsid w:val="000846A0"/>
    <w:rsid w:val="000848AB"/>
    <w:rsid w:val="00084B1B"/>
    <w:rsid w:val="00084BB2"/>
    <w:rsid w:val="00084D84"/>
    <w:rsid w:val="00085266"/>
    <w:rsid w:val="000853B3"/>
    <w:rsid w:val="00085A91"/>
    <w:rsid w:val="000860D8"/>
    <w:rsid w:val="000862AE"/>
    <w:rsid w:val="00086458"/>
    <w:rsid w:val="0008646B"/>
    <w:rsid w:val="000867EE"/>
    <w:rsid w:val="00086AF1"/>
    <w:rsid w:val="00086BAF"/>
    <w:rsid w:val="00086C0C"/>
    <w:rsid w:val="00086F16"/>
    <w:rsid w:val="0008760A"/>
    <w:rsid w:val="0008762A"/>
    <w:rsid w:val="00087BC6"/>
    <w:rsid w:val="00087BCF"/>
    <w:rsid w:val="00087E60"/>
    <w:rsid w:val="000900C9"/>
    <w:rsid w:val="00090544"/>
    <w:rsid w:val="00090CBE"/>
    <w:rsid w:val="00090D53"/>
    <w:rsid w:val="00090FD0"/>
    <w:rsid w:val="0009138E"/>
    <w:rsid w:val="000915EB"/>
    <w:rsid w:val="000917B7"/>
    <w:rsid w:val="00091B50"/>
    <w:rsid w:val="00091C84"/>
    <w:rsid w:val="00091F51"/>
    <w:rsid w:val="00092586"/>
    <w:rsid w:val="000927CB"/>
    <w:rsid w:val="000929EB"/>
    <w:rsid w:val="00092E4F"/>
    <w:rsid w:val="00092F95"/>
    <w:rsid w:val="00093312"/>
    <w:rsid w:val="00093C7E"/>
    <w:rsid w:val="00093FD6"/>
    <w:rsid w:val="00094013"/>
    <w:rsid w:val="0009441E"/>
    <w:rsid w:val="00094C75"/>
    <w:rsid w:val="00094C9C"/>
    <w:rsid w:val="00094EFC"/>
    <w:rsid w:val="00094F48"/>
    <w:rsid w:val="000951AD"/>
    <w:rsid w:val="0009532A"/>
    <w:rsid w:val="00095487"/>
    <w:rsid w:val="000955D7"/>
    <w:rsid w:val="00095B39"/>
    <w:rsid w:val="00095D5F"/>
    <w:rsid w:val="00095E25"/>
    <w:rsid w:val="00095EFF"/>
    <w:rsid w:val="00095F18"/>
    <w:rsid w:val="000965E9"/>
    <w:rsid w:val="00096688"/>
    <w:rsid w:val="000966D7"/>
    <w:rsid w:val="0009673F"/>
    <w:rsid w:val="000969D2"/>
    <w:rsid w:val="000969FF"/>
    <w:rsid w:val="00096C06"/>
    <w:rsid w:val="00096CA9"/>
    <w:rsid w:val="0009710F"/>
    <w:rsid w:val="00097149"/>
    <w:rsid w:val="0009729E"/>
    <w:rsid w:val="000A056E"/>
    <w:rsid w:val="000A0D3E"/>
    <w:rsid w:val="000A0F29"/>
    <w:rsid w:val="000A0FD0"/>
    <w:rsid w:val="000A105E"/>
    <w:rsid w:val="000A16B3"/>
    <w:rsid w:val="000A16DF"/>
    <w:rsid w:val="000A17AE"/>
    <w:rsid w:val="000A191C"/>
    <w:rsid w:val="000A1AD1"/>
    <w:rsid w:val="000A1F5B"/>
    <w:rsid w:val="000A2155"/>
    <w:rsid w:val="000A2287"/>
    <w:rsid w:val="000A23D0"/>
    <w:rsid w:val="000A2586"/>
    <w:rsid w:val="000A25FB"/>
    <w:rsid w:val="000A26A2"/>
    <w:rsid w:val="000A271F"/>
    <w:rsid w:val="000A28E5"/>
    <w:rsid w:val="000A29F7"/>
    <w:rsid w:val="000A2DD0"/>
    <w:rsid w:val="000A2DE6"/>
    <w:rsid w:val="000A307E"/>
    <w:rsid w:val="000A31F1"/>
    <w:rsid w:val="000A320F"/>
    <w:rsid w:val="000A32C7"/>
    <w:rsid w:val="000A36E4"/>
    <w:rsid w:val="000A3740"/>
    <w:rsid w:val="000A3940"/>
    <w:rsid w:val="000A3B53"/>
    <w:rsid w:val="000A3B8C"/>
    <w:rsid w:val="000A4105"/>
    <w:rsid w:val="000A4125"/>
    <w:rsid w:val="000A4285"/>
    <w:rsid w:val="000A45E4"/>
    <w:rsid w:val="000A49B2"/>
    <w:rsid w:val="000A4E00"/>
    <w:rsid w:val="000A518B"/>
    <w:rsid w:val="000A5226"/>
    <w:rsid w:val="000A5436"/>
    <w:rsid w:val="000A54C0"/>
    <w:rsid w:val="000A562D"/>
    <w:rsid w:val="000A5AAF"/>
    <w:rsid w:val="000A5BF5"/>
    <w:rsid w:val="000A65AC"/>
    <w:rsid w:val="000A6716"/>
    <w:rsid w:val="000A677D"/>
    <w:rsid w:val="000A7318"/>
    <w:rsid w:val="000A73CB"/>
    <w:rsid w:val="000A74D9"/>
    <w:rsid w:val="000A7B2E"/>
    <w:rsid w:val="000A7D53"/>
    <w:rsid w:val="000B0173"/>
    <w:rsid w:val="000B0417"/>
    <w:rsid w:val="000B0BB7"/>
    <w:rsid w:val="000B0C05"/>
    <w:rsid w:val="000B0EDF"/>
    <w:rsid w:val="000B1353"/>
    <w:rsid w:val="000B13AC"/>
    <w:rsid w:val="000B149D"/>
    <w:rsid w:val="000B19BB"/>
    <w:rsid w:val="000B1B6C"/>
    <w:rsid w:val="000B1C1B"/>
    <w:rsid w:val="000B1DFE"/>
    <w:rsid w:val="000B1E58"/>
    <w:rsid w:val="000B2199"/>
    <w:rsid w:val="000B2393"/>
    <w:rsid w:val="000B2A66"/>
    <w:rsid w:val="000B2B5A"/>
    <w:rsid w:val="000B2B63"/>
    <w:rsid w:val="000B2BB2"/>
    <w:rsid w:val="000B30AD"/>
    <w:rsid w:val="000B3333"/>
    <w:rsid w:val="000B3E43"/>
    <w:rsid w:val="000B40E0"/>
    <w:rsid w:val="000B4101"/>
    <w:rsid w:val="000B42B7"/>
    <w:rsid w:val="000B45E6"/>
    <w:rsid w:val="000B4716"/>
    <w:rsid w:val="000B4776"/>
    <w:rsid w:val="000B498B"/>
    <w:rsid w:val="000B4C7C"/>
    <w:rsid w:val="000B4F3C"/>
    <w:rsid w:val="000B5995"/>
    <w:rsid w:val="000B5ABD"/>
    <w:rsid w:val="000B5C0C"/>
    <w:rsid w:val="000B5D8F"/>
    <w:rsid w:val="000B6133"/>
    <w:rsid w:val="000B66E0"/>
    <w:rsid w:val="000B67B2"/>
    <w:rsid w:val="000B692D"/>
    <w:rsid w:val="000B7183"/>
    <w:rsid w:val="000B721D"/>
    <w:rsid w:val="000B7271"/>
    <w:rsid w:val="000B72EC"/>
    <w:rsid w:val="000B7E66"/>
    <w:rsid w:val="000B7F2F"/>
    <w:rsid w:val="000C0072"/>
    <w:rsid w:val="000C069F"/>
    <w:rsid w:val="000C0770"/>
    <w:rsid w:val="000C077E"/>
    <w:rsid w:val="000C0E76"/>
    <w:rsid w:val="000C102E"/>
    <w:rsid w:val="000C111C"/>
    <w:rsid w:val="000C14E6"/>
    <w:rsid w:val="000C1573"/>
    <w:rsid w:val="000C1B82"/>
    <w:rsid w:val="000C1C30"/>
    <w:rsid w:val="000C1E2C"/>
    <w:rsid w:val="000C1FD3"/>
    <w:rsid w:val="000C2296"/>
    <w:rsid w:val="000C2374"/>
    <w:rsid w:val="000C256F"/>
    <w:rsid w:val="000C28A1"/>
    <w:rsid w:val="000C295A"/>
    <w:rsid w:val="000C320A"/>
    <w:rsid w:val="000C3535"/>
    <w:rsid w:val="000C3558"/>
    <w:rsid w:val="000C37ED"/>
    <w:rsid w:val="000C3852"/>
    <w:rsid w:val="000C3C07"/>
    <w:rsid w:val="000C3E6A"/>
    <w:rsid w:val="000C4752"/>
    <w:rsid w:val="000C49A0"/>
    <w:rsid w:val="000C4C5B"/>
    <w:rsid w:val="000C50F6"/>
    <w:rsid w:val="000C513D"/>
    <w:rsid w:val="000C5280"/>
    <w:rsid w:val="000C528F"/>
    <w:rsid w:val="000C59DD"/>
    <w:rsid w:val="000C5B3F"/>
    <w:rsid w:val="000C6155"/>
    <w:rsid w:val="000C66F8"/>
    <w:rsid w:val="000C673B"/>
    <w:rsid w:val="000C684E"/>
    <w:rsid w:val="000C6953"/>
    <w:rsid w:val="000C695A"/>
    <w:rsid w:val="000C70D9"/>
    <w:rsid w:val="000C7169"/>
    <w:rsid w:val="000C7175"/>
    <w:rsid w:val="000C73F3"/>
    <w:rsid w:val="000C7442"/>
    <w:rsid w:val="000C76EA"/>
    <w:rsid w:val="000C774F"/>
    <w:rsid w:val="000C7B57"/>
    <w:rsid w:val="000C7E74"/>
    <w:rsid w:val="000C7EEA"/>
    <w:rsid w:val="000C7F6F"/>
    <w:rsid w:val="000D02F0"/>
    <w:rsid w:val="000D0AFD"/>
    <w:rsid w:val="000D0F5F"/>
    <w:rsid w:val="000D1082"/>
    <w:rsid w:val="000D1292"/>
    <w:rsid w:val="000D149A"/>
    <w:rsid w:val="000D1F8F"/>
    <w:rsid w:val="000D2079"/>
    <w:rsid w:val="000D298C"/>
    <w:rsid w:val="000D2EF1"/>
    <w:rsid w:val="000D32F5"/>
    <w:rsid w:val="000D3844"/>
    <w:rsid w:val="000D3D6F"/>
    <w:rsid w:val="000D3E2F"/>
    <w:rsid w:val="000D451D"/>
    <w:rsid w:val="000D45A8"/>
    <w:rsid w:val="000D476A"/>
    <w:rsid w:val="000D4AAF"/>
    <w:rsid w:val="000D4C3E"/>
    <w:rsid w:val="000D4ED8"/>
    <w:rsid w:val="000D5594"/>
    <w:rsid w:val="000D5A6D"/>
    <w:rsid w:val="000D5AC8"/>
    <w:rsid w:val="000D5BE2"/>
    <w:rsid w:val="000D5BF0"/>
    <w:rsid w:val="000D5F3E"/>
    <w:rsid w:val="000D5FF7"/>
    <w:rsid w:val="000D62BE"/>
    <w:rsid w:val="000D669A"/>
    <w:rsid w:val="000D6765"/>
    <w:rsid w:val="000D6826"/>
    <w:rsid w:val="000D6889"/>
    <w:rsid w:val="000D6948"/>
    <w:rsid w:val="000D6C25"/>
    <w:rsid w:val="000D6E67"/>
    <w:rsid w:val="000D70F5"/>
    <w:rsid w:val="000D751A"/>
    <w:rsid w:val="000D77B7"/>
    <w:rsid w:val="000D7A33"/>
    <w:rsid w:val="000D7C95"/>
    <w:rsid w:val="000D7D01"/>
    <w:rsid w:val="000D7F6D"/>
    <w:rsid w:val="000E0193"/>
    <w:rsid w:val="000E0449"/>
    <w:rsid w:val="000E050F"/>
    <w:rsid w:val="000E0D4C"/>
    <w:rsid w:val="000E10FD"/>
    <w:rsid w:val="000E139E"/>
    <w:rsid w:val="000E173A"/>
    <w:rsid w:val="000E1859"/>
    <w:rsid w:val="000E19B5"/>
    <w:rsid w:val="000E1B9B"/>
    <w:rsid w:val="000E1EA9"/>
    <w:rsid w:val="000E2211"/>
    <w:rsid w:val="000E25AF"/>
    <w:rsid w:val="000E2A32"/>
    <w:rsid w:val="000E3213"/>
    <w:rsid w:val="000E3597"/>
    <w:rsid w:val="000E35A3"/>
    <w:rsid w:val="000E388C"/>
    <w:rsid w:val="000E3ED8"/>
    <w:rsid w:val="000E4123"/>
    <w:rsid w:val="000E421C"/>
    <w:rsid w:val="000E44EF"/>
    <w:rsid w:val="000E4504"/>
    <w:rsid w:val="000E4B09"/>
    <w:rsid w:val="000E4E21"/>
    <w:rsid w:val="000E5185"/>
    <w:rsid w:val="000E51D5"/>
    <w:rsid w:val="000E5255"/>
    <w:rsid w:val="000E53C6"/>
    <w:rsid w:val="000E542F"/>
    <w:rsid w:val="000E5433"/>
    <w:rsid w:val="000E56F3"/>
    <w:rsid w:val="000E57BE"/>
    <w:rsid w:val="000E599E"/>
    <w:rsid w:val="000E5F5D"/>
    <w:rsid w:val="000E6186"/>
    <w:rsid w:val="000E649C"/>
    <w:rsid w:val="000E686A"/>
    <w:rsid w:val="000E6B3D"/>
    <w:rsid w:val="000E6C65"/>
    <w:rsid w:val="000E73A5"/>
    <w:rsid w:val="000E75AB"/>
    <w:rsid w:val="000E7717"/>
    <w:rsid w:val="000E7CF8"/>
    <w:rsid w:val="000E7EEB"/>
    <w:rsid w:val="000F06D7"/>
    <w:rsid w:val="000F0710"/>
    <w:rsid w:val="000F089F"/>
    <w:rsid w:val="000F08A0"/>
    <w:rsid w:val="000F0A47"/>
    <w:rsid w:val="000F1271"/>
    <w:rsid w:val="000F14DA"/>
    <w:rsid w:val="000F1565"/>
    <w:rsid w:val="000F166F"/>
    <w:rsid w:val="000F1725"/>
    <w:rsid w:val="000F1D41"/>
    <w:rsid w:val="000F20DB"/>
    <w:rsid w:val="000F2495"/>
    <w:rsid w:val="000F2B87"/>
    <w:rsid w:val="000F2ED0"/>
    <w:rsid w:val="000F35DC"/>
    <w:rsid w:val="000F3888"/>
    <w:rsid w:val="000F3ACF"/>
    <w:rsid w:val="000F3CA4"/>
    <w:rsid w:val="000F3E3F"/>
    <w:rsid w:val="000F3E6B"/>
    <w:rsid w:val="000F3F34"/>
    <w:rsid w:val="000F4118"/>
    <w:rsid w:val="000F432B"/>
    <w:rsid w:val="000F434A"/>
    <w:rsid w:val="000F438C"/>
    <w:rsid w:val="000F48C2"/>
    <w:rsid w:val="000F49E3"/>
    <w:rsid w:val="000F50F3"/>
    <w:rsid w:val="000F5142"/>
    <w:rsid w:val="000F52E8"/>
    <w:rsid w:val="000F5384"/>
    <w:rsid w:val="000F53E5"/>
    <w:rsid w:val="000F55C8"/>
    <w:rsid w:val="000F57D5"/>
    <w:rsid w:val="000F5B87"/>
    <w:rsid w:val="000F5BC8"/>
    <w:rsid w:val="000F5CBD"/>
    <w:rsid w:val="000F5EC5"/>
    <w:rsid w:val="000F6383"/>
    <w:rsid w:val="000F63DF"/>
    <w:rsid w:val="000F6650"/>
    <w:rsid w:val="000F671F"/>
    <w:rsid w:val="000F6D47"/>
    <w:rsid w:val="000F6D68"/>
    <w:rsid w:val="000F6FAD"/>
    <w:rsid w:val="000F7423"/>
    <w:rsid w:val="000F7843"/>
    <w:rsid w:val="000F7875"/>
    <w:rsid w:val="000F78DA"/>
    <w:rsid w:val="000F7CF9"/>
    <w:rsid w:val="00100375"/>
    <w:rsid w:val="0010039E"/>
    <w:rsid w:val="001007E5"/>
    <w:rsid w:val="001009B7"/>
    <w:rsid w:val="00100A67"/>
    <w:rsid w:val="00100B3C"/>
    <w:rsid w:val="0010108E"/>
    <w:rsid w:val="00101813"/>
    <w:rsid w:val="00101842"/>
    <w:rsid w:val="00101C7A"/>
    <w:rsid w:val="00101E32"/>
    <w:rsid w:val="001023F5"/>
    <w:rsid w:val="001025A9"/>
    <w:rsid w:val="00102B10"/>
    <w:rsid w:val="00102C62"/>
    <w:rsid w:val="00102D38"/>
    <w:rsid w:val="00102F55"/>
    <w:rsid w:val="00103202"/>
    <w:rsid w:val="00103229"/>
    <w:rsid w:val="001039AF"/>
    <w:rsid w:val="00103B73"/>
    <w:rsid w:val="00103C42"/>
    <w:rsid w:val="00103C9D"/>
    <w:rsid w:val="001041D6"/>
    <w:rsid w:val="001041E5"/>
    <w:rsid w:val="001048A0"/>
    <w:rsid w:val="001048B2"/>
    <w:rsid w:val="00104B27"/>
    <w:rsid w:val="00104C53"/>
    <w:rsid w:val="00104F15"/>
    <w:rsid w:val="001051A1"/>
    <w:rsid w:val="001052C8"/>
    <w:rsid w:val="001053D7"/>
    <w:rsid w:val="001056A2"/>
    <w:rsid w:val="00105991"/>
    <w:rsid w:val="00105992"/>
    <w:rsid w:val="00105BA6"/>
    <w:rsid w:val="00105C28"/>
    <w:rsid w:val="00105DC4"/>
    <w:rsid w:val="00105DE0"/>
    <w:rsid w:val="00105FDE"/>
    <w:rsid w:val="001061D6"/>
    <w:rsid w:val="001062D3"/>
    <w:rsid w:val="00106642"/>
    <w:rsid w:val="00106A17"/>
    <w:rsid w:val="00106E3E"/>
    <w:rsid w:val="00106E76"/>
    <w:rsid w:val="001070B4"/>
    <w:rsid w:val="00107581"/>
    <w:rsid w:val="0010781D"/>
    <w:rsid w:val="00107C83"/>
    <w:rsid w:val="00107CFB"/>
    <w:rsid w:val="0011050D"/>
    <w:rsid w:val="001107FB"/>
    <w:rsid w:val="00110CB8"/>
    <w:rsid w:val="00110D93"/>
    <w:rsid w:val="00110F1B"/>
    <w:rsid w:val="001110F5"/>
    <w:rsid w:val="001113F5"/>
    <w:rsid w:val="00111950"/>
    <w:rsid w:val="00111AF3"/>
    <w:rsid w:val="00111CD4"/>
    <w:rsid w:val="00111D86"/>
    <w:rsid w:val="001122C4"/>
    <w:rsid w:val="001122D3"/>
    <w:rsid w:val="001122DC"/>
    <w:rsid w:val="0011241E"/>
    <w:rsid w:val="00112460"/>
    <w:rsid w:val="001124C3"/>
    <w:rsid w:val="001124E2"/>
    <w:rsid w:val="001125D6"/>
    <w:rsid w:val="001126CD"/>
    <w:rsid w:val="00112786"/>
    <w:rsid w:val="001127EC"/>
    <w:rsid w:val="001127F5"/>
    <w:rsid w:val="001128BF"/>
    <w:rsid w:val="00112C94"/>
    <w:rsid w:val="00112F57"/>
    <w:rsid w:val="00113619"/>
    <w:rsid w:val="001136FC"/>
    <w:rsid w:val="00113820"/>
    <w:rsid w:val="001138AC"/>
    <w:rsid w:val="00113C47"/>
    <w:rsid w:val="00114137"/>
    <w:rsid w:val="00114298"/>
    <w:rsid w:val="00114642"/>
    <w:rsid w:val="001146D9"/>
    <w:rsid w:val="00114865"/>
    <w:rsid w:val="00114971"/>
    <w:rsid w:val="00114C02"/>
    <w:rsid w:val="00114C14"/>
    <w:rsid w:val="00114CC9"/>
    <w:rsid w:val="00114D95"/>
    <w:rsid w:val="001156CD"/>
    <w:rsid w:val="00115883"/>
    <w:rsid w:val="00115943"/>
    <w:rsid w:val="00115A42"/>
    <w:rsid w:val="00115DF5"/>
    <w:rsid w:val="001160CE"/>
    <w:rsid w:val="00116118"/>
    <w:rsid w:val="00116452"/>
    <w:rsid w:val="00116B73"/>
    <w:rsid w:val="00116C65"/>
    <w:rsid w:val="00116D20"/>
    <w:rsid w:val="0011723E"/>
    <w:rsid w:val="00117631"/>
    <w:rsid w:val="001178B3"/>
    <w:rsid w:val="001179C4"/>
    <w:rsid w:val="00117D07"/>
    <w:rsid w:val="00117F56"/>
    <w:rsid w:val="00120171"/>
    <w:rsid w:val="00120704"/>
    <w:rsid w:val="00120A5C"/>
    <w:rsid w:val="00120E16"/>
    <w:rsid w:val="00120E5A"/>
    <w:rsid w:val="00121D37"/>
    <w:rsid w:val="00121E8B"/>
    <w:rsid w:val="00121ED0"/>
    <w:rsid w:val="001220FB"/>
    <w:rsid w:val="00122137"/>
    <w:rsid w:val="001224AA"/>
    <w:rsid w:val="00122B6E"/>
    <w:rsid w:val="00122CFA"/>
    <w:rsid w:val="00123085"/>
    <w:rsid w:val="00123EF9"/>
    <w:rsid w:val="00124149"/>
    <w:rsid w:val="00124BA0"/>
    <w:rsid w:val="00124DB7"/>
    <w:rsid w:val="00125A08"/>
    <w:rsid w:val="00125E64"/>
    <w:rsid w:val="00125EAC"/>
    <w:rsid w:val="001261CE"/>
    <w:rsid w:val="0012660C"/>
    <w:rsid w:val="0012683F"/>
    <w:rsid w:val="00126BF5"/>
    <w:rsid w:val="00126D81"/>
    <w:rsid w:val="00127901"/>
    <w:rsid w:val="00127A56"/>
    <w:rsid w:val="0013022D"/>
    <w:rsid w:val="00130485"/>
    <w:rsid w:val="001306FE"/>
    <w:rsid w:val="0013088D"/>
    <w:rsid w:val="00130B00"/>
    <w:rsid w:val="00130D55"/>
    <w:rsid w:val="00130F71"/>
    <w:rsid w:val="001314E0"/>
    <w:rsid w:val="001316DB"/>
    <w:rsid w:val="00131E6F"/>
    <w:rsid w:val="001325AD"/>
    <w:rsid w:val="001325AF"/>
    <w:rsid w:val="00132629"/>
    <w:rsid w:val="00132718"/>
    <w:rsid w:val="0013276C"/>
    <w:rsid w:val="00132E7E"/>
    <w:rsid w:val="001333A9"/>
    <w:rsid w:val="001337B1"/>
    <w:rsid w:val="001339D3"/>
    <w:rsid w:val="00133ED7"/>
    <w:rsid w:val="00134032"/>
    <w:rsid w:val="001343C9"/>
    <w:rsid w:val="001343E6"/>
    <w:rsid w:val="001343FC"/>
    <w:rsid w:val="0013468F"/>
    <w:rsid w:val="0013530C"/>
    <w:rsid w:val="0013574C"/>
    <w:rsid w:val="00135CCA"/>
    <w:rsid w:val="00135FEB"/>
    <w:rsid w:val="00136215"/>
    <w:rsid w:val="00136297"/>
    <w:rsid w:val="001365A4"/>
    <w:rsid w:val="0013698B"/>
    <w:rsid w:val="00136B81"/>
    <w:rsid w:val="00137131"/>
    <w:rsid w:val="001373B4"/>
    <w:rsid w:val="001374C5"/>
    <w:rsid w:val="0013776A"/>
    <w:rsid w:val="00137E72"/>
    <w:rsid w:val="00140086"/>
    <w:rsid w:val="001401D8"/>
    <w:rsid w:val="00140681"/>
    <w:rsid w:val="00140870"/>
    <w:rsid w:val="00140E89"/>
    <w:rsid w:val="00140FC5"/>
    <w:rsid w:val="00141075"/>
    <w:rsid w:val="001410E3"/>
    <w:rsid w:val="0014112F"/>
    <w:rsid w:val="001412EA"/>
    <w:rsid w:val="001413C1"/>
    <w:rsid w:val="00141571"/>
    <w:rsid w:val="0014193F"/>
    <w:rsid w:val="00141958"/>
    <w:rsid w:val="00141C02"/>
    <w:rsid w:val="00141EB8"/>
    <w:rsid w:val="00141F70"/>
    <w:rsid w:val="00142190"/>
    <w:rsid w:val="001421E1"/>
    <w:rsid w:val="00142302"/>
    <w:rsid w:val="00142648"/>
    <w:rsid w:val="00142B10"/>
    <w:rsid w:val="00142C4D"/>
    <w:rsid w:val="00142C61"/>
    <w:rsid w:val="00142CF3"/>
    <w:rsid w:val="00142FA7"/>
    <w:rsid w:val="001430AD"/>
    <w:rsid w:val="001434F1"/>
    <w:rsid w:val="00143803"/>
    <w:rsid w:val="00144025"/>
    <w:rsid w:val="001441A9"/>
    <w:rsid w:val="001446D5"/>
    <w:rsid w:val="001448C1"/>
    <w:rsid w:val="00144AD7"/>
    <w:rsid w:val="00144CD4"/>
    <w:rsid w:val="00144E64"/>
    <w:rsid w:val="00145297"/>
    <w:rsid w:val="001453DC"/>
    <w:rsid w:val="0014578E"/>
    <w:rsid w:val="001458E9"/>
    <w:rsid w:val="00145C49"/>
    <w:rsid w:val="00145D6A"/>
    <w:rsid w:val="00145E87"/>
    <w:rsid w:val="001460A4"/>
    <w:rsid w:val="001460B6"/>
    <w:rsid w:val="00146180"/>
    <w:rsid w:val="001468EC"/>
    <w:rsid w:val="00147236"/>
    <w:rsid w:val="0014727D"/>
    <w:rsid w:val="0014735E"/>
    <w:rsid w:val="001474EE"/>
    <w:rsid w:val="001479D8"/>
    <w:rsid w:val="00147ABF"/>
    <w:rsid w:val="00147C97"/>
    <w:rsid w:val="00147DB0"/>
    <w:rsid w:val="00147E95"/>
    <w:rsid w:val="00147F81"/>
    <w:rsid w:val="001505FB"/>
    <w:rsid w:val="001507E4"/>
    <w:rsid w:val="00150960"/>
    <w:rsid w:val="00150C91"/>
    <w:rsid w:val="00151289"/>
    <w:rsid w:val="0015128F"/>
    <w:rsid w:val="001519CB"/>
    <w:rsid w:val="00151E46"/>
    <w:rsid w:val="00152570"/>
    <w:rsid w:val="00152B6C"/>
    <w:rsid w:val="00152FDA"/>
    <w:rsid w:val="00153049"/>
    <w:rsid w:val="0015378F"/>
    <w:rsid w:val="001537EE"/>
    <w:rsid w:val="00153B23"/>
    <w:rsid w:val="00153BD4"/>
    <w:rsid w:val="001541EE"/>
    <w:rsid w:val="001544BC"/>
    <w:rsid w:val="00154F22"/>
    <w:rsid w:val="00155056"/>
    <w:rsid w:val="001552D9"/>
    <w:rsid w:val="00155851"/>
    <w:rsid w:val="00155906"/>
    <w:rsid w:val="0015611E"/>
    <w:rsid w:val="00156D7F"/>
    <w:rsid w:val="00156FF2"/>
    <w:rsid w:val="00157074"/>
    <w:rsid w:val="001572CB"/>
    <w:rsid w:val="001575F6"/>
    <w:rsid w:val="00157D83"/>
    <w:rsid w:val="00157EE4"/>
    <w:rsid w:val="001600BB"/>
    <w:rsid w:val="001600E0"/>
    <w:rsid w:val="0016015A"/>
    <w:rsid w:val="0016072B"/>
    <w:rsid w:val="001615B2"/>
    <w:rsid w:val="00161686"/>
    <w:rsid w:val="0016192C"/>
    <w:rsid w:val="00161A05"/>
    <w:rsid w:val="00162414"/>
    <w:rsid w:val="00162846"/>
    <w:rsid w:val="00162F18"/>
    <w:rsid w:val="00162FD9"/>
    <w:rsid w:val="00163252"/>
    <w:rsid w:val="001638A7"/>
    <w:rsid w:val="00163952"/>
    <w:rsid w:val="00163972"/>
    <w:rsid w:val="0016463C"/>
    <w:rsid w:val="00164A2F"/>
    <w:rsid w:val="001650C4"/>
    <w:rsid w:val="001653EA"/>
    <w:rsid w:val="0016610B"/>
    <w:rsid w:val="00166ADE"/>
    <w:rsid w:val="00166BC0"/>
    <w:rsid w:val="00166D1D"/>
    <w:rsid w:val="00166EA0"/>
    <w:rsid w:val="00166FC9"/>
    <w:rsid w:val="001673F3"/>
    <w:rsid w:val="00167523"/>
    <w:rsid w:val="00167A7D"/>
    <w:rsid w:val="00167C94"/>
    <w:rsid w:val="00167D17"/>
    <w:rsid w:val="00167DBF"/>
    <w:rsid w:val="00167F30"/>
    <w:rsid w:val="0017046D"/>
    <w:rsid w:val="001707A9"/>
    <w:rsid w:val="00170988"/>
    <w:rsid w:val="00170FEC"/>
    <w:rsid w:val="00171304"/>
    <w:rsid w:val="0017156C"/>
    <w:rsid w:val="00171932"/>
    <w:rsid w:val="001719D1"/>
    <w:rsid w:val="00171FAF"/>
    <w:rsid w:val="001723AC"/>
    <w:rsid w:val="0017267F"/>
    <w:rsid w:val="001728D7"/>
    <w:rsid w:val="0017290D"/>
    <w:rsid w:val="00172916"/>
    <w:rsid w:val="001729B5"/>
    <w:rsid w:val="00172A46"/>
    <w:rsid w:val="00172A91"/>
    <w:rsid w:val="0017318D"/>
    <w:rsid w:val="001733B3"/>
    <w:rsid w:val="0017361F"/>
    <w:rsid w:val="00173C0E"/>
    <w:rsid w:val="00173DE6"/>
    <w:rsid w:val="001740EB"/>
    <w:rsid w:val="0017447E"/>
    <w:rsid w:val="00174587"/>
    <w:rsid w:val="00174639"/>
    <w:rsid w:val="00174862"/>
    <w:rsid w:val="00175229"/>
    <w:rsid w:val="00175489"/>
    <w:rsid w:val="00175644"/>
    <w:rsid w:val="001757D6"/>
    <w:rsid w:val="00175BD8"/>
    <w:rsid w:val="00175C0D"/>
    <w:rsid w:val="00175DFC"/>
    <w:rsid w:val="00176323"/>
    <w:rsid w:val="00176600"/>
    <w:rsid w:val="00177470"/>
    <w:rsid w:val="0017790D"/>
    <w:rsid w:val="001779CD"/>
    <w:rsid w:val="00177B4F"/>
    <w:rsid w:val="00180002"/>
    <w:rsid w:val="001800F7"/>
    <w:rsid w:val="0018035B"/>
    <w:rsid w:val="00180B14"/>
    <w:rsid w:val="00180B17"/>
    <w:rsid w:val="00180CAF"/>
    <w:rsid w:val="00180FEA"/>
    <w:rsid w:val="001810D1"/>
    <w:rsid w:val="001811A8"/>
    <w:rsid w:val="001819FA"/>
    <w:rsid w:val="00181A66"/>
    <w:rsid w:val="00181D2A"/>
    <w:rsid w:val="00182342"/>
    <w:rsid w:val="0018254D"/>
    <w:rsid w:val="00182858"/>
    <w:rsid w:val="00182972"/>
    <w:rsid w:val="00182C8A"/>
    <w:rsid w:val="00182CAB"/>
    <w:rsid w:val="0018328C"/>
    <w:rsid w:val="00183630"/>
    <w:rsid w:val="00183855"/>
    <w:rsid w:val="00183907"/>
    <w:rsid w:val="001839FB"/>
    <w:rsid w:val="00183D31"/>
    <w:rsid w:val="00183E22"/>
    <w:rsid w:val="00184216"/>
    <w:rsid w:val="00184457"/>
    <w:rsid w:val="001844F4"/>
    <w:rsid w:val="001845B3"/>
    <w:rsid w:val="00184754"/>
    <w:rsid w:val="0018489E"/>
    <w:rsid w:val="001848C1"/>
    <w:rsid w:val="00184A83"/>
    <w:rsid w:val="00184DF8"/>
    <w:rsid w:val="00185053"/>
    <w:rsid w:val="00185225"/>
    <w:rsid w:val="001853B6"/>
    <w:rsid w:val="00185C6F"/>
    <w:rsid w:val="00186185"/>
    <w:rsid w:val="00186534"/>
    <w:rsid w:val="00186620"/>
    <w:rsid w:val="001867AB"/>
    <w:rsid w:val="00187023"/>
    <w:rsid w:val="001871F3"/>
    <w:rsid w:val="001875F9"/>
    <w:rsid w:val="001877F4"/>
    <w:rsid w:val="00187ADB"/>
    <w:rsid w:val="00187C61"/>
    <w:rsid w:val="00187FC9"/>
    <w:rsid w:val="001903FD"/>
    <w:rsid w:val="001904B6"/>
    <w:rsid w:val="001909E9"/>
    <w:rsid w:val="001909EF"/>
    <w:rsid w:val="00190FCA"/>
    <w:rsid w:val="001913B6"/>
    <w:rsid w:val="00191BEE"/>
    <w:rsid w:val="001923A5"/>
    <w:rsid w:val="0019261C"/>
    <w:rsid w:val="0019288A"/>
    <w:rsid w:val="00192D42"/>
    <w:rsid w:val="00192E03"/>
    <w:rsid w:val="00192EA8"/>
    <w:rsid w:val="0019304A"/>
    <w:rsid w:val="001930D1"/>
    <w:rsid w:val="00193835"/>
    <w:rsid w:val="00193C60"/>
    <w:rsid w:val="00193E99"/>
    <w:rsid w:val="00193FCE"/>
    <w:rsid w:val="001948BC"/>
    <w:rsid w:val="001949A5"/>
    <w:rsid w:val="00194FC8"/>
    <w:rsid w:val="001954EF"/>
    <w:rsid w:val="00195614"/>
    <w:rsid w:val="00195725"/>
    <w:rsid w:val="00195741"/>
    <w:rsid w:val="001957F0"/>
    <w:rsid w:val="00195F9A"/>
    <w:rsid w:val="00195FB8"/>
    <w:rsid w:val="001964DF"/>
    <w:rsid w:val="00196663"/>
    <w:rsid w:val="001969F8"/>
    <w:rsid w:val="0019702B"/>
    <w:rsid w:val="001971A5"/>
    <w:rsid w:val="0019768C"/>
    <w:rsid w:val="001976C2"/>
    <w:rsid w:val="0019785A"/>
    <w:rsid w:val="00197B60"/>
    <w:rsid w:val="00197E74"/>
    <w:rsid w:val="001A05D1"/>
    <w:rsid w:val="001A114F"/>
    <w:rsid w:val="001A160D"/>
    <w:rsid w:val="001A1889"/>
    <w:rsid w:val="001A18F5"/>
    <w:rsid w:val="001A1A7C"/>
    <w:rsid w:val="001A1D18"/>
    <w:rsid w:val="001A1F19"/>
    <w:rsid w:val="001A2407"/>
    <w:rsid w:val="001A2B2B"/>
    <w:rsid w:val="001A2DDD"/>
    <w:rsid w:val="001A2DF4"/>
    <w:rsid w:val="001A2FDF"/>
    <w:rsid w:val="001A387D"/>
    <w:rsid w:val="001A3BE7"/>
    <w:rsid w:val="001A3E2E"/>
    <w:rsid w:val="001A466D"/>
    <w:rsid w:val="001A49C6"/>
    <w:rsid w:val="001A4E1F"/>
    <w:rsid w:val="001A5399"/>
    <w:rsid w:val="001A5677"/>
    <w:rsid w:val="001A5684"/>
    <w:rsid w:val="001A5762"/>
    <w:rsid w:val="001A5D12"/>
    <w:rsid w:val="001A5F2B"/>
    <w:rsid w:val="001A6A3D"/>
    <w:rsid w:val="001A6BDC"/>
    <w:rsid w:val="001A6DA8"/>
    <w:rsid w:val="001A7453"/>
    <w:rsid w:val="001A752D"/>
    <w:rsid w:val="001A786A"/>
    <w:rsid w:val="001A78AC"/>
    <w:rsid w:val="001A7AF0"/>
    <w:rsid w:val="001A7B24"/>
    <w:rsid w:val="001A7C0C"/>
    <w:rsid w:val="001A7C84"/>
    <w:rsid w:val="001B014B"/>
    <w:rsid w:val="001B037C"/>
    <w:rsid w:val="001B04FE"/>
    <w:rsid w:val="001B0740"/>
    <w:rsid w:val="001B0878"/>
    <w:rsid w:val="001B0DD7"/>
    <w:rsid w:val="001B1022"/>
    <w:rsid w:val="001B116F"/>
    <w:rsid w:val="001B1603"/>
    <w:rsid w:val="001B1A64"/>
    <w:rsid w:val="001B1F48"/>
    <w:rsid w:val="001B253C"/>
    <w:rsid w:val="001B25DD"/>
    <w:rsid w:val="001B2746"/>
    <w:rsid w:val="001B28B7"/>
    <w:rsid w:val="001B2A0D"/>
    <w:rsid w:val="001B2F91"/>
    <w:rsid w:val="001B3435"/>
    <w:rsid w:val="001B3724"/>
    <w:rsid w:val="001B377C"/>
    <w:rsid w:val="001B3C42"/>
    <w:rsid w:val="001B3C93"/>
    <w:rsid w:val="001B3E5B"/>
    <w:rsid w:val="001B411A"/>
    <w:rsid w:val="001B436E"/>
    <w:rsid w:val="001B45B7"/>
    <w:rsid w:val="001B45D7"/>
    <w:rsid w:val="001B4A6A"/>
    <w:rsid w:val="001B4B51"/>
    <w:rsid w:val="001B5DE0"/>
    <w:rsid w:val="001B5E49"/>
    <w:rsid w:val="001B605F"/>
    <w:rsid w:val="001B68E3"/>
    <w:rsid w:val="001B7188"/>
    <w:rsid w:val="001B7200"/>
    <w:rsid w:val="001B77C7"/>
    <w:rsid w:val="001B7AAC"/>
    <w:rsid w:val="001B7C72"/>
    <w:rsid w:val="001C0226"/>
    <w:rsid w:val="001C03A5"/>
    <w:rsid w:val="001C067C"/>
    <w:rsid w:val="001C0718"/>
    <w:rsid w:val="001C08FE"/>
    <w:rsid w:val="001C0D6D"/>
    <w:rsid w:val="001C0EC8"/>
    <w:rsid w:val="001C1026"/>
    <w:rsid w:val="001C18F1"/>
    <w:rsid w:val="001C19FE"/>
    <w:rsid w:val="001C1A08"/>
    <w:rsid w:val="001C1AE3"/>
    <w:rsid w:val="001C1C7A"/>
    <w:rsid w:val="001C1EEF"/>
    <w:rsid w:val="001C201B"/>
    <w:rsid w:val="001C29AB"/>
    <w:rsid w:val="001C2F3B"/>
    <w:rsid w:val="001C37DB"/>
    <w:rsid w:val="001C3951"/>
    <w:rsid w:val="001C3FE3"/>
    <w:rsid w:val="001C40CF"/>
    <w:rsid w:val="001C4349"/>
    <w:rsid w:val="001C466D"/>
    <w:rsid w:val="001C472A"/>
    <w:rsid w:val="001C4766"/>
    <w:rsid w:val="001C504B"/>
    <w:rsid w:val="001C50E9"/>
    <w:rsid w:val="001C53FD"/>
    <w:rsid w:val="001C5454"/>
    <w:rsid w:val="001C552C"/>
    <w:rsid w:val="001C58CD"/>
    <w:rsid w:val="001C59F5"/>
    <w:rsid w:val="001C5CBD"/>
    <w:rsid w:val="001C5EB4"/>
    <w:rsid w:val="001C62F3"/>
    <w:rsid w:val="001C6585"/>
    <w:rsid w:val="001C6786"/>
    <w:rsid w:val="001C6DC3"/>
    <w:rsid w:val="001C6EDB"/>
    <w:rsid w:val="001C7087"/>
    <w:rsid w:val="001C7525"/>
    <w:rsid w:val="001C7C49"/>
    <w:rsid w:val="001C7D48"/>
    <w:rsid w:val="001C7E88"/>
    <w:rsid w:val="001D04D5"/>
    <w:rsid w:val="001D08D3"/>
    <w:rsid w:val="001D08F0"/>
    <w:rsid w:val="001D0AAA"/>
    <w:rsid w:val="001D1110"/>
    <w:rsid w:val="001D1931"/>
    <w:rsid w:val="001D1A52"/>
    <w:rsid w:val="001D1A6A"/>
    <w:rsid w:val="001D1B46"/>
    <w:rsid w:val="001D2512"/>
    <w:rsid w:val="001D28CE"/>
    <w:rsid w:val="001D2B3A"/>
    <w:rsid w:val="001D2B49"/>
    <w:rsid w:val="001D3377"/>
    <w:rsid w:val="001D337A"/>
    <w:rsid w:val="001D3610"/>
    <w:rsid w:val="001D3676"/>
    <w:rsid w:val="001D3817"/>
    <w:rsid w:val="001D38AE"/>
    <w:rsid w:val="001D3B20"/>
    <w:rsid w:val="001D3EC2"/>
    <w:rsid w:val="001D5865"/>
    <w:rsid w:val="001D5C26"/>
    <w:rsid w:val="001D5D5A"/>
    <w:rsid w:val="001D5E26"/>
    <w:rsid w:val="001D6640"/>
    <w:rsid w:val="001D66B2"/>
    <w:rsid w:val="001D66E7"/>
    <w:rsid w:val="001D6A56"/>
    <w:rsid w:val="001D749B"/>
    <w:rsid w:val="001D7621"/>
    <w:rsid w:val="001D7B4D"/>
    <w:rsid w:val="001D7D11"/>
    <w:rsid w:val="001D7F65"/>
    <w:rsid w:val="001E037A"/>
    <w:rsid w:val="001E03BF"/>
    <w:rsid w:val="001E078D"/>
    <w:rsid w:val="001E0A33"/>
    <w:rsid w:val="001E0B7C"/>
    <w:rsid w:val="001E0E7F"/>
    <w:rsid w:val="001E0FE0"/>
    <w:rsid w:val="001E121A"/>
    <w:rsid w:val="001E1737"/>
    <w:rsid w:val="001E1A23"/>
    <w:rsid w:val="001E1ABE"/>
    <w:rsid w:val="001E1BA3"/>
    <w:rsid w:val="001E1E23"/>
    <w:rsid w:val="001E2187"/>
    <w:rsid w:val="001E24EB"/>
    <w:rsid w:val="001E26B5"/>
    <w:rsid w:val="001E2826"/>
    <w:rsid w:val="001E2860"/>
    <w:rsid w:val="001E28B8"/>
    <w:rsid w:val="001E2B0A"/>
    <w:rsid w:val="001E2C2B"/>
    <w:rsid w:val="001E2E69"/>
    <w:rsid w:val="001E31D9"/>
    <w:rsid w:val="001E325E"/>
    <w:rsid w:val="001E35DC"/>
    <w:rsid w:val="001E3630"/>
    <w:rsid w:val="001E39D2"/>
    <w:rsid w:val="001E3E08"/>
    <w:rsid w:val="001E3F3C"/>
    <w:rsid w:val="001E4161"/>
    <w:rsid w:val="001E4190"/>
    <w:rsid w:val="001E456F"/>
    <w:rsid w:val="001E4985"/>
    <w:rsid w:val="001E4D52"/>
    <w:rsid w:val="001E4D95"/>
    <w:rsid w:val="001E5067"/>
    <w:rsid w:val="001E5142"/>
    <w:rsid w:val="001E5E4C"/>
    <w:rsid w:val="001E60D9"/>
    <w:rsid w:val="001E624F"/>
    <w:rsid w:val="001E661A"/>
    <w:rsid w:val="001E6CA5"/>
    <w:rsid w:val="001E6D3A"/>
    <w:rsid w:val="001E753C"/>
    <w:rsid w:val="001E765F"/>
    <w:rsid w:val="001E7952"/>
    <w:rsid w:val="001E79D0"/>
    <w:rsid w:val="001F00C0"/>
    <w:rsid w:val="001F00C8"/>
    <w:rsid w:val="001F02F3"/>
    <w:rsid w:val="001F03C2"/>
    <w:rsid w:val="001F055B"/>
    <w:rsid w:val="001F0594"/>
    <w:rsid w:val="001F0AAC"/>
    <w:rsid w:val="001F0BCA"/>
    <w:rsid w:val="001F1273"/>
    <w:rsid w:val="001F1672"/>
    <w:rsid w:val="001F16E4"/>
    <w:rsid w:val="001F19A3"/>
    <w:rsid w:val="001F1B76"/>
    <w:rsid w:val="001F245A"/>
    <w:rsid w:val="001F2531"/>
    <w:rsid w:val="001F27A5"/>
    <w:rsid w:val="001F284C"/>
    <w:rsid w:val="001F288C"/>
    <w:rsid w:val="001F3195"/>
    <w:rsid w:val="001F333F"/>
    <w:rsid w:val="001F34A0"/>
    <w:rsid w:val="001F37AF"/>
    <w:rsid w:val="001F382E"/>
    <w:rsid w:val="001F395D"/>
    <w:rsid w:val="001F3ADB"/>
    <w:rsid w:val="001F3EF7"/>
    <w:rsid w:val="001F4004"/>
    <w:rsid w:val="001F409C"/>
    <w:rsid w:val="001F433E"/>
    <w:rsid w:val="001F4594"/>
    <w:rsid w:val="001F48C3"/>
    <w:rsid w:val="001F4903"/>
    <w:rsid w:val="001F493A"/>
    <w:rsid w:val="001F493B"/>
    <w:rsid w:val="001F4A1E"/>
    <w:rsid w:val="001F4AA7"/>
    <w:rsid w:val="001F4D63"/>
    <w:rsid w:val="001F51CF"/>
    <w:rsid w:val="001F5241"/>
    <w:rsid w:val="001F54C6"/>
    <w:rsid w:val="001F5D18"/>
    <w:rsid w:val="001F6049"/>
    <w:rsid w:val="001F6176"/>
    <w:rsid w:val="001F6323"/>
    <w:rsid w:val="001F647E"/>
    <w:rsid w:val="001F652A"/>
    <w:rsid w:val="001F65C2"/>
    <w:rsid w:val="001F6748"/>
    <w:rsid w:val="001F6AEE"/>
    <w:rsid w:val="001F6F08"/>
    <w:rsid w:val="001F6FB9"/>
    <w:rsid w:val="001F724F"/>
    <w:rsid w:val="001F7349"/>
    <w:rsid w:val="001F7745"/>
    <w:rsid w:val="001F7893"/>
    <w:rsid w:val="001F7E08"/>
    <w:rsid w:val="00200018"/>
    <w:rsid w:val="00200125"/>
    <w:rsid w:val="00200414"/>
    <w:rsid w:val="00200432"/>
    <w:rsid w:val="00200B17"/>
    <w:rsid w:val="00200D5C"/>
    <w:rsid w:val="00200D98"/>
    <w:rsid w:val="00200E2B"/>
    <w:rsid w:val="002011FE"/>
    <w:rsid w:val="00201735"/>
    <w:rsid w:val="00201985"/>
    <w:rsid w:val="0020242C"/>
    <w:rsid w:val="002028D0"/>
    <w:rsid w:val="00203229"/>
    <w:rsid w:val="00203575"/>
    <w:rsid w:val="0020366B"/>
    <w:rsid w:val="00203CC4"/>
    <w:rsid w:val="00203D23"/>
    <w:rsid w:val="00204173"/>
    <w:rsid w:val="002043A7"/>
    <w:rsid w:val="002044B1"/>
    <w:rsid w:val="00204E32"/>
    <w:rsid w:val="002050FF"/>
    <w:rsid w:val="00205782"/>
    <w:rsid w:val="0020579E"/>
    <w:rsid w:val="0020596F"/>
    <w:rsid w:val="00205A15"/>
    <w:rsid w:val="00206114"/>
    <w:rsid w:val="0020616A"/>
    <w:rsid w:val="0020655F"/>
    <w:rsid w:val="0020668F"/>
    <w:rsid w:val="002068CE"/>
    <w:rsid w:val="00206BE6"/>
    <w:rsid w:val="00206C2B"/>
    <w:rsid w:val="00206C4F"/>
    <w:rsid w:val="00206CD8"/>
    <w:rsid w:val="00206F1C"/>
    <w:rsid w:val="00206FE0"/>
    <w:rsid w:val="00207216"/>
    <w:rsid w:val="002076EA"/>
    <w:rsid w:val="00207765"/>
    <w:rsid w:val="0020776F"/>
    <w:rsid w:val="0020791A"/>
    <w:rsid w:val="00207A4B"/>
    <w:rsid w:val="00207AE8"/>
    <w:rsid w:val="0021005D"/>
    <w:rsid w:val="00210078"/>
    <w:rsid w:val="00210379"/>
    <w:rsid w:val="002103BC"/>
    <w:rsid w:val="0021068E"/>
    <w:rsid w:val="0021081F"/>
    <w:rsid w:val="00210EA1"/>
    <w:rsid w:val="00211088"/>
    <w:rsid w:val="0021135F"/>
    <w:rsid w:val="002119F3"/>
    <w:rsid w:val="00211B45"/>
    <w:rsid w:val="00211C43"/>
    <w:rsid w:val="00211D4B"/>
    <w:rsid w:val="00211DE6"/>
    <w:rsid w:val="00211E28"/>
    <w:rsid w:val="00212946"/>
    <w:rsid w:val="00212A61"/>
    <w:rsid w:val="0021309E"/>
    <w:rsid w:val="00213452"/>
    <w:rsid w:val="00213728"/>
    <w:rsid w:val="002141C0"/>
    <w:rsid w:val="002142B6"/>
    <w:rsid w:val="00214392"/>
    <w:rsid w:val="0021446B"/>
    <w:rsid w:val="002144B7"/>
    <w:rsid w:val="00214708"/>
    <w:rsid w:val="00214B97"/>
    <w:rsid w:val="00214CB6"/>
    <w:rsid w:val="00214EAD"/>
    <w:rsid w:val="0021511E"/>
    <w:rsid w:val="0021530A"/>
    <w:rsid w:val="0021544F"/>
    <w:rsid w:val="00215679"/>
    <w:rsid w:val="0021575D"/>
    <w:rsid w:val="00215BC6"/>
    <w:rsid w:val="00215BEB"/>
    <w:rsid w:val="00215C1E"/>
    <w:rsid w:val="00215F74"/>
    <w:rsid w:val="00216073"/>
    <w:rsid w:val="00216363"/>
    <w:rsid w:val="002167ED"/>
    <w:rsid w:val="00217024"/>
    <w:rsid w:val="0021745A"/>
    <w:rsid w:val="00217741"/>
    <w:rsid w:val="002179E2"/>
    <w:rsid w:val="00217BD8"/>
    <w:rsid w:val="00217F0A"/>
    <w:rsid w:val="00220096"/>
    <w:rsid w:val="002200DF"/>
    <w:rsid w:val="00220457"/>
    <w:rsid w:val="0022059B"/>
    <w:rsid w:val="0022075F"/>
    <w:rsid w:val="002207B8"/>
    <w:rsid w:val="0022091B"/>
    <w:rsid w:val="00220DC5"/>
    <w:rsid w:val="00220F5E"/>
    <w:rsid w:val="00221022"/>
    <w:rsid w:val="0022145F"/>
    <w:rsid w:val="00221EC8"/>
    <w:rsid w:val="00221FCC"/>
    <w:rsid w:val="002220D5"/>
    <w:rsid w:val="0022246B"/>
    <w:rsid w:val="002224A2"/>
    <w:rsid w:val="00222949"/>
    <w:rsid w:val="00222C8B"/>
    <w:rsid w:val="00222CF2"/>
    <w:rsid w:val="00222E5A"/>
    <w:rsid w:val="00222EA0"/>
    <w:rsid w:val="00222EEA"/>
    <w:rsid w:val="00223183"/>
    <w:rsid w:val="00223368"/>
    <w:rsid w:val="00223513"/>
    <w:rsid w:val="0022351B"/>
    <w:rsid w:val="0022369F"/>
    <w:rsid w:val="00223BF0"/>
    <w:rsid w:val="00223C03"/>
    <w:rsid w:val="00223CC6"/>
    <w:rsid w:val="00223D1E"/>
    <w:rsid w:val="00224053"/>
    <w:rsid w:val="002242F3"/>
    <w:rsid w:val="002245D5"/>
    <w:rsid w:val="00224B18"/>
    <w:rsid w:val="00224CCF"/>
    <w:rsid w:val="002254A2"/>
    <w:rsid w:val="00225896"/>
    <w:rsid w:val="00225E86"/>
    <w:rsid w:val="00225EE5"/>
    <w:rsid w:val="002261C3"/>
    <w:rsid w:val="00226247"/>
    <w:rsid w:val="00226A18"/>
    <w:rsid w:val="00226D56"/>
    <w:rsid w:val="00226E38"/>
    <w:rsid w:val="002270BD"/>
    <w:rsid w:val="00227196"/>
    <w:rsid w:val="002273BF"/>
    <w:rsid w:val="00227586"/>
    <w:rsid w:val="002275CF"/>
    <w:rsid w:val="00227D40"/>
    <w:rsid w:val="00230258"/>
    <w:rsid w:val="002308DF"/>
    <w:rsid w:val="00231036"/>
    <w:rsid w:val="002310BF"/>
    <w:rsid w:val="002312F6"/>
    <w:rsid w:val="002314DE"/>
    <w:rsid w:val="002317EB"/>
    <w:rsid w:val="00231DA9"/>
    <w:rsid w:val="00231DB4"/>
    <w:rsid w:val="002322F3"/>
    <w:rsid w:val="0023235A"/>
    <w:rsid w:val="002327D7"/>
    <w:rsid w:val="00232919"/>
    <w:rsid w:val="00232E94"/>
    <w:rsid w:val="002334C4"/>
    <w:rsid w:val="0023426C"/>
    <w:rsid w:val="0023444D"/>
    <w:rsid w:val="00234513"/>
    <w:rsid w:val="00234749"/>
    <w:rsid w:val="002349DF"/>
    <w:rsid w:val="00234A41"/>
    <w:rsid w:val="00234FE3"/>
    <w:rsid w:val="0023518B"/>
    <w:rsid w:val="00235459"/>
    <w:rsid w:val="002356B2"/>
    <w:rsid w:val="00235AE9"/>
    <w:rsid w:val="0023629F"/>
    <w:rsid w:val="0023631A"/>
    <w:rsid w:val="00236572"/>
    <w:rsid w:val="002365F8"/>
    <w:rsid w:val="0023661B"/>
    <w:rsid w:val="00236741"/>
    <w:rsid w:val="002369C0"/>
    <w:rsid w:val="00236F24"/>
    <w:rsid w:val="00236F6A"/>
    <w:rsid w:val="00236F90"/>
    <w:rsid w:val="0023720C"/>
    <w:rsid w:val="00237494"/>
    <w:rsid w:val="00237B38"/>
    <w:rsid w:val="00237DBC"/>
    <w:rsid w:val="00237E15"/>
    <w:rsid w:val="0024054B"/>
    <w:rsid w:val="00240837"/>
    <w:rsid w:val="0024087A"/>
    <w:rsid w:val="00240A1A"/>
    <w:rsid w:val="00240D56"/>
    <w:rsid w:val="00241125"/>
    <w:rsid w:val="0024144B"/>
    <w:rsid w:val="00242295"/>
    <w:rsid w:val="0024273D"/>
    <w:rsid w:val="002428AF"/>
    <w:rsid w:val="00242936"/>
    <w:rsid w:val="00242C27"/>
    <w:rsid w:val="00243078"/>
    <w:rsid w:val="00243086"/>
    <w:rsid w:val="0024309A"/>
    <w:rsid w:val="00243503"/>
    <w:rsid w:val="00243759"/>
    <w:rsid w:val="00243F5A"/>
    <w:rsid w:val="00243F67"/>
    <w:rsid w:val="0024442D"/>
    <w:rsid w:val="0024457D"/>
    <w:rsid w:val="00244661"/>
    <w:rsid w:val="002446F5"/>
    <w:rsid w:val="00244951"/>
    <w:rsid w:val="00244975"/>
    <w:rsid w:val="00244CCC"/>
    <w:rsid w:val="002451CB"/>
    <w:rsid w:val="002453BE"/>
    <w:rsid w:val="0024553A"/>
    <w:rsid w:val="00245768"/>
    <w:rsid w:val="00245885"/>
    <w:rsid w:val="00245FCB"/>
    <w:rsid w:val="00246055"/>
    <w:rsid w:val="002464C6"/>
    <w:rsid w:val="002464CB"/>
    <w:rsid w:val="002469AD"/>
    <w:rsid w:val="00246C93"/>
    <w:rsid w:val="00246E21"/>
    <w:rsid w:val="00246F7C"/>
    <w:rsid w:val="00246F90"/>
    <w:rsid w:val="00247163"/>
    <w:rsid w:val="00247FB8"/>
    <w:rsid w:val="002502F4"/>
    <w:rsid w:val="00250352"/>
    <w:rsid w:val="00250C81"/>
    <w:rsid w:val="002510D5"/>
    <w:rsid w:val="002511B9"/>
    <w:rsid w:val="00251306"/>
    <w:rsid w:val="00251731"/>
    <w:rsid w:val="00251776"/>
    <w:rsid w:val="00251D88"/>
    <w:rsid w:val="00251DBE"/>
    <w:rsid w:val="002525CB"/>
    <w:rsid w:val="002529D2"/>
    <w:rsid w:val="00252D4B"/>
    <w:rsid w:val="002535A6"/>
    <w:rsid w:val="002537C4"/>
    <w:rsid w:val="0025451C"/>
    <w:rsid w:val="00254CB1"/>
    <w:rsid w:val="00255158"/>
    <w:rsid w:val="00255449"/>
    <w:rsid w:val="0025582F"/>
    <w:rsid w:val="00255C96"/>
    <w:rsid w:val="00255F92"/>
    <w:rsid w:val="00256096"/>
    <w:rsid w:val="002560A9"/>
    <w:rsid w:val="002562DD"/>
    <w:rsid w:val="002566B3"/>
    <w:rsid w:val="002566D9"/>
    <w:rsid w:val="00257124"/>
    <w:rsid w:val="002571D3"/>
    <w:rsid w:val="002573DB"/>
    <w:rsid w:val="0025777A"/>
    <w:rsid w:val="00257925"/>
    <w:rsid w:val="00257C8C"/>
    <w:rsid w:val="00260279"/>
    <w:rsid w:val="0026032E"/>
    <w:rsid w:val="00260930"/>
    <w:rsid w:val="00260C22"/>
    <w:rsid w:val="00261059"/>
    <w:rsid w:val="00261732"/>
    <w:rsid w:val="00261841"/>
    <w:rsid w:val="00261890"/>
    <w:rsid w:val="00261E28"/>
    <w:rsid w:val="00261E2D"/>
    <w:rsid w:val="002621D2"/>
    <w:rsid w:val="0026229E"/>
    <w:rsid w:val="00262449"/>
    <w:rsid w:val="00262468"/>
    <w:rsid w:val="0026290E"/>
    <w:rsid w:val="00262F0D"/>
    <w:rsid w:val="00262F20"/>
    <w:rsid w:val="00263063"/>
    <w:rsid w:val="0026324C"/>
    <w:rsid w:val="002632A3"/>
    <w:rsid w:val="002635D6"/>
    <w:rsid w:val="002637BF"/>
    <w:rsid w:val="00263A8D"/>
    <w:rsid w:val="00263C6C"/>
    <w:rsid w:val="0026431D"/>
    <w:rsid w:val="00264486"/>
    <w:rsid w:val="0026458E"/>
    <w:rsid w:val="0026460E"/>
    <w:rsid w:val="002647AD"/>
    <w:rsid w:val="002648CE"/>
    <w:rsid w:val="002649E5"/>
    <w:rsid w:val="00264AF5"/>
    <w:rsid w:val="00264D88"/>
    <w:rsid w:val="00264F84"/>
    <w:rsid w:val="0026526A"/>
    <w:rsid w:val="00265737"/>
    <w:rsid w:val="00265AC0"/>
    <w:rsid w:val="00265FC3"/>
    <w:rsid w:val="00266076"/>
    <w:rsid w:val="00266435"/>
    <w:rsid w:val="0026663B"/>
    <w:rsid w:val="00266B42"/>
    <w:rsid w:val="00266C6B"/>
    <w:rsid w:val="00266D50"/>
    <w:rsid w:val="00267290"/>
    <w:rsid w:val="002673BF"/>
    <w:rsid w:val="002704A5"/>
    <w:rsid w:val="0027086A"/>
    <w:rsid w:val="00270AC5"/>
    <w:rsid w:val="00270CD5"/>
    <w:rsid w:val="00270D04"/>
    <w:rsid w:val="002710CE"/>
    <w:rsid w:val="0027118C"/>
    <w:rsid w:val="002712C8"/>
    <w:rsid w:val="0027132D"/>
    <w:rsid w:val="00271377"/>
    <w:rsid w:val="002713D1"/>
    <w:rsid w:val="002714D4"/>
    <w:rsid w:val="00271520"/>
    <w:rsid w:val="00271751"/>
    <w:rsid w:val="00271C83"/>
    <w:rsid w:val="00271CA2"/>
    <w:rsid w:val="00271E70"/>
    <w:rsid w:val="00271EF7"/>
    <w:rsid w:val="00272270"/>
    <w:rsid w:val="00272855"/>
    <w:rsid w:val="002728CC"/>
    <w:rsid w:val="002728E1"/>
    <w:rsid w:val="002730DE"/>
    <w:rsid w:val="002734DF"/>
    <w:rsid w:val="00273812"/>
    <w:rsid w:val="00273C6C"/>
    <w:rsid w:val="00273DA2"/>
    <w:rsid w:val="00274647"/>
    <w:rsid w:val="00274716"/>
    <w:rsid w:val="002749A2"/>
    <w:rsid w:val="002749EE"/>
    <w:rsid w:val="00274C23"/>
    <w:rsid w:val="00274DF6"/>
    <w:rsid w:val="00274E5A"/>
    <w:rsid w:val="00274F25"/>
    <w:rsid w:val="00274F54"/>
    <w:rsid w:val="0027512A"/>
    <w:rsid w:val="00275330"/>
    <w:rsid w:val="002756D1"/>
    <w:rsid w:val="00275F34"/>
    <w:rsid w:val="0027633C"/>
    <w:rsid w:val="002765EB"/>
    <w:rsid w:val="00276678"/>
    <w:rsid w:val="002766D9"/>
    <w:rsid w:val="00276C58"/>
    <w:rsid w:val="00276CAA"/>
    <w:rsid w:val="00276D5A"/>
    <w:rsid w:val="0027700D"/>
    <w:rsid w:val="00277025"/>
    <w:rsid w:val="00277109"/>
    <w:rsid w:val="002771AA"/>
    <w:rsid w:val="002771B1"/>
    <w:rsid w:val="002802C9"/>
    <w:rsid w:val="0028054E"/>
    <w:rsid w:val="00280567"/>
    <w:rsid w:val="002807D4"/>
    <w:rsid w:val="002807E8"/>
    <w:rsid w:val="00280850"/>
    <w:rsid w:val="00280C68"/>
    <w:rsid w:val="002810EA"/>
    <w:rsid w:val="002812EE"/>
    <w:rsid w:val="002814E4"/>
    <w:rsid w:val="00281735"/>
    <w:rsid w:val="00281E52"/>
    <w:rsid w:val="002820AC"/>
    <w:rsid w:val="00282161"/>
    <w:rsid w:val="002822A7"/>
    <w:rsid w:val="002824EA"/>
    <w:rsid w:val="002826DD"/>
    <w:rsid w:val="00282CFD"/>
    <w:rsid w:val="002839D7"/>
    <w:rsid w:val="00284173"/>
    <w:rsid w:val="0028462A"/>
    <w:rsid w:val="00284763"/>
    <w:rsid w:val="002848E0"/>
    <w:rsid w:val="0028490A"/>
    <w:rsid w:val="00284956"/>
    <w:rsid w:val="00284BDF"/>
    <w:rsid w:val="00284F3F"/>
    <w:rsid w:val="00284FDE"/>
    <w:rsid w:val="002852F9"/>
    <w:rsid w:val="00285D7F"/>
    <w:rsid w:val="00286300"/>
    <w:rsid w:val="00286379"/>
    <w:rsid w:val="002865C7"/>
    <w:rsid w:val="00286715"/>
    <w:rsid w:val="00286875"/>
    <w:rsid w:val="00286D37"/>
    <w:rsid w:val="00286E6A"/>
    <w:rsid w:val="00287018"/>
    <w:rsid w:val="00287A12"/>
    <w:rsid w:val="002900B4"/>
    <w:rsid w:val="00290229"/>
    <w:rsid w:val="00290B86"/>
    <w:rsid w:val="00290BB7"/>
    <w:rsid w:val="00290BDA"/>
    <w:rsid w:val="00290C98"/>
    <w:rsid w:val="00291035"/>
    <w:rsid w:val="002911C5"/>
    <w:rsid w:val="00291959"/>
    <w:rsid w:val="0029199A"/>
    <w:rsid w:val="00291A30"/>
    <w:rsid w:val="00292291"/>
    <w:rsid w:val="002922CD"/>
    <w:rsid w:val="002925C5"/>
    <w:rsid w:val="0029266D"/>
    <w:rsid w:val="0029270B"/>
    <w:rsid w:val="00292908"/>
    <w:rsid w:val="00292E1F"/>
    <w:rsid w:val="0029368C"/>
    <w:rsid w:val="002936A2"/>
    <w:rsid w:val="002937D4"/>
    <w:rsid w:val="002937FF"/>
    <w:rsid w:val="00293ADD"/>
    <w:rsid w:val="00293B04"/>
    <w:rsid w:val="00293CE8"/>
    <w:rsid w:val="0029425F"/>
    <w:rsid w:val="002946D9"/>
    <w:rsid w:val="0029478F"/>
    <w:rsid w:val="00294A7B"/>
    <w:rsid w:val="00294DCF"/>
    <w:rsid w:val="00294E2A"/>
    <w:rsid w:val="00294E40"/>
    <w:rsid w:val="00294FA7"/>
    <w:rsid w:val="002950EA"/>
    <w:rsid w:val="00295134"/>
    <w:rsid w:val="002951B5"/>
    <w:rsid w:val="0029528E"/>
    <w:rsid w:val="002959B1"/>
    <w:rsid w:val="00295A4C"/>
    <w:rsid w:val="00295A62"/>
    <w:rsid w:val="00295E8D"/>
    <w:rsid w:val="00296233"/>
    <w:rsid w:val="0029665B"/>
    <w:rsid w:val="002969AD"/>
    <w:rsid w:val="00297033"/>
    <w:rsid w:val="002970BB"/>
    <w:rsid w:val="002971B0"/>
    <w:rsid w:val="002971B8"/>
    <w:rsid w:val="0029742C"/>
    <w:rsid w:val="00297AC6"/>
    <w:rsid w:val="00297CA1"/>
    <w:rsid w:val="00297E3B"/>
    <w:rsid w:val="002A0258"/>
    <w:rsid w:val="002A02BD"/>
    <w:rsid w:val="002A0355"/>
    <w:rsid w:val="002A04FF"/>
    <w:rsid w:val="002A0576"/>
    <w:rsid w:val="002A0A75"/>
    <w:rsid w:val="002A12FE"/>
    <w:rsid w:val="002A14F0"/>
    <w:rsid w:val="002A1681"/>
    <w:rsid w:val="002A192A"/>
    <w:rsid w:val="002A1CE6"/>
    <w:rsid w:val="002A1E76"/>
    <w:rsid w:val="002A20B8"/>
    <w:rsid w:val="002A284F"/>
    <w:rsid w:val="002A2889"/>
    <w:rsid w:val="002A2CBF"/>
    <w:rsid w:val="002A2D97"/>
    <w:rsid w:val="002A3043"/>
    <w:rsid w:val="002A3488"/>
    <w:rsid w:val="002A37B1"/>
    <w:rsid w:val="002A3847"/>
    <w:rsid w:val="002A3D73"/>
    <w:rsid w:val="002A4014"/>
    <w:rsid w:val="002A412C"/>
    <w:rsid w:val="002A42E3"/>
    <w:rsid w:val="002A4759"/>
    <w:rsid w:val="002A4C8B"/>
    <w:rsid w:val="002A4F0E"/>
    <w:rsid w:val="002A4F17"/>
    <w:rsid w:val="002A4FC4"/>
    <w:rsid w:val="002A5072"/>
    <w:rsid w:val="002A50AB"/>
    <w:rsid w:val="002A5220"/>
    <w:rsid w:val="002A5316"/>
    <w:rsid w:val="002A570F"/>
    <w:rsid w:val="002A5B4A"/>
    <w:rsid w:val="002A5B65"/>
    <w:rsid w:val="002A5B88"/>
    <w:rsid w:val="002A5BB7"/>
    <w:rsid w:val="002A5F44"/>
    <w:rsid w:val="002A63ED"/>
    <w:rsid w:val="002A655B"/>
    <w:rsid w:val="002A66F5"/>
    <w:rsid w:val="002A67C8"/>
    <w:rsid w:val="002A68DC"/>
    <w:rsid w:val="002A69ED"/>
    <w:rsid w:val="002A6A75"/>
    <w:rsid w:val="002A6D32"/>
    <w:rsid w:val="002A6EAC"/>
    <w:rsid w:val="002A701C"/>
    <w:rsid w:val="002A7186"/>
    <w:rsid w:val="002A7493"/>
    <w:rsid w:val="002A7666"/>
    <w:rsid w:val="002A7747"/>
    <w:rsid w:val="002A7F26"/>
    <w:rsid w:val="002B053D"/>
    <w:rsid w:val="002B0755"/>
    <w:rsid w:val="002B124F"/>
    <w:rsid w:val="002B15BE"/>
    <w:rsid w:val="002B17D0"/>
    <w:rsid w:val="002B1D3D"/>
    <w:rsid w:val="002B1D61"/>
    <w:rsid w:val="002B1DE9"/>
    <w:rsid w:val="002B1E5B"/>
    <w:rsid w:val="002B1F52"/>
    <w:rsid w:val="002B298D"/>
    <w:rsid w:val="002B2AA0"/>
    <w:rsid w:val="002B304E"/>
    <w:rsid w:val="002B319B"/>
    <w:rsid w:val="002B33CE"/>
    <w:rsid w:val="002B387C"/>
    <w:rsid w:val="002B39B4"/>
    <w:rsid w:val="002B4106"/>
    <w:rsid w:val="002B4346"/>
    <w:rsid w:val="002B4BBF"/>
    <w:rsid w:val="002B5168"/>
    <w:rsid w:val="002B5C5F"/>
    <w:rsid w:val="002B6464"/>
    <w:rsid w:val="002B65EB"/>
    <w:rsid w:val="002B66C4"/>
    <w:rsid w:val="002B66CE"/>
    <w:rsid w:val="002B6B23"/>
    <w:rsid w:val="002B6CEA"/>
    <w:rsid w:val="002B6F0F"/>
    <w:rsid w:val="002B704D"/>
    <w:rsid w:val="002B7399"/>
    <w:rsid w:val="002B787B"/>
    <w:rsid w:val="002B78E7"/>
    <w:rsid w:val="002B797D"/>
    <w:rsid w:val="002B79E0"/>
    <w:rsid w:val="002B7ED4"/>
    <w:rsid w:val="002C090C"/>
    <w:rsid w:val="002C0B7A"/>
    <w:rsid w:val="002C146C"/>
    <w:rsid w:val="002C1979"/>
    <w:rsid w:val="002C1B5F"/>
    <w:rsid w:val="002C20BC"/>
    <w:rsid w:val="002C2240"/>
    <w:rsid w:val="002C2368"/>
    <w:rsid w:val="002C239B"/>
    <w:rsid w:val="002C23ED"/>
    <w:rsid w:val="002C25A3"/>
    <w:rsid w:val="002C2AF3"/>
    <w:rsid w:val="002C2B69"/>
    <w:rsid w:val="002C2C82"/>
    <w:rsid w:val="002C2CCD"/>
    <w:rsid w:val="002C2DC6"/>
    <w:rsid w:val="002C310E"/>
    <w:rsid w:val="002C32BB"/>
    <w:rsid w:val="002C3DF5"/>
    <w:rsid w:val="002C3EBB"/>
    <w:rsid w:val="002C3F8A"/>
    <w:rsid w:val="002C4128"/>
    <w:rsid w:val="002C420F"/>
    <w:rsid w:val="002C45AB"/>
    <w:rsid w:val="002C53A2"/>
    <w:rsid w:val="002C5CAF"/>
    <w:rsid w:val="002C5CCB"/>
    <w:rsid w:val="002C5CD2"/>
    <w:rsid w:val="002C5D13"/>
    <w:rsid w:val="002C65AF"/>
    <w:rsid w:val="002C680F"/>
    <w:rsid w:val="002C68D8"/>
    <w:rsid w:val="002C70CD"/>
    <w:rsid w:val="002C74BB"/>
    <w:rsid w:val="002C7A31"/>
    <w:rsid w:val="002C7B36"/>
    <w:rsid w:val="002C7E24"/>
    <w:rsid w:val="002C7FAA"/>
    <w:rsid w:val="002D010D"/>
    <w:rsid w:val="002D030E"/>
    <w:rsid w:val="002D0352"/>
    <w:rsid w:val="002D0389"/>
    <w:rsid w:val="002D0618"/>
    <w:rsid w:val="002D066A"/>
    <w:rsid w:val="002D0E20"/>
    <w:rsid w:val="002D0FA7"/>
    <w:rsid w:val="002D1056"/>
    <w:rsid w:val="002D188C"/>
    <w:rsid w:val="002D195A"/>
    <w:rsid w:val="002D1CFE"/>
    <w:rsid w:val="002D1DC4"/>
    <w:rsid w:val="002D1F71"/>
    <w:rsid w:val="002D1FBF"/>
    <w:rsid w:val="002D1FDD"/>
    <w:rsid w:val="002D2525"/>
    <w:rsid w:val="002D2BFE"/>
    <w:rsid w:val="002D2EC0"/>
    <w:rsid w:val="002D3605"/>
    <w:rsid w:val="002D367D"/>
    <w:rsid w:val="002D373B"/>
    <w:rsid w:val="002D38A0"/>
    <w:rsid w:val="002D391C"/>
    <w:rsid w:val="002D3A3B"/>
    <w:rsid w:val="002D3B1E"/>
    <w:rsid w:val="002D3C07"/>
    <w:rsid w:val="002D4007"/>
    <w:rsid w:val="002D414C"/>
    <w:rsid w:val="002D4BEB"/>
    <w:rsid w:val="002D4E5A"/>
    <w:rsid w:val="002D4E75"/>
    <w:rsid w:val="002D4FEC"/>
    <w:rsid w:val="002D5175"/>
    <w:rsid w:val="002D54F7"/>
    <w:rsid w:val="002D55A4"/>
    <w:rsid w:val="002D590D"/>
    <w:rsid w:val="002D5991"/>
    <w:rsid w:val="002D5AD0"/>
    <w:rsid w:val="002D5F50"/>
    <w:rsid w:val="002D5FFF"/>
    <w:rsid w:val="002D6242"/>
    <w:rsid w:val="002D6328"/>
    <w:rsid w:val="002D6562"/>
    <w:rsid w:val="002D6646"/>
    <w:rsid w:val="002D68E6"/>
    <w:rsid w:val="002D69AB"/>
    <w:rsid w:val="002D6BD1"/>
    <w:rsid w:val="002D73FA"/>
    <w:rsid w:val="002D7783"/>
    <w:rsid w:val="002D7AC6"/>
    <w:rsid w:val="002D7B0B"/>
    <w:rsid w:val="002D7C3B"/>
    <w:rsid w:val="002E03F0"/>
    <w:rsid w:val="002E060A"/>
    <w:rsid w:val="002E0621"/>
    <w:rsid w:val="002E07C0"/>
    <w:rsid w:val="002E0889"/>
    <w:rsid w:val="002E08F4"/>
    <w:rsid w:val="002E0C0C"/>
    <w:rsid w:val="002E0EA4"/>
    <w:rsid w:val="002E0F02"/>
    <w:rsid w:val="002E13AC"/>
    <w:rsid w:val="002E16A7"/>
    <w:rsid w:val="002E185E"/>
    <w:rsid w:val="002E1B29"/>
    <w:rsid w:val="002E1C54"/>
    <w:rsid w:val="002E1D9B"/>
    <w:rsid w:val="002E1E65"/>
    <w:rsid w:val="002E2320"/>
    <w:rsid w:val="002E2369"/>
    <w:rsid w:val="002E30B1"/>
    <w:rsid w:val="002E31CD"/>
    <w:rsid w:val="002E358F"/>
    <w:rsid w:val="002E3738"/>
    <w:rsid w:val="002E4254"/>
    <w:rsid w:val="002E476F"/>
    <w:rsid w:val="002E47DF"/>
    <w:rsid w:val="002E4D6D"/>
    <w:rsid w:val="002E52B1"/>
    <w:rsid w:val="002E547D"/>
    <w:rsid w:val="002E583D"/>
    <w:rsid w:val="002E58AA"/>
    <w:rsid w:val="002E5CBC"/>
    <w:rsid w:val="002E60DB"/>
    <w:rsid w:val="002E6155"/>
    <w:rsid w:val="002E6386"/>
    <w:rsid w:val="002E641D"/>
    <w:rsid w:val="002E6580"/>
    <w:rsid w:val="002E69D3"/>
    <w:rsid w:val="002E6D39"/>
    <w:rsid w:val="002E7146"/>
    <w:rsid w:val="002E7302"/>
    <w:rsid w:val="002E73C6"/>
    <w:rsid w:val="002E7518"/>
    <w:rsid w:val="002E7D79"/>
    <w:rsid w:val="002E7DF6"/>
    <w:rsid w:val="002F0272"/>
    <w:rsid w:val="002F03CE"/>
    <w:rsid w:val="002F0704"/>
    <w:rsid w:val="002F0FB7"/>
    <w:rsid w:val="002F12A5"/>
    <w:rsid w:val="002F158A"/>
    <w:rsid w:val="002F174E"/>
    <w:rsid w:val="002F1959"/>
    <w:rsid w:val="002F1A94"/>
    <w:rsid w:val="002F1C51"/>
    <w:rsid w:val="002F1DAC"/>
    <w:rsid w:val="002F2042"/>
    <w:rsid w:val="002F21FB"/>
    <w:rsid w:val="002F2211"/>
    <w:rsid w:val="002F254A"/>
    <w:rsid w:val="002F26FF"/>
    <w:rsid w:val="002F2955"/>
    <w:rsid w:val="002F2A6D"/>
    <w:rsid w:val="002F325F"/>
    <w:rsid w:val="002F3287"/>
    <w:rsid w:val="002F3BE0"/>
    <w:rsid w:val="002F3D31"/>
    <w:rsid w:val="002F3FA0"/>
    <w:rsid w:val="002F3FCE"/>
    <w:rsid w:val="002F3FD4"/>
    <w:rsid w:val="002F41FC"/>
    <w:rsid w:val="002F446E"/>
    <w:rsid w:val="002F45EE"/>
    <w:rsid w:val="002F480C"/>
    <w:rsid w:val="002F4895"/>
    <w:rsid w:val="002F4B7C"/>
    <w:rsid w:val="002F4B92"/>
    <w:rsid w:val="002F4BE8"/>
    <w:rsid w:val="002F4D5C"/>
    <w:rsid w:val="002F4EFE"/>
    <w:rsid w:val="002F518B"/>
    <w:rsid w:val="002F5489"/>
    <w:rsid w:val="002F5494"/>
    <w:rsid w:val="002F55FD"/>
    <w:rsid w:val="002F5698"/>
    <w:rsid w:val="002F588B"/>
    <w:rsid w:val="002F60ED"/>
    <w:rsid w:val="002F624D"/>
    <w:rsid w:val="002F6303"/>
    <w:rsid w:val="002F6413"/>
    <w:rsid w:val="002F698A"/>
    <w:rsid w:val="002F6BBC"/>
    <w:rsid w:val="002F6D4E"/>
    <w:rsid w:val="002F7690"/>
    <w:rsid w:val="002F7A38"/>
    <w:rsid w:val="002F7E64"/>
    <w:rsid w:val="003004D5"/>
    <w:rsid w:val="00300711"/>
    <w:rsid w:val="00300973"/>
    <w:rsid w:val="00300C88"/>
    <w:rsid w:val="00300D88"/>
    <w:rsid w:val="00301260"/>
    <w:rsid w:val="00301787"/>
    <w:rsid w:val="003017EC"/>
    <w:rsid w:val="00301B21"/>
    <w:rsid w:val="00301BC0"/>
    <w:rsid w:val="003022C1"/>
    <w:rsid w:val="0030244C"/>
    <w:rsid w:val="0030253F"/>
    <w:rsid w:val="00302956"/>
    <w:rsid w:val="0030298D"/>
    <w:rsid w:val="00302EBD"/>
    <w:rsid w:val="00302FB4"/>
    <w:rsid w:val="00302FC8"/>
    <w:rsid w:val="00302FDC"/>
    <w:rsid w:val="00303080"/>
    <w:rsid w:val="00303210"/>
    <w:rsid w:val="003035A5"/>
    <w:rsid w:val="00303961"/>
    <w:rsid w:val="00303BC7"/>
    <w:rsid w:val="00303DAD"/>
    <w:rsid w:val="00303DC9"/>
    <w:rsid w:val="00303EE2"/>
    <w:rsid w:val="00303FA9"/>
    <w:rsid w:val="0030445B"/>
    <w:rsid w:val="00304913"/>
    <w:rsid w:val="003049F1"/>
    <w:rsid w:val="00304A60"/>
    <w:rsid w:val="00304DFC"/>
    <w:rsid w:val="003051B6"/>
    <w:rsid w:val="00305311"/>
    <w:rsid w:val="003054C8"/>
    <w:rsid w:val="003059C9"/>
    <w:rsid w:val="00305F6E"/>
    <w:rsid w:val="00306152"/>
    <w:rsid w:val="003062AF"/>
    <w:rsid w:val="003062F0"/>
    <w:rsid w:val="003063A3"/>
    <w:rsid w:val="00306486"/>
    <w:rsid w:val="003066DE"/>
    <w:rsid w:val="00306787"/>
    <w:rsid w:val="00306847"/>
    <w:rsid w:val="00306B41"/>
    <w:rsid w:val="00306F1B"/>
    <w:rsid w:val="00306F4F"/>
    <w:rsid w:val="003071B3"/>
    <w:rsid w:val="003074ED"/>
    <w:rsid w:val="003077DB"/>
    <w:rsid w:val="003079CC"/>
    <w:rsid w:val="00307B13"/>
    <w:rsid w:val="003101FB"/>
    <w:rsid w:val="00310445"/>
    <w:rsid w:val="003104D7"/>
    <w:rsid w:val="00310CC7"/>
    <w:rsid w:val="00310DAB"/>
    <w:rsid w:val="003110AF"/>
    <w:rsid w:val="003111A6"/>
    <w:rsid w:val="0031122F"/>
    <w:rsid w:val="003113A3"/>
    <w:rsid w:val="00311605"/>
    <w:rsid w:val="00311C6F"/>
    <w:rsid w:val="00311E62"/>
    <w:rsid w:val="00312744"/>
    <w:rsid w:val="0031289A"/>
    <w:rsid w:val="00312A93"/>
    <w:rsid w:val="00312D4F"/>
    <w:rsid w:val="00312E30"/>
    <w:rsid w:val="00312E92"/>
    <w:rsid w:val="0031329E"/>
    <w:rsid w:val="003133C7"/>
    <w:rsid w:val="00313930"/>
    <w:rsid w:val="00314143"/>
    <w:rsid w:val="00314243"/>
    <w:rsid w:val="003144B1"/>
    <w:rsid w:val="00314F3F"/>
    <w:rsid w:val="003153B6"/>
    <w:rsid w:val="00315629"/>
    <w:rsid w:val="00315983"/>
    <w:rsid w:val="00315BAF"/>
    <w:rsid w:val="003161E3"/>
    <w:rsid w:val="00316392"/>
    <w:rsid w:val="0031648D"/>
    <w:rsid w:val="0031659F"/>
    <w:rsid w:val="0031669B"/>
    <w:rsid w:val="00316BD2"/>
    <w:rsid w:val="00317B57"/>
    <w:rsid w:val="0032078F"/>
    <w:rsid w:val="003207E2"/>
    <w:rsid w:val="00320E16"/>
    <w:rsid w:val="003219F1"/>
    <w:rsid w:val="00321AE7"/>
    <w:rsid w:val="00321EA8"/>
    <w:rsid w:val="003222CF"/>
    <w:rsid w:val="00322388"/>
    <w:rsid w:val="003229FE"/>
    <w:rsid w:val="00322F90"/>
    <w:rsid w:val="0032358F"/>
    <w:rsid w:val="00324432"/>
    <w:rsid w:val="003247A3"/>
    <w:rsid w:val="003248C8"/>
    <w:rsid w:val="003249BE"/>
    <w:rsid w:val="00324A63"/>
    <w:rsid w:val="00325176"/>
    <w:rsid w:val="003252B8"/>
    <w:rsid w:val="003254C1"/>
    <w:rsid w:val="0032588B"/>
    <w:rsid w:val="00326550"/>
    <w:rsid w:val="00326684"/>
    <w:rsid w:val="00326CF1"/>
    <w:rsid w:val="00326DD6"/>
    <w:rsid w:val="00326E9D"/>
    <w:rsid w:val="00326F1D"/>
    <w:rsid w:val="00327549"/>
    <w:rsid w:val="003275FB"/>
    <w:rsid w:val="003277B7"/>
    <w:rsid w:val="0033006F"/>
    <w:rsid w:val="00330170"/>
    <w:rsid w:val="00330658"/>
    <w:rsid w:val="003306BF"/>
    <w:rsid w:val="00330976"/>
    <w:rsid w:val="003309C2"/>
    <w:rsid w:val="00330C63"/>
    <w:rsid w:val="00330C68"/>
    <w:rsid w:val="00331D60"/>
    <w:rsid w:val="00331DCD"/>
    <w:rsid w:val="00331E73"/>
    <w:rsid w:val="0033204B"/>
    <w:rsid w:val="003329E6"/>
    <w:rsid w:val="00332A0F"/>
    <w:rsid w:val="00332AAC"/>
    <w:rsid w:val="00332D30"/>
    <w:rsid w:val="00332DBC"/>
    <w:rsid w:val="00332FB5"/>
    <w:rsid w:val="00333038"/>
    <w:rsid w:val="003331BD"/>
    <w:rsid w:val="0033324C"/>
    <w:rsid w:val="003336EC"/>
    <w:rsid w:val="003337DA"/>
    <w:rsid w:val="00333955"/>
    <w:rsid w:val="00333C2C"/>
    <w:rsid w:val="00333EB6"/>
    <w:rsid w:val="00333F31"/>
    <w:rsid w:val="00333FDE"/>
    <w:rsid w:val="00334574"/>
    <w:rsid w:val="00334AF9"/>
    <w:rsid w:val="00334C27"/>
    <w:rsid w:val="00334DF7"/>
    <w:rsid w:val="00334E20"/>
    <w:rsid w:val="00334FD6"/>
    <w:rsid w:val="003350E2"/>
    <w:rsid w:val="003351A8"/>
    <w:rsid w:val="003352B2"/>
    <w:rsid w:val="0033551E"/>
    <w:rsid w:val="003355FE"/>
    <w:rsid w:val="0033562E"/>
    <w:rsid w:val="00335945"/>
    <w:rsid w:val="00335ED9"/>
    <w:rsid w:val="00336070"/>
    <w:rsid w:val="00336474"/>
    <w:rsid w:val="00336498"/>
    <w:rsid w:val="00336634"/>
    <w:rsid w:val="003366D3"/>
    <w:rsid w:val="00336B4A"/>
    <w:rsid w:val="00336B57"/>
    <w:rsid w:val="00336D46"/>
    <w:rsid w:val="00336ED7"/>
    <w:rsid w:val="00336FA8"/>
    <w:rsid w:val="00337085"/>
    <w:rsid w:val="0033789C"/>
    <w:rsid w:val="003378CC"/>
    <w:rsid w:val="003379C2"/>
    <w:rsid w:val="00337D26"/>
    <w:rsid w:val="00337E1C"/>
    <w:rsid w:val="00337F19"/>
    <w:rsid w:val="00340293"/>
    <w:rsid w:val="00340975"/>
    <w:rsid w:val="003409E5"/>
    <w:rsid w:val="00340B48"/>
    <w:rsid w:val="00340D27"/>
    <w:rsid w:val="00340D46"/>
    <w:rsid w:val="00340EB9"/>
    <w:rsid w:val="00340FDB"/>
    <w:rsid w:val="0034100D"/>
    <w:rsid w:val="00341049"/>
    <w:rsid w:val="003412E4"/>
    <w:rsid w:val="00341443"/>
    <w:rsid w:val="0034192A"/>
    <w:rsid w:val="00341956"/>
    <w:rsid w:val="003419ED"/>
    <w:rsid w:val="00341B96"/>
    <w:rsid w:val="00341E15"/>
    <w:rsid w:val="00341F40"/>
    <w:rsid w:val="00342263"/>
    <w:rsid w:val="00342332"/>
    <w:rsid w:val="00342832"/>
    <w:rsid w:val="00342871"/>
    <w:rsid w:val="00342937"/>
    <w:rsid w:val="00342FFB"/>
    <w:rsid w:val="00343B66"/>
    <w:rsid w:val="00343C5F"/>
    <w:rsid w:val="00343D6B"/>
    <w:rsid w:val="00344246"/>
    <w:rsid w:val="0034435C"/>
    <w:rsid w:val="00344C59"/>
    <w:rsid w:val="0034511D"/>
    <w:rsid w:val="0034526B"/>
    <w:rsid w:val="003452A7"/>
    <w:rsid w:val="0034576B"/>
    <w:rsid w:val="00345885"/>
    <w:rsid w:val="003459A2"/>
    <w:rsid w:val="00345ABF"/>
    <w:rsid w:val="00345D8B"/>
    <w:rsid w:val="00345F37"/>
    <w:rsid w:val="003460F7"/>
    <w:rsid w:val="00346132"/>
    <w:rsid w:val="0034620A"/>
    <w:rsid w:val="0034632C"/>
    <w:rsid w:val="003463D9"/>
    <w:rsid w:val="003470E5"/>
    <w:rsid w:val="0034713E"/>
    <w:rsid w:val="00347229"/>
    <w:rsid w:val="0034738A"/>
    <w:rsid w:val="003475CA"/>
    <w:rsid w:val="003476F9"/>
    <w:rsid w:val="00350903"/>
    <w:rsid w:val="00350A80"/>
    <w:rsid w:val="00350C07"/>
    <w:rsid w:val="00350C1F"/>
    <w:rsid w:val="00350C93"/>
    <w:rsid w:val="00350D9C"/>
    <w:rsid w:val="00350F00"/>
    <w:rsid w:val="003512EA"/>
    <w:rsid w:val="00351419"/>
    <w:rsid w:val="00351521"/>
    <w:rsid w:val="00351D94"/>
    <w:rsid w:val="00351E49"/>
    <w:rsid w:val="00351E6E"/>
    <w:rsid w:val="00351F28"/>
    <w:rsid w:val="00351F9A"/>
    <w:rsid w:val="003524E8"/>
    <w:rsid w:val="003525BC"/>
    <w:rsid w:val="0035272E"/>
    <w:rsid w:val="0035297C"/>
    <w:rsid w:val="00352AB7"/>
    <w:rsid w:val="00352B89"/>
    <w:rsid w:val="00353259"/>
    <w:rsid w:val="0035385C"/>
    <w:rsid w:val="003538BB"/>
    <w:rsid w:val="00353D1C"/>
    <w:rsid w:val="003542E9"/>
    <w:rsid w:val="003547B4"/>
    <w:rsid w:val="003549A3"/>
    <w:rsid w:val="00354B63"/>
    <w:rsid w:val="00354ED6"/>
    <w:rsid w:val="00354FCB"/>
    <w:rsid w:val="003551B6"/>
    <w:rsid w:val="003552CB"/>
    <w:rsid w:val="00355825"/>
    <w:rsid w:val="003558A8"/>
    <w:rsid w:val="00355E6C"/>
    <w:rsid w:val="00356355"/>
    <w:rsid w:val="003564D3"/>
    <w:rsid w:val="00356841"/>
    <w:rsid w:val="00356955"/>
    <w:rsid w:val="00356A86"/>
    <w:rsid w:val="00357264"/>
    <w:rsid w:val="00357533"/>
    <w:rsid w:val="003575E1"/>
    <w:rsid w:val="0035781C"/>
    <w:rsid w:val="00357870"/>
    <w:rsid w:val="003578A3"/>
    <w:rsid w:val="003578C6"/>
    <w:rsid w:val="00357CBD"/>
    <w:rsid w:val="00357EF1"/>
    <w:rsid w:val="0036022F"/>
    <w:rsid w:val="003609E9"/>
    <w:rsid w:val="00360A81"/>
    <w:rsid w:val="00360B95"/>
    <w:rsid w:val="00360B99"/>
    <w:rsid w:val="00360C9C"/>
    <w:rsid w:val="00360CCB"/>
    <w:rsid w:val="00360DB8"/>
    <w:rsid w:val="00360DBC"/>
    <w:rsid w:val="003611C2"/>
    <w:rsid w:val="0036128C"/>
    <w:rsid w:val="003613B8"/>
    <w:rsid w:val="0036165D"/>
    <w:rsid w:val="0036177E"/>
    <w:rsid w:val="00361813"/>
    <w:rsid w:val="00361851"/>
    <w:rsid w:val="00361912"/>
    <w:rsid w:val="00361A0F"/>
    <w:rsid w:val="00361A53"/>
    <w:rsid w:val="00361F92"/>
    <w:rsid w:val="00362918"/>
    <w:rsid w:val="00362D8C"/>
    <w:rsid w:val="0036311F"/>
    <w:rsid w:val="003632BB"/>
    <w:rsid w:val="00363546"/>
    <w:rsid w:val="003639FE"/>
    <w:rsid w:val="00364230"/>
    <w:rsid w:val="00364B52"/>
    <w:rsid w:val="00364E7A"/>
    <w:rsid w:val="00364EF8"/>
    <w:rsid w:val="00365331"/>
    <w:rsid w:val="003657C8"/>
    <w:rsid w:val="00365908"/>
    <w:rsid w:val="00366382"/>
    <w:rsid w:val="003667AC"/>
    <w:rsid w:val="00366BD5"/>
    <w:rsid w:val="00367079"/>
    <w:rsid w:val="0036707E"/>
    <w:rsid w:val="003674E7"/>
    <w:rsid w:val="00367B5B"/>
    <w:rsid w:val="00367BD1"/>
    <w:rsid w:val="00370056"/>
    <w:rsid w:val="00370388"/>
    <w:rsid w:val="00370442"/>
    <w:rsid w:val="003704CA"/>
    <w:rsid w:val="003707B6"/>
    <w:rsid w:val="00370B49"/>
    <w:rsid w:val="00370C27"/>
    <w:rsid w:val="00370D48"/>
    <w:rsid w:val="00370E3D"/>
    <w:rsid w:val="00370FFB"/>
    <w:rsid w:val="00371474"/>
    <w:rsid w:val="003717A6"/>
    <w:rsid w:val="00371A63"/>
    <w:rsid w:val="00371B4E"/>
    <w:rsid w:val="00371B52"/>
    <w:rsid w:val="00371BE2"/>
    <w:rsid w:val="00371C35"/>
    <w:rsid w:val="00372116"/>
    <w:rsid w:val="003722F7"/>
    <w:rsid w:val="00372457"/>
    <w:rsid w:val="00372600"/>
    <w:rsid w:val="003727D9"/>
    <w:rsid w:val="00372F63"/>
    <w:rsid w:val="003730E9"/>
    <w:rsid w:val="003730F9"/>
    <w:rsid w:val="00373235"/>
    <w:rsid w:val="00373869"/>
    <w:rsid w:val="003739D8"/>
    <w:rsid w:val="00373C31"/>
    <w:rsid w:val="00373ED4"/>
    <w:rsid w:val="003745CE"/>
    <w:rsid w:val="00374BEF"/>
    <w:rsid w:val="00374CED"/>
    <w:rsid w:val="00374F12"/>
    <w:rsid w:val="00375652"/>
    <w:rsid w:val="00375AA8"/>
    <w:rsid w:val="00375B8B"/>
    <w:rsid w:val="00375D51"/>
    <w:rsid w:val="00375D68"/>
    <w:rsid w:val="00376A67"/>
    <w:rsid w:val="0037724C"/>
    <w:rsid w:val="003773DE"/>
    <w:rsid w:val="0037755C"/>
    <w:rsid w:val="003775AC"/>
    <w:rsid w:val="00377D33"/>
    <w:rsid w:val="00380488"/>
    <w:rsid w:val="00380BCB"/>
    <w:rsid w:val="00380F0D"/>
    <w:rsid w:val="00380F90"/>
    <w:rsid w:val="003811E5"/>
    <w:rsid w:val="0038133C"/>
    <w:rsid w:val="003815B2"/>
    <w:rsid w:val="0038160E"/>
    <w:rsid w:val="0038162D"/>
    <w:rsid w:val="003817F3"/>
    <w:rsid w:val="003818BA"/>
    <w:rsid w:val="00381A5A"/>
    <w:rsid w:val="00381D4A"/>
    <w:rsid w:val="0038214B"/>
    <w:rsid w:val="0038235E"/>
    <w:rsid w:val="0038255C"/>
    <w:rsid w:val="003825E9"/>
    <w:rsid w:val="0038263B"/>
    <w:rsid w:val="003826D5"/>
    <w:rsid w:val="00382876"/>
    <w:rsid w:val="00382E47"/>
    <w:rsid w:val="00382FA5"/>
    <w:rsid w:val="003831E0"/>
    <w:rsid w:val="0038359A"/>
    <w:rsid w:val="00383E91"/>
    <w:rsid w:val="00384032"/>
    <w:rsid w:val="00384474"/>
    <w:rsid w:val="00384710"/>
    <w:rsid w:val="0038474D"/>
    <w:rsid w:val="003847B4"/>
    <w:rsid w:val="00384B29"/>
    <w:rsid w:val="00384E84"/>
    <w:rsid w:val="00384F76"/>
    <w:rsid w:val="00384FF4"/>
    <w:rsid w:val="00385121"/>
    <w:rsid w:val="0038539E"/>
    <w:rsid w:val="00385874"/>
    <w:rsid w:val="00385B21"/>
    <w:rsid w:val="00385B81"/>
    <w:rsid w:val="00385C42"/>
    <w:rsid w:val="00385CCD"/>
    <w:rsid w:val="00385ED6"/>
    <w:rsid w:val="00385FDC"/>
    <w:rsid w:val="00386480"/>
    <w:rsid w:val="00386991"/>
    <w:rsid w:val="00386DEB"/>
    <w:rsid w:val="00387422"/>
    <w:rsid w:val="00387904"/>
    <w:rsid w:val="00387CF6"/>
    <w:rsid w:val="003901CF"/>
    <w:rsid w:val="00390B73"/>
    <w:rsid w:val="00390D02"/>
    <w:rsid w:val="00391037"/>
    <w:rsid w:val="003910D5"/>
    <w:rsid w:val="003918D4"/>
    <w:rsid w:val="003919A2"/>
    <w:rsid w:val="00391A68"/>
    <w:rsid w:val="00391E7E"/>
    <w:rsid w:val="003920F2"/>
    <w:rsid w:val="003921AA"/>
    <w:rsid w:val="00392613"/>
    <w:rsid w:val="00392662"/>
    <w:rsid w:val="003926E3"/>
    <w:rsid w:val="00392E3B"/>
    <w:rsid w:val="003935AB"/>
    <w:rsid w:val="0039370F"/>
    <w:rsid w:val="003938DC"/>
    <w:rsid w:val="003939AE"/>
    <w:rsid w:val="00393D9B"/>
    <w:rsid w:val="00393E84"/>
    <w:rsid w:val="00394178"/>
    <w:rsid w:val="00394E80"/>
    <w:rsid w:val="00394F4A"/>
    <w:rsid w:val="00395424"/>
    <w:rsid w:val="0039545B"/>
    <w:rsid w:val="00395974"/>
    <w:rsid w:val="00395A58"/>
    <w:rsid w:val="0039654D"/>
    <w:rsid w:val="003967A3"/>
    <w:rsid w:val="00396892"/>
    <w:rsid w:val="00396C18"/>
    <w:rsid w:val="00396E9B"/>
    <w:rsid w:val="00396F0A"/>
    <w:rsid w:val="00396FC5"/>
    <w:rsid w:val="00397197"/>
    <w:rsid w:val="0039779B"/>
    <w:rsid w:val="00397A58"/>
    <w:rsid w:val="00397D4B"/>
    <w:rsid w:val="00397E15"/>
    <w:rsid w:val="003A0531"/>
    <w:rsid w:val="003A0877"/>
    <w:rsid w:val="003A10D3"/>
    <w:rsid w:val="003A15C5"/>
    <w:rsid w:val="003A1A0C"/>
    <w:rsid w:val="003A1A91"/>
    <w:rsid w:val="003A1AEE"/>
    <w:rsid w:val="003A1D1E"/>
    <w:rsid w:val="003A201A"/>
    <w:rsid w:val="003A2629"/>
    <w:rsid w:val="003A2840"/>
    <w:rsid w:val="003A3075"/>
    <w:rsid w:val="003A31D5"/>
    <w:rsid w:val="003A333A"/>
    <w:rsid w:val="003A33FB"/>
    <w:rsid w:val="003A3409"/>
    <w:rsid w:val="003A38F5"/>
    <w:rsid w:val="003A3CC8"/>
    <w:rsid w:val="003A3F45"/>
    <w:rsid w:val="003A40AE"/>
    <w:rsid w:val="003A435C"/>
    <w:rsid w:val="003A44A4"/>
    <w:rsid w:val="003A4555"/>
    <w:rsid w:val="003A4A3C"/>
    <w:rsid w:val="003A549A"/>
    <w:rsid w:val="003A5874"/>
    <w:rsid w:val="003A5CEF"/>
    <w:rsid w:val="003A5D0D"/>
    <w:rsid w:val="003A5D12"/>
    <w:rsid w:val="003A5E37"/>
    <w:rsid w:val="003A67B5"/>
    <w:rsid w:val="003A69C2"/>
    <w:rsid w:val="003A7050"/>
    <w:rsid w:val="003A74E8"/>
    <w:rsid w:val="003A7D23"/>
    <w:rsid w:val="003A7E9D"/>
    <w:rsid w:val="003B02E0"/>
    <w:rsid w:val="003B03A8"/>
    <w:rsid w:val="003B08E8"/>
    <w:rsid w:val="003B0ABC"/>
    <w:rsid w:val="003B0C66"/>
    <w:rsid w:val="003B0D54"/>
    <w:rsid w:val="003B11A1"/>
    <w:rsid w:val="003B12BE"/>
    <w:rsid w:val="003B18F4"/>
    <w:rsid w:val="003B18F6"/>
    <w:rsid w:val="003B1A0F"/>
    <w:rsid w:val="003B202D"/>
    <w:rsid w:val="003B28E4"/>
    <w:rsid w:val="003B29D1"/>
    <w:rsid w:val="003B2A76"/>
    <w:rsid w:val="003B2AA9"/>
    <w:rsid w:val="003B2B33"/>
    <w:rsid w:val="003B2D8B"/>
    <w:rsid w:val="003B2EB7"/>
    <w:rsid w:val="003B314B"/>
    <w:rsid w:val="003B33C7"/>
    <w:rsid w:val="003B3497"/>
    <w:rsid w:val="003B36CD"/>
    <w:rsid w:val="003B3B18"/>
    <w:rsid w:val="003B3BC9"/>
    <w:rsid w:val="003B3F22"/>
    <w:rsid w:val="003B40B4"/>
    <w:rsid w:val="003B411B"/>
    <w:rsid w:val="003B43AC"/>
    <w:rsid w:val="003B4FD1"/>
    <w:rsid w:val="003B518D"/>
    <w:rsid w:val="003B5CBA"/>
    <w:rsid w:val="003B6196"/>
    <w:rsid w:val="003B65C7"/>
    <w:rsid w:val="003B6624"/>
    <w:rsid w:val="003B665A"/>
    <w:rsid w:val="003B6826"/>
    <w:rsid w:val="003B6EE7"/>
    <w:rsid w:val="003B6FE3"/>
    <w:rsid w:val="003B70AC"/>
    <w:rsid w:val="003B7417"/>
    <w:rsid w:val="003B742E"/>
    <w:rsid w:val="003B769C"/>
    <w:rsid w:val="003B76D1"/>
    <w:rsid w:val="003B7974"/>
    <w:rsid w:val="003B7BC6"/>
    <w:rsid w:val="003B7EBD"/>
    <w:rsid w:val="003C002B"/>
    <w:rsid w:val="003C00CD"/>
    <w:rsid w:val="003C06A9"/>
    <w:rsid w:val="003C06C2"/>
    <w:rsid w:val="003C08E8"/>
    <w:rsid w:val="003C09E4"/>
    <w:rsid w:val="003C0B32"/>
    <w:rsid w:val="003C1134"/>
    <w:rsid w:val="003C1867"/>
    <w:rsid w:val="003C1AA1"/>
    <w:rsid w:val="003C1DFD"/>
    <w:rsid w:val="003C1E89"/>
    <w:rsid w:val="003C1ED8"/>
    <w:rsid w:val="003C1EE8"/>
    <w:rsid w:val="003C1F37"/>
    <w:rsid w:val="003C21B7"/>
    <w:rsid w:val="003C2246"/>
    <w:rsid w:val="003C22E7"/>
    <w:rsid w:val="003C24D6"/>
    <w:rsid w:val="003C26C9"/>
    <w:rsid w:val="003C27BC"/>
    <w:rsid w:val="003C290C"/>
    <w:rsid w:val="003C2E3B"/>
    <w:rsid w:val="003C31DF"/>
    <w:rsid w:val="003C356E"/>
    <w:rsid w:val="003C35AB"/>
    <w:rsid w:val="003C41E4"/>
    <w:rsid w:val="003C4243"/>
    <w:rsid w:val="003C424E"/>
    <w:rsid w:val="003C4844"/>
    <w:rsid w:val="003C50FD"/>
    <w:rsid w:val="003C537D"/>
    <w:rsid w:val="003C5805"/>
    <w:rsid w:val="003C5881"/>
    <w:rsid w:val="003C5D52"/>
    <w:rsid w:val="003C5D67"/>
    <w:rsid w:val="003C5DEE"/>
    <w:rsid w:val="003C6229"/>
    <w:rsid w:val="003C647F"/>
    <w:rsid w:val="003C660B"/>
    <w:rsid w:val="003C718E"/>
    <w:rsid w:val="003C727F"/>
    <w:rsid w:val="003C76EF"/>
    <w:rsid w:val="003C78F4"/>
    <w:rsid w:val="003C7A6D"/>
    <w:rsid w:val="003D022B"/>
    <w:rsid w:val="003D05F0"/>
    <w:rsid w:val="003D0A8A"/>
    <w:rsid w:val="003D0EDB"/>
    <w:rsid w:val="003D1038"/>
    <w:rsid w:val="003D1067"/>
    <w:rsid w:val="003D1329"/>
    <w:rsid w:val="003D1488"/>
    <w:rsid w:val="003D15BE"/>
    <w:rsid w:val="003D1BCF"/>
    <w:rsid w:val="003D20D7"/>
    <w:rsid w:val="003D22EC"/>
    <w:rsid w:val="003D26BF"/>
    <w:rsid w:val="003D280B"/>
    <w:rsid w:val="003D2961"/>
    <w:rsid w:val="003D2A2D"/>
    <w:rsid w:val="003D2BEE"/>
    <w:rsid w:val="003D2DBE"/>
    <w:rsid w:val="003D2E58"/>
    <w:rsid w:val="003D3050"/>
    <w:rsid w:val="003D3341"/>
    <w:rsid w:val="003D3536"/>
    <w:rsid w:val="003D3568"/>
    <w:rsid w:val="003D371C"/>
    <w:rsid w:val="003D3D79"/>
    <w:rsid w:val="003D3EDD"/>
    <w:rsid w:val="003D3F2B"/>
    <w:rsid w:val="003D3FDC"/>
    <w:rsid w:val="003D41E7"/>
    <w:rsid w:val="003D438B"/>
    <w:rsid w:val="003D4623"/>
    <w:rsid w:val="003D46C7"/>
    <w:rsid w:val="003D4A9F"/>
    <w:rsid w:val="003D4AF4"/>
    <w:rsid w:val="003D4F45"/>
    <w:rsid w:val="003D50EB"/>
    <w:rsid w:val="003D529A"/>
    <w:rsid w:val="003D5460"/>
    <w:rsid w:val="003D5944"/>
    <w:rsid w:val="003D5D78"/>
    <w:rsid w:val="003D5E9D"/>
    <w:rsid w:val="003D5F68"/>
    <w:rsid w:val="003D6221"/>
    <w:rsid w:val="003D66F5"/>
    <w:rsid w:val="003D6806"/>
    <w:rsid w:val="003D6D2F"/>
    <w:rsid w:val="003D73F4"/>
    <w:rsid w:val="003D744B"/>
    <w:rsid w:val="003D7BE0"/>
    <w:rsid w:val="003D7CF9"/>
    <w:rsid w:val="003D7E95"/>
    <w:rsid w:val="003E048D"/>
    <w:rsid w:val="003E066B"/>
    <w:rsid w:val="003E0825"/>
    <w:rsid w:val="003E0AAC"/>
    <w:rsid w:val="003E0C44"/>
    <w:rsid w:val="003E167E"/>
    <w:rsid w:val="003E1698"/>
    <w:rsid w:val="003E17F7"/>
    <w:rsid w:val="003E2600"/>
    <w:rsid w:val="003E272F"/>
    <w:rsid w:val="003E27A9"/>
    <w:rsid w:val="003E282A"/>
    <w:rsid w:val="003E28F8"/>
    <w:rsid w:val="003E2BEA"/>
    <w:rsid w:val="003E2D5F"/>
    <w:rsid w:val="003E2EEC"/>
    <w:rsid w:val="003E2F53"/>
    <w:rsid w:val="003E30ED"/>
    <w:rsid w:val="003E3738"/>
    <w:rsid w:val="003E3B0F"/>
    <w:rsid w:val="003E3EDE"/>
    <w:rsid w:val="003E3F30"/>
    <w:rsid w:val="003E415F"/>
    <w:rsid w:val="003E46FF"/>
    <w:rsid w:val="003E47E1"/>
    <w:rsid w:val="003E4B98"/>
    <w:rsid w:val="003E4BB5"/>
    <w:rsid w:val="003E4C6C"/>
    <w:rsid w:val="003E51D0"/>
    <w:rsid w:val="003E55A0"/>
    <w:rsid w:val="003E5A42"/>
    <w:rsid w:val="003E5E26"/>
    <w:rsid w:val="003E61DB"/>
    <w:rsid w:val="003E6351"/>
    <w:rsid w:val="003E63E3"/>
    <w:rsid w:val="003E64B2"/>
    <w:rsid w:val="003E66BA"/>
    <w:rsid w:val="003E6BF8"/>
    <w:rsid w:val="003E6DAF"/>
    <w:rsid w:val="003E7245"/>
    <w:rsid w:val="003E72D0"/>
    <w:rsid w:val="003E7E17"/>
    <w:rsid w:val="003E7EF1"/>
    <w:rsid w:val="003F01F7"/>
    <w:rsid w:val="003F0250"/>
    <w:rsid w:val="003F0497"/>
    <w:rsid w:val="003F0E57"/>
    <w:rsid w:val="003F1154"/>
    <w:rsid w:val="003F1657"/>
    <w:rsid w:val="003F1A89"/>
    <w:rsid w:val="003F2006"/>
    <w:rsid w:val="003F229C"/>
    <w:rsid w:val="003F2365"/>
    <w:rsid w:val="003F23AF"/>
    <w:rsid w:val="003F29E6"/>
    <w:rsid w:val="003F2A58"/>
    <w:rsid w:val="003F2C6E"/>
    <w:rsid w:val="003F3575"/>
    <w:rsid w:val="003F35D8"/>
    <w:rsid w:val="003F36EE"/>
    <w:rsid w:val="003F3C02"/>
    <w:rsid w:val="003F3CD4"/>
    <w:rsid w:val="003F3E63"/>
    <w:rsid w:val="003F42ED"/>
    <w:rsid w:val="003F476C"/>
    <w:rsid w:val="003F48DD"/>
    <w:rsid w:val="003F4900"/>
    <w:rsid w:val="003F49A1"/>
    <w:rsid w:val="003F4A37"/>
    <w:rsid w:val="003F4B16"/>
    <w:rsid w:val="003F4B75"/>
    <w:rsid w:val="003F4BE5"/>
    <w:rsid w:val="003F4DEC"/>
    <w:rsid w:val="003F4E85"/>
    <w:rsid w:val="003F4FBD"/>
    <w:rsid w:val="003F506F"/>
    <w:rsid w:val="003F5176"/>
    <w:rsid w:val="003F52D7"/>
    <w:rsid w:val="003F5573"/>
    <w:rsid w:val="003F599C"/>
    <w:rsid w:val="003F5A45"/>
    <w:rsid w:val="003F5ADC"/>
    <w:rsid w:val="003F5CCB"/>
    <w:rsid w:val="003F60E6"/>
    <w:rsid w:val="003F647D"/>
    <w:rsid w:val="003F659A"/>
    <w:rsid w:val="003F67C4"/>
    <w:rsid w:val="003F67D0"/>
    <w:rsid w:val="003F703B"/>
    <w:rsid w:val="003F70ED"/>
    <w:rsid w:val="003F76A5"/>
    <w:rsid w:val="003F7702"/>
    <w:rsid w:val="003F7813"/>
    <w:rsid w:val="003F7DA5"/>
    <w:rsid w:val="003F7F69"/>
    <w:rsid w:val="00400080"/>
    <w:rsid w:val="004002F3"/>
    <w:rsid w:val="00400436"/>
    <w:rsid w:val="00400EF8"/>
    <w:rsid w:val="00401210"/>
    <w:rsid w:val="00401606"/>
    <w:rsid w:val="004016BA"/>
    <w:rsid w:val="00401826"/>
    <w:rsid w:val="004018B9"/>
    <w:rsid w:val="00401AC2"/>
    <w:rsid w:val="00401D2F"/>
    <w:rsid w:val="00401D82"/>
    <w:rsid w:val="00401E89"/>
    <w:rsid w:val="00402649"/>
    <w:rsid w:val="004027BB"/>
    <w:rsid w:val="00402A5B"/>
    <w:rsid w:val="00402A60"/>
    <w:rsid w:val="00402B95"/>
    <w:rsid w:val="00402C46"/>
    <w:rsid w:val="0040309B"/>
    <w:rsid w:val="0040319E"/>
    <w:rsid w:val="004031B2"/>
    <w:rsid w:val="004035A1"/>
    <w:rsid w:val="00403654"/>
    <w:rsid w:val="004036A3"/>
    <w:rsid w:val="004037F2"/>
    <w:rsid w:val="00403A2F"/>
    <w:rsid w:val="00403C38"/>
    <w:rsid w:val="00403CDC"/>
    <w:rsid w:val="00403F4F"/>
    <w:rsid w:val="0040406B"/>
    <w:rsid w:val="00404601"/>
    <w:rsid w:val="00404ADE"/>
    <w:rsid w:val="00404EBF"/>
    <w:rsid w:val="0040599D"/>
    <w:rsid w:val="00405E1D"/>
    <w:rsid w:val="00406088"/>
    <w:rsid w:val="00406281"/>
    <w:rsid w:val="00406302"/>
    <w:rsid w:val="004065FF"/>
    <w:rsid w:val="004066E9"/>
    <w:rsid w:val="0040671D"/>
    <w:rsid w:val="00406793"/>
    <w:rsid w:val="00406A47"/>
    <w:rsid w:val="00406DF0"/>
    <w:rsid w:val="00407063"/>
    <w:rsid w:val="00407100"/>
    <w:rsid w:val="0040732E"/>
    <w:rsid w:val="0040794A"/>
    <w:rsid w:val="00407A0A"/>
    <w:rsid w:val="00407AC1"/>
    <w:rsid w:val="00407CB3"/>
    <w:rsid w:val="00407F59"/>
    <w:rsid w:val="00407FD9"/>
    <w:rsid w:val="00410134"/>
    <w:rsid w:val="004103C7"/>
    <w:rsid w:val="00410917"/>
    <w:rsid w:val="0041096E"/>
    <w:rsid w:val="00410A03"/>
    <w:rsid w:val="00410B44"/>
    <w:rsid w:val="004113D8"/>
    <w:rsid w:val="00411474"/>
    <w:rsid w:val="0041153C"/>
    <w:rsid w:val="004115ED"/>
    <w:rsid w:val="004118AB"/>
    <w:rsid w:val="00411E47"/>
    <w:rsid w:val="004120B9"/>
    <w:rsid w:val="0041219D"/>
    <w:rsid w:val="00412551"/>
    <w:rsid w:val="004129B8"/>
    <w:rsid w:val="00412D4E"/>
    <w:rsid w:val="00412F1F"/>
    <w:rsid w:val="004132F1"/>
    <w:rsid w:val="00413664"/>
    <w:rsid w:val="0041386B"/>
    <w:rsid w:val="00413C80"/>
    <w:rsid w:val="0041430F"/>
    <w:rsid w:val="0041441E"/>
    <w:rsid w:val="004144A5"/>
    <w:rsid w:val="0041485E"/>
    <w:rsid w:val="00415333"/>
    <w:rsid w:val="004155D3"/>
    <w:rsid w:val="00415971"/>
    <w:rsid w:val="00415EFB"/>
    <w:rsid w:val="00415FDB"/>
    <w:rsid w:val="004168E2"/>
    <w:rsid w:val="00416950"/>
    <w:rsid w:val="004172D0"/>
    <w:rsid w:val="00417361"/>
    <w:rsid w:val="004174CB"/>
    <w:rsid w:val="0041769B"/>
    <w:rsid w:val="004176C0"/>
    <w:rsid w:val="00417A5C"/>
    <w:rsid w:val="00417B99"/>
    <w:rsid w:val="00417E2A"/>
    <w:rsid w:val="00417EAC"/>
    <w:rsid w:val="00420DC7"/>
    <w:rsid w:val="00421000"/>
    <w:rsid w:val="0042132A"/>
    <w:rsid w:val="0042151F"/>
    <w:rsid w:val="004215D8"/>
    <w:rsid w:val="004218E3"/>
    <w:rsid w:val="004219C6"/>
    <w:rsid w:val="00421ED2"/>
    <w:rsid w:val="004224C1"/>
    <w:rsid w:val="00423286"/>
    <w:rsid w:val="00423DF8"/>
    <w:rsid w:val="004240F9"/>
    <w:rsid w:val="00424150"/>
    <w:rsid w:val="00424188"/>
    <w:rsid w:val="0042440B"/>
    <w:rsid w:val="0042486A"/>
    <w:rsid w:val="004248E0"/>
    <w:rsid w:val="004249A8"/>
    <w:rsid w:val="00424BEF"/>
    <w:rsid w:val="00424DBC"/>
    <w:rsid w:val="00425116"/>
    <w:rsid w:val="004256D5"/>
    <w:rsid w:val="004257F5"/>
    <w:rsid w:val="004257F9"/>
    <w:rsid w:val="0042590D"/>
    <w:rsid w:val="00425ECF"/>
    <w:rsid w:val="00425F48"/>
    <w:rsid w:val="00426052"/>
    <w:rsid w:val="00426987"/>
    <w:rsid w:val="00426E20"/>
    <w:rsid w:val="0042705F"/>
    <w:rsid w:val="004270FE"/>
    <w:rsid w:val="004271EB"/>
    <w:rsid w:val="0042728A"/>
    <w:rsid w:val="0042779B"/>
    <w:rsid w:val="0042794A"/>
    <w:rsid w:val="00427A7E"/>
    <w:rsid w:val="00427E50"/>
    <w:rsid w:val="00427EE5"/>
    <w:rsid w:val="00427EE7"/>
    <w:rsid w:val="004300A6"/>
    <w:rsid w:val="00430678"/>
    <w:rsid w:val="004309B6"/>
    <w:rsid w:val="004309EC"/>
    <w:rsid w:val="00430A1F"/>
    <w:rsid w:val="00430C46"/>
    <w:rsid w:val="00430D63"/>
    <w:rsid w:val="00430D93"/>
    <w:rsid w:val="0043144B"/>
    <w:rsid w:val="004315C2"/>
    <w:rsid w:val="00431637"/>
    <w:rsid w:val="00431922"/>
    <w:rsid w:val="00431B5B"/>
    <w:rsid w:val="00431E1C"/>
    <w:rsid w:val="00431E60"/>
    <w:rsid w:val="00431FFF"/>
    <w:rsid w:val="004324D2"/>
    <w:rsid w:val="004324D9"/>
    <w:rsid w:val="00432893"/>
    <w:rsid w:val="0043293D"/>
    <w:rsid w:val="00432EB5"/>
    <w:rsid w:val="00432ED1"/>
    <w:rsid w:val="00433011"/>
    <w:rsid w:val="004331FB"/>
    <w:rsid w:val="00433509"/>
    <w:rsid w:val="004336F1"/>
    <w:rsid w:val="004338C7"/>
    <w:rsid w:val="00433CAD"/>
    <w:rsid w:val="004341C6"/>
    <w:rsid w:val="0043423C"/>
    <w:rsid w:val="004342DD"/>
    <w:rsid w:val="00434453"/>
    <w:rsid w:val="004345F7"/>
    <w:rsid w:val="004347E1"/>
    <w:rsid w:val="00434D81"/>
    <w:rsid w:val="00434E5C"/>
    <w:rsid w:val="00435085"/>
    <w:rsid w:val="00435365"/>
    <w:rsid w:val="004354E4"/>
    <w:rsid w:val="004354FA"/>
    <w:rsid w:val="004358D9"/>
    <w:rsid w:val="004359F6"/>
    <w:rsid w:val="00435C57"/>
    <w:rsid w:val="00435D14"/>
    <w:rsid w:val="00435E5A"/>
    <w:rsid w:val="00435F2C"/>
    <w:rsid w:val="004361C9"/>
    <w:rsid w:val="004362A6"/>
    <w:rsid w:val="00436D24"/>
    <w:rsid w:val="00437766"/>
    <w:rsid w:val="00437999"/>
    <w:rsid w:val="00437B29"/>
    <w:rsid w:val="00437D86"/>
    <w:rsid w:val="004402FC"/>
    <w:rsid w:val="00440473"/>
    <w:rsid w:val="00440ACF"/>
    <w:rsid w:val="00441698"/>
    <w:rsid w:val="004418A5"/>
    <w:rsid w:val="00441AAF"/>
    <w:rsid w:val="00441AEF"/>
    <w:rsid w:val="00441B07"/>
    <w:rsid w:val="00441C68"/>
    <w:rsid w:val="00441F09"/>
    <w:rsid w:val="00441FCE"/>
    <w:rsid w:val="00442205"/>
    <w:rsid w:val="00442381"/>
    <w:rsid w:val="004424DB"/>
    <w:rsid w:val="00442BB9"/>
    <w:rsid w:val="00442BFA"/>
    <w:rsid w:val="00442D39"/>
    <w:rsid w:val="00442EB0"/>
    <w:rsid w:val="00443426"/>
    <w:rsid w:val="004435B4"/>
    <w:rsid w:val="00443A98"/>
    <w:rsid w:val="00443BC0"/>
    <w:rsid w:val="00444270"/>
    <w:rsid w:val="004442D9"/>
    <w:rsid w:val="00444317"/>
    <w:rsid w:val="0044468A"/>
    <w:rsid w:val="00445167"/>
    <w:rsid w:val="0044556C"/>
    <w:rsid w:val="00445735"/>
    <w:rsid w:val="00445C14"/>
    <w:rsid w:val="0044662F"/>
    <w:rsid w:val="00446708"/>
    <w:rsid w:val="0044671F"/>
    <w:rsid w:val="00446876"/>
    <w:rsid w:val="00446B9B"/>
    <w:rsid w:val="0044721D"/>
    <w:rsid w:val="004474A2"/>
    <w:rsid w:val="004477B8"/>
    <w:rsid w:val="00447AFB"/>
    <w:rsid w:val="0045003A"/>
    <w:rsid w:val="00450310"/>
    <w:rsid w:val="00450989"/>
    <w:rsid w:val="004509B0"/>
    <w:rsid w:val="00450B29"/>
    <w:rsid w:val="00450D0E"/>
    <w:rsid w:val="0045109F"/>
    <w:rsid w:val="004515D0"/>
    <w:rsid w:val="00451AD7"/>
    <w:rsid w:val="00452114"/>
    <w:rsid w:val="0045250F"/>
    <w:rsid w:val="0045276E"/>
    <w:rsid w:val="00452951"/>
    <w:rsid w:val="00453549"/>
    <w:rsid w:val="0045367B"/>
    <w:rsid w:val="004536B6"/>
    <w:rsid w:val="00453762"/>
    <w:rsid w:val="0045408D"/>
    <w:rsid w:val="004540B9"/>
    <w:rsid w:val="004541C8"/>
    <w:rsid w:val="0045431A"/>
    <w:rsid w:val="004546E1"/>
    <w:rsid w:val="00454968"/>
    <w:rsid w:val="00454CA8"/>
    <w:rsid w:val="00454D33"/>
    <w:rsid w:val="00454DD1"/>
    <w:rsid w:val="00454E37"/>
    <w:rsid w:val="0045515B"/>
    <w:rsid w:val="00455193"/>
    <w:rsid w:val="004551B0"/>
    <w:rsid w:val="00455CF2"/>
    <w:rsid w:val="00455E79"/>
    <w:rsid w:val="00456037"/>
    <w:rsid w:val="0045657B"/>
    <w:rsid w:val="00456A65"/>
    <w:rsid w:val="00456E2A"/>
    <w:rsid w:val="004571DF"/>
    <w:rsid w:val="00457505"/>
    <w:rsid w:val="00457C33"/>
    <w:rsid w:val="004603C5"/>
    <w:rsid w:val="0046042B"/>
    <w:rsid w:val="004608D6"/>
    <w:rsid w:val="004611E2"/>
    <w:rsid w:val="00461330"/>
    <w:rsid w:val="0046134B"/>
    <w:rsid w:val="004615D7"/>
    <w:rsid w:val="00461771"/>
    <w:rsid w:val="004617D8"/>
    <w:rsid w:val="00461A95"/>
    <w:rsid w:val="00461B7F"/>
    <w:rsid w:val="00461D06"/>
    <w:rsid w:val="0046207F"/>
    <w:rsid w:val="004620A0"/>
    <w:rsid w:val="004624D0"/>
    <w:rsid w:val="00462552"/>
    <w:rsid w:val="00462A82"/>
    <w:rsid w:val="00462F0F"/>
    <w:rsid w:val="004631F1"/>
    <w:rsid w:val="004635D0"/>
    <w:rsid w:val="00463D06"/>
    <w:rsid w:val="00463F8C"/>
    <w:rsid w:val="00464105"/>
    <w:rsid w:val="00464315"/>
    <w:rsid w:val="00464611"/>
    <w:rsid w:val="00464D20"/>
    <w:rsid w:val="00465237"/>
    <w:rsid w:val="00465594"/>
    <w:rsid w:val="00465767"/>
    <w:rsid w:val="004657E2"/>
    <w:rsid w:val="00465A75"/>
    <w:rsid w:val="004661CA"/>
    <w:rsid w:val="0046649B"/>
    <w:rsid w:val="004665AD"/>
    <w:rsid w:val="00466B5E"/>
    <w:rsid w:val="00466B7E"/>
    <w:rsid w:val="00466D0B"/>
    <w:rsid w:val="00466E43"/>
    <w:rsid w:val="004671C9"/>
    <w:rsid w:val="00467CBA"/>
    <w:rsid w:val="00467DCF"/>
    <w:rsid w:val="004703A0"/>
    <w:rsid w:val="00470D41"/>
    <w:rsid w:val="00470FA8"/>
    <w:rsid w:val="004714EC"/>
    <w:rsid w:val="00471AB8"/>
    <w:rsid w:val="00471B32"/>
    <w:rsid w:val="00471BCC"/>
    <w:rsid w:val="00471CAD"/>
    <w:rsid w:val="00471F23"/>
    <w:rsid w:val="004720C0"/>
    <w:rsid w:val="004729A9"/>
    <w:rsid w:val="004729EC"/>
    <w:rsid w:val="00472C8F"/>
    <w:rsid w:val="00473876"/>
    <w:rsid w:val="004738A0"/>
    <w:rsid w:val="00473A2C"/>
    <w:rsid w:val="00473B5D"/>
    <w:rsid w:val="00474063"/>
    <w:rsid w:val="00474A88"/>
    <w:rsid w:val="00474BB1"/>
    <w:rsid w:val="004752E9"/>
    <w:rsid w:val="0047569B"/>
    <w:rsid w:val="00475876"/>
    <w:rsid w:val="00475A67"/>
    <w:rsid w:val="00475D96"/>
    <w:rsid w:val="004762A5"/>
    <w:rsid w:val="004764D8"/>
    <w:rsid w:val="0047665D"/>
    <w:rsid w:val="00476A82"/>
    <w:rsid w:val="00476BC8"/>
    <w:rsid w:val="00476CDB"/>
    <w:rsid w:val="00476E20"/>
    <w:rsid w:val="0047727A"/>
    <w:rsid w:val="00477422"/>
    <w:rsid w:val="00477426"/>
    <w:rsid w:val="004778ED"/>
    <w:rsid w:val="004779EE"/>
    <w:rsid w:val="00477F84"/>
    <w:rsid w:val="004801C7"/>
    <w:rsid w:val="004807BD"/>
    <w:rsid w:val="00480854"/>
    <w:rsid w:val="00480AEB"/>
    <w:rsid w:val="0048123D"/>
    <w:rsid w:val="004813F6"/>
    <w:rsid w:val="00481535"/>
    <w:rsid w:val="004815C6"/>
    <w:rsid w:val="004822DA"/>
    <w:rsid w:val="00483737"/>
    <w:rsid w:val="00483827"/>
    <w:rsid w:val="00483A27"/>
    <w:rsid w:val="00483A46"/>
    <w:rsid w:val="00483DDF"/>
    <w:rsid w:val="00483E7D"/>
    <w:rsid w:val="0048473C"/>
    <w:rsid w:val="00484A01"/>
    <w:rsid w:val="00484E32"/>
    <w:rsid w:val="0048520D"/>
    <w:rsid w:val="004852CA"/>
    <w:rsid w:val="004853A9"/>
    <w:rsid w:val="00485653"/>
    <w:rsid w:val="004857A8"/>
    <w:rsid w:val="004859ED"/>
    <w:rsid w:val="00485D71"/>
    <w:rsid w:val="004863A9"/>
    <w:rsid w:val="0048661F"/>
    <w:rsid w:val="00487062"/>
    <w:rsid w:val="00487079"/>
    <w:rsid w:val="004871F9"/>
    <w:rsid w:val="00487364"/>
    <w:rsid w:val="0048753C"/>
    <w:rsid w:val="00487B3F"/>
    <w:rsid w:val="00487F75"/>
    <w:rsid w:val="004903B0"/>
    <w:rsid w:val="004904FC"/>
    <w:rsid w:val="00490640"/>
    <w:rsid w:val="00490CF3"/>
    <w:rsid w:val="00490F8D"/>
    <w:rsid w:val="0049115E"/>
    <w:rsid w:val="0049119E"/>
    <w:rsid w:val="00491413"/>
    <w:rsid w:val="004917F0"/>
    <w:rsid w:val="0049192D"/>
    <w:rsid w:val="00491943"/>
    <w:rsid w:val="00491A24"/>
    <w:rsid w:val="00491C1D"/>
    <w:rsid w:val="00491F3C"/>
    <w:rsid w:val="0049204D"/>
    <w:rsid w:val="00492632"/>
    <w:rsid w:val="0049272C"/>
    <w:rsid w:val="004929B8"/>
    <w:rsid w:val="00493202"/>
    <w:rsid w:val="0049321D"/>
    <w:rsid w:val="0049329E"/>
    <w:rsid w:val="004934DF"/>
    <w:rsid w:val="0049362E"/>
    <w:rsid w:val="00493B36"/>
    <w:rsid w:val="00493FD3"/>
    <w:rsid w:val="00494518"/>
    <w:rsid w:val="00494648"/>
    <w:rsid w:val="00494B39"/>
    <w:rsid w:val="00494D9A"/>
    <w:rsid w:val="004955AD"/>
    <w:rsid w:val="00495BE2"/>
    <w:rsid w:val="00495CCC"/>
    <w:rsid w:val="004960BE"/>
    <w:rsid w:val="004964EA"/>
    <w:rsid w:val="004966DF"/>
    <w:rsid w:val="0049688A"/>
    <w:rsid w:val="00496A5D"/>
    <w:rsid w:val="00496D45"/>
    <w:rsid w:val="00496FB4"/>
    <w:rsid w:val="00497524"/>
    <w:rsid w:val="0049762D"/>
    <w:rsid w:val="00497B27"/>
    <w:rsid w:val="00497B51"/>
    <w:rsid w:val="004A029D"/>
    <w:rsid w:val="004A0722"/>
    <w:rsid w:val="004A0B78"/>
    <w:rsid w:val="004A0C8E"/>
    <w:rsid w:val="004A0CBA"/>
    <w:rsid w:val="004A0E1F"/>
    <w:rsid w:val="004A0EB8"/>
    <w:rsid w:val="004A10FE"/>
    <w:rsid w:val="004A1410"/>
    <w:rsid w:val="004A163D"/>
    <w:rsid w:val="004A16B5"/>
    <w:rsid w:val="004A1AB5"/>
    <w:rsid w:val="004A1B4C"/>
    <w:rsid w:val="004A1BC5"/>
    <w:rsid w:val="004A24ED"/>
    <w:rsid w:val="004A27E8"/>
    <w:rsid w:val="004A29F0"/>
    <w:rsid w:val="004A2B3D"/>
    <w:rsid w:val="004A3350"/>
    <w:rsid w:val="004A3370"/>
    <w:rsid w:val="004A3A8A"/>
    <w:rsid w:val="004A3AC1"/>
    <w:rsid w:val="004A3B2A"/>
    <w:rsid w:val="004A4BBA"/>
    <w:rsid w:val="004A4BD6"/>
    <w:rsid w:val="004A4DB8"/>
    <w:rsid w:val="004A4E00"/>
    <w:rsid w:val="004A5448"/>
    <w:rsid w:val="004A5642"/>
    <w:rsid w:val="004A5EF4"/>
    <w:rsid w:val="004A5F07"/>
    <w:rsid w:val="004A5F3C"/>
    <w:rsid w:val="004A6264"/>
    <w:rsid w:val="004A64E0"/>
    <w:rsid w:val="004A6820"/>
    <w:rsid w:val="004A6CB8"/>
    <w:rsid w:val="004A715A"/>
    <w:rsid w:val="004A72D8"/>
    <w:rsid w:val="004A743A"/>
    <w:rsid w:val="004A7A82"/>
    <w:rsid w:val="004A7B29"/>
    <w:rsid w:val="004A7B72"/>
    <w:rsid w:val="004A7BE4"/>
    <w:rsid w:val="004A7D07"/>
    <w:rsid w:val="004A7EE4"/>
    <w:rsid w:val="004B09A3"/>
    <w:rsid w:val="004B0C0A"/>
    <w:rsid w:val="004B0C4C"/>
    <w:rsid w:val="004B0CF7"/>
    <w:rsid w:val="004B10A1"/>
    <w:rsid w:val="004B1166"/>
    <w:rsid w:val="004B14B4"/>
    <w:rsid w:val="004B15B2"/>
    <w:rsid w:val="004B1665"/>
    <w:rsid w:val="004B16E0"/>
    <w:rsid w:val="004B1B7D"/>
    <w:rsid w:val="004B1E21"/>
    <w:rsid w:val="004B1E66"/>
    <w:rsid w:val="004B24FC"/>
    <w:rsid w:val="004B28E6"/>
    <w:rsid w:val="004B29D3"/>
    <w:rsid w:val="004B2F56"/>
    <w:rsid w:val="004B3257"/>
    <w:rsid w:val="004B39BA"/>
    <w:rsid w:val="004B3A47"/>
    <w:rsid w:val="004B49E2"/>
    <w:rsid w:val="004B4A8D"/>
    <w:rsid w:val="004B4BFF"/>
    <w:rsid w:val="004B4E18"/>
    <w:rsid w:val="004B4ECD"/>
    <w:rsid w:val="004B53FE"/>
    <w:rsid w:val="004B54F6"/>
    <w:rsid w:val="004B5A3F"/>
    <w:rsid w:val="004B5C8C"/>
    <w:rsid w:val="004B5D92"/>
    <w:rsid w:val="004B5D96"/>
    <w:rsid w:val="004B5F98"/>
    <w:rsid w:val="004B62AA"/>
    <w:rsid w:val="004B62F9"/>
    <w:rsid w:val="004B6457"/>
    <w:rsid w:val="004B6618"/>
    <w:rsid w:val="004B6B4D"/>
    <w:rsid w:val="004B6CAF"/>
    <w:rsid w:val="004B6D2F"/>
    <w:rsid w:val="004B7310"/>
    <w:rsid w:val="004B7375"/>
    <w:rsid w:val="004B75CE"/>
    <w:rsid w:val="004B7A3C"/>
    <w:rsid w:val="004B7C5C"/>
    <w:rsid w:val="004B7D4E"/>
    <w:rsid w:val="004B7DB0"/>
    <w:rsid w:val="004B7E76"/>
    <w:rsid w:val="004B7EFD"/>
    <w:rsid w:val="004C00C9"/>
    <w:rsid w:val="004C0130"/>
    <w:rsid w:val="004C02A2"/>
    <w:rsid w:val="004C07B7"/>
    <w:rsid w:val="004C094F"/>
    <w:rsid w:val="004C0966"/>
    <w:rsid w:val="004C0A94"/>
    <w:rsid w:val="004C0D31"/>
    <w:rsid w:val="004C0F6C"/>
    <w:rsid w:val="004C119E"/>
    <w:rsid w:val="004C1312"/>
    <w:rsid w:val="004C178E"/>
    <w:rsid w:val="004C18B7"/>
    <w:rsid w:val="004C18BA"/>
    <w:rsid w:val="004C1C32"/>
    <w:rsid w:val="004C1EBE"/>
    <w:rsid w:val="004C218B"/>
    <w:rsid w:val="004C2526"/>
    <w:rsid w:val="004C2E8D"/>
    <w:rsid w:val="004C3063"/>
    <w:rsid w:val="004C3129"/>
    <w:rsid w:val="004C3305"/>
    <w:rsid w:val="004C375B"/>
    <w:rsid w:val="004C3925"/>
    <w:rsid w:val="004C41C6"/>
    <w:rsid w:val="004C426B"/>
    <w:rsid w:val="004C47C8"/>
    <w:rsid w:val="004C497D"/>
    <w:rsid w:val="004C4D51"/>
    <w:rsid w:val="004C50AB"/>
    <w:rsid w:val="004C5236"/>
    <w:rsid w:val="004C5247"/>
    <w:rsid w:val="004C5256"/>
    <w:rsid w:val="004C560F"/>
    <w:rsid w:val="004C5F6A"/>
    <w:rsid w:val="004C609B"/>
    <w:rsid w:val="004C6269"/>
    <w:rsid w:val="004C6437"/>
    <w:rsid w:val="004C6502"/>
    <w:rsid w:val="004C66D7"/>
    <w:rsid w:val="004C6870"/>
    <w:rsid w:val="004C6E26"/>
    <w:rsid w:val="004C6F74"/>
    <w:rsid w:val="004C770A"/>
    <w:rsid w:val="004C7B26"/>
    <w:rsid w:val="004D0226"/>
    <w:rsid w:val="004D022D"/>
    <w:rsid w:val="004D050C"/>
    <w:rsid w:val="004D06E5"/>
    <w:rsid w:val="004D0856"/>
    <w:rsid w:val="004D0A7C"/>
    <w:rsid w:val="004D0BC2"/>
    <w:rsid w:val="004D0E6F"/>
    <w:rsid w:val="004D11DC"/>
    <w:rsid w:val="004D1B4C"/>
    <w:rsid w:val="004D20FE"/>
    <w:rsid w:val="004D2720"/>
    <w:rsid w:val="004D27A4"/>
    <w:rsid w:val="004D2DE8"/>
    <w:rsid w:val="004D313D"/>
    <w:rsid w:val="004D333D"/>
    <w:rsid w:val="004D3588"/>
    <w:rsid w:val="004D35CC"/>
    <w:rsid w:val="004D3C62"/>
    <w:rsid w:val="004D3EBA"/>
    <w:rsid w:val="004D3F83"/>
    <w:rsid w:val="004D405D"/>
    <w:rsid w:val="004D4376"/>
    <w:rsid w:val="004D49E2"/>
    <w:rsid w:val="004D4C3F"/>
    <w:rsid w:val="004D4CBD"/>
    <w:rsid w:val="004D55C7"/>
    <w:rsid w:val="004D5BAF"/>
    <w:rsid w:val="004D5BEA"/>
    <w:rsid w:val="004D5D7C"/>
    <w:rsid w:val="004D5E43"/>
    <w:rsid w:val="004D5E4E"/>
    <w:rsid w:val="004D5FC6"/>
    <w:rsid w:val="004D65AF"/>
    <w:rsid w:val="004D67C7"/>
    <w:rsid w:val="004D6930"/>
    <w:rsid w:val="004D6E14"/>
    <w:rsid w:val="004D6F3E"/>
    <w:rsid w:val="004D7421"/>
    <w:rsid w:val="004D7D1B"/>
    <w:rsid w:val="004E0284"/>
    <w:rsid w:val="004E07C9"/>
    <w:rsid w:val="004E0817"/>
    <w:rsid w:val="004E0CA4"/>
    <w:rsid w:val="004E0CDD"/>
    <w:rsid w:val="004E0E8E"/>
    <w:rsid w:val="004E1089"/>
    <w:rsid w:val="004E10F8"/>
    <w:rsid w:val="004E1831"/>
    <w:rsid w:val="004E184C"/>
    <w:rsid w:val="004E1CD4"/>
    <w:rsid w:val="004E1D0C"/>
    <w:rsid w:val="004E2065"/>
    <w:rsid w:val="004E25BD"/>
    <w:rsid w:val="004E2844"/>
    <w:rsid w:val="004E2A0E"/>
    <w:rsid w:val="004E2AFE"/>
    <w:rsid w:val="004E2D97"/>
    <w:rsid w:val="004E2D9C"/>
    <w:rsid w:val="004E314C"/>
    <w:rsid w:val="004E3521"/>
    <w:rsid w:val="004E35E0"/>
    <w:rsid w:val="004E3648"/>
    <w:rsid w:val="004E38BD"/>
    <w:rsid w:val="004E398A"/>
    <w:rsid w:val="004E3DDB"/>
    <w:rsid w:val="004E3E16"/>
    <w:rsid w:val="004E3F03"/>
    <w:rsid w:val="004E4210"/>
    <w:rsid w:val="004E4636"/>
    <w:rsid w:val="004E4900"/>
    <w:rsid w:val="004E49F2"/>
    <w:rsid w:val="004E4ACB"/>
    <w:rsid w:val="004E4FEB"/>
    <w:rsid w:val="004E53ED"/>
    <w:rsid w:val="004E5493"/>
    <w:rsid w:val="004E5775"/>
    <w:rsid w:val="004E631F"/>
    <w:rsid w:val="004E66B0"/>
    <w:rsid w:val="004E67DF"/>
    <w:rsid w:val="004E68FD"/>
    <w:rsid w:val="004E6A03"/>
    <w:rsid w:val="004E6DAF"/>
    <w:rsid w:val="004E6EFA"/>
    <w:rsid w:val="004E72B1"/>
    <w:rsid w:val="004E733D"/>
    <w:rsid w:val="004E764E"/>
    <w:rsid w:val="004E79C7"/>
    <w:rsid w:val="004F0063"/>
    <w:rsid w:val="004F009A"/>
    <w:rsid w:val="004F04C8"/>
    <w:rsid w:val="004F07C3"/>
    <w:rsid w:val="004F0A3B"/>
    <w:rsid w:val="004F0B13"/>
    <w:rsid w:val="004F0F46"/>
    <w:rsid w:val="004F168E"/>
    <w:rsid w:val="004F176C"/>
    <w:rsid w:val="004F1A0B"/>
    <w:rsid w:val="004F1A43"/>
    <w:rsid w:val="004F1D33"/>
    <w:rsid w:val="004F1F9F"/>
    <w:rsid w:val="004F209A"/>
    <w:rsid w:val="004F2617"/>
    <w:rsid w:val="004F2AC8"/>
    <w:rsid w:val="004F2B3C"/>
    <w:rsid w:val="004F2B95"/>
    <w:rsid w:val="004F2FE2"/>
    <w:rsid w:val="004F34E8"/>
    <w:rsid w:val="004F3645"/>
    <w:rsid w:val="004F3755"/>
    <w:rsid w:val="004F3A1C"/>
    <w:rsid w:val="004F3A28"/>
    <w:rsid w:val="004F3C6A"/>
    <w:rsid w:val="004F3CB1"/>
    <w:rsid w:val="004F3E57"/>
    <w:rsid w:val="004F424F"/>
    <w:rsid w:val="004F4599"/>
    <w:rsid w:val="004F4860"/>
    <w:rsid w:val="004F4D39"/>
    <w:rsid w:val="004F5191"/>
    <w:rsid w:val="004F5470"/>
    <w:rsid w:val="004F54A9"/>
    <w:rsid w:val="004F54F1"/>
    <w:rsid w:val="004F57A2"/>
    <w:rsid w:val="004F57B7"/>
    <w:rsid w:val="004F59CB"/>
    <w:rsid w:val="004F5A2B"/>
    <w:rsid w:val="004F61C2"/>
    <w:rsid w:val="004F630D"/>
    <w:rsid w:val="004F63D4"/>
    <w:rsid w:val="004F64C4"/>
    <w:rsid w:val="004F6553"/>
    <w:rsid w:val="004F6EA0"/>
    <w:rsid w:val="004F711F"/>
    <w:rsid w:val="004F751C"/>
    <w:rsid w:val="004F7753"/>
    <w:rsid w:val="004F7865"/>
    <w:rsid w:val="004F79C0"/>
    <w:rsid w:val="00500143"/>
    <w:rsid w:val="005005EC"/>
    <w:rsid w:val="00500610"/>
    <w:rsid w:val="005006F6"/>
    <w:rsid w:val="00500965"/>
    <w:rsid w:val="00500CE9"/>
    <w:rsid w:val="00500F32"/>
    <w:rsid w:val="00500F64"/>
    <w:rsid w:val="0050158E"/>
    <w:rsid w:val="0050166D"/>
    <w:rsid w:val="005018F1"/>
    <w:rsid w:val="00501C23"/>
    <w:rsid w:val="00501F62"/>
    <w:rsid w:val="0050207C"/>
    <w:rsid w:val="0050223F"/>
    <w:rsid w:val="005022D7"/>
    <w:rsid w:val="005026A8"/>
    <w:rsid w:val="005028CF"/>
    <w:rsid w:val="0050293B"/>
    <w:rsid w:val="00502A46"/>
    <w:rsid w:val="00502C55"/>
    <w:rsid w:val="005031CC"/>
    <w:rsid w:val="005034D1"/>
    <w:rsid w:val="00503B59"/>
    <w:rsid w:val="00503B5F"/>
    <w:rsid w:val="00503E18"/>
    <w:rsid w:val="00504102"/>
    <w:rsid w:val="005041DF"/>
    <w:rsid w:val="00504266"/>
    <w:rsid w:val="005042B2"/>
    <w:rsid w:val="00504579"/>
    <w:rsid w:val="005045FB"/>
    <w:rsid w:val="00504980"/>
    <w:rsid w:val="00504E1F"/>
    <w:rsid w:val="005051E1"/>
    <w:rsid w:val="00505201"/>
    <w:rsid w:val="0050543B"/>
    <w:rsid w:val="005054A7"/>
    <w:rsid w:val="0050553F"/>
    <w:rsid w:val="005058F7"/>
    <w:rsid w:val="005059C3"/>
    <w:rsid w:val="00505A69"/>
    <w:rsid w:val="00505D13"/>
    <w:rsid w:val="005064EC"/>
    <w:rsid w:val="005065D6"/>
    <w:rsid w:val="00506B63"/>
    <w:rsid w:val="00506C7A"/>
    <w:rsid w:val="00507231"/>
    <w:rsid w:val="005073A5"/>
    <w:rsid w:val="00507B8F"/>
    <w:rsid w:val="0051021F"/>
    <w:rsid w:val="0051089E"/>
    <w:rsid w:val="00510CD2"/>
    <w:rsid w:val="00510D17"/>
    <w:rsid w:val="00510E1C"/>
    <w:rsid w:val="00511457"/>
    <w:rsid w:val="00511470"/>
    <w:rsid w:val="005118A0"/>
    <w:rsid w:val="00511DB5"/>
    <w:rsid w:val="005120C8"/>
    <w:rsid w:val="005121CE"/>
    <w:rsid w:val="00513204"/>
    <w:rsid w:val="005135D6"/>
    <w:rsid w:val="005139AA"/>
    <w:rsid w:val="00513A60"/>
    <w:rsid w:val="00513BFC"/>
    <w:rsid w:val="00513C27"/>
    <w:rsid w:val="00513D25"/>
    <w:rsid w:val="00514262"/>
    <w:rsid w:val="005143D9"/>
    <w:rsid w:val="00514409"/>
    <w:rsid w:val="00514A4B"/>
    <w:rsid w:val="00514C07"/>
    <w:rsid w:val="00514C0D"/>
    <w:rsid w:val="0051520E"/>
    <w:rsid w:val="00515339"/>
    <w:rsid w:val="00515568"/>
    <w:rsid w:val="00515C3C"/>
    <w:rsid w:val="00516005"/>
    <w:rsid w:val="005160A4"/>
    <w:rsid w:val="005160EB"/>
    <w:rsid w:val="005161A9"/>
    <w:rsid w:val="005162DF"/>
    <w:rsid w:val="005163AE"/>
    <w:rsid w:val="0051657A"/>
    <w:rsid w:val="0051659F"/>
    <w:rsid w:val="00516EB0"/>
    <w:rsid w:val="0051720E"/>
    <w:rsid w:val="0051748C"/>
    <w:rsid w:val="00517605"/>
    <w:rsid w:val="00517956"/>
    <w:rsid w:val="00517A91"/>
    <w:rsid w:val="00517E42"/>
    <w:rsid w:val="00520288"/>
    <w:rsid w:val="00520394"/>
    <w:rsid w:val="005203F8"/>
    <w:rsid w:val="005204BF"/>
    <w:rsid w:val="00520741"/>
    <w:rsid w:val="005208A5"/>
    <w:rsid w:val="00520D56"/>
    <w:rsid w:val="005211DA"/>
    <w:rsid w:val="005211F1"/>
    <w:rsid w:val="005219CC"/>
    <w:rsid w:val="005219EB"/>
    <w:rsid w:val="00521B48"/>
    <w:rsid w:val="00521BFD"/>
    <w:rsid w:val="00522204"/>
    <w:rsid w:val="005222AC"/>
    <w:rsid w:val="00522374"/>
    <w:rsid w:val="00522BD7"/>
    <w:rsid w:val="00523042"/>
    <w:rsid w:val="005230D6"/>
    <w:rsid w:val="005237D1"/>
    <w:rsid w:val="005239A8"/>
    <w:rsid w:val="00523D7E"/>
    <w:rsid w:val="00523F0D"/>
    <w:rsid w:val="00524230"/>
    <w:rsid w:val="005243FF"/>
    <w:rsid w:val="005244DF"/>
    <w:rsid w:val="005247D0"/>
    <w:rsid w:val="00524980"/>
    <w:rsid w:val="00524FC9"/>
    <w:rsid w:val="0052514B"/>
    <w:rsid w:val="00525440"/>
    <w:rsid w:val="00525494"/>
    <w:rsid w:val="0052576C"/>
    <w:rsid w:val="00525844"/>
    <w:rsid w:val="00525925"/>
    <w:rsid w:val="00525CD8"/>
    <w:rsid w:val="0052637F"/>
    <w:rsid w:val="00526724"/>
    <w:rsid w:val="005267CC"/>
    <w:rsid w:val="00527541"/>
    <w:rsid w:val="0052759B"/>
    <w:rsid w:val="0052766A"/>
    <w:rsid w:val="005278E8"/>
    <w:rsid w:val="00530206"/>
    <w:rsid w:val="005306E5"/>
    <w:rsid w:val="005307AE"/>
    <w:rsid w:val="00530C0A"/>
    <w:rsid w:val="00530E98"/>
    <w:rsid w:val="0053119F"/>
    <w:rsid w:val="00531201"/>
    <w:rsid w:val="005315EA"/>
    <w:rsid w:val="00531925"/>
    <w:rsid w:val="00531D71"/>
    <w:rsid w:val="005323C7"/>
    <w:rsid w:val="0053242B"/>
    <w:rsid w:val="0053254B"/>
    <w:rsid w:val="00532638"/>
    <w:rsid w:val="005328E3"/>
    <w:rsid w:val="00532BB9"/>
    <w:rsid w:val="00532C33"/>
    <w:rsid w:val="00532DD0"/>
    <w:rsid w:val="005338B9"/>
    <w:rsid w:val="00533A90"/>
    <w:rsid w:val="00533AF4"/>
    <w:rsid w:val="00533BB7"/>
    <w:rsid w:val="00533E18"/>
    <w:rsid w:val="00534140"/>
    <w:rsid w:val="005344C9"/>
    <w:rsid w:val="00534936"/>
    <w:rsid w:val="00534949"/>
    <w:rsid w:val="00534D26"/>
    <w:rsid w:val="00534FE7"/>
    <w:rsid w:val="005355D1"/>
    <w:rsid w:val="00535829"/>
    <w:rsid w:val="00535AB0"/>
    <w:rsid w:val="00535BA8"/>
    <w:rsid w:val="00535FE0"/>
    <w:rsid w:val="005360A4"/>
    <w:rsid w:val="00536168"/>
    <w:rsid w:val="005361F0"/>
    <w:rsid w:val="0053658F"/>
    <w:rsid w:val="00536767"/>
    <w:rsid w:val="00536790"/>
    <w:rsid w:val="00536804"/>
    <w:rsid w:val="00536866"/>
    <w:rsid w:val="005368C0"/>
    <w:rsid w:val="005368F9"/>
    <w:rsid w:val="0053691F"/>
    <w:rsid w:val="00536BEB"/>
    <w:rsid w:val="00536D8D"/>
    <w:rsid w:val="00537B5E"/>
    <w:rsid w:val="00537BBF"/>
    <w:rsid w:val="00537D8C"/>
    <w:rsid w:val="00540344"/>
    <w:rsid w:val="00540AD3"/>
    <w:rsid w:val="00540EA9"/>
    <w:rsid w:val="00540EC9"/>
    <w:rsid w:val="0054166F"/>
    <w:rsid w:val="00541736"/>
    <w:rsid w:val="00541D00"/>
    <w:rsid w:val="00541DD2"/>
    <w:rsid w:val="00541E09"/>
    <w:rsid w:val="00541FC0"/>
    <w:rsid w:val="0054214D"/>
    <w:rsid w:val="0054224A"/>
    <w:rsid w:val="00542305"/>
    <w:rsid w:val="0054288C"/>
    <w:rsid w:val="00542BD6"/>
    <w:rsid w:val="00542FB3"/>
    <w:rsid w:val="005430D8"/>
    <w:rsid w:val="00543119"/>
    <w:rsid w:val="0054315B"/>
    <w:rsid w:val="005431C6"/>
    <w:rsid w:val="00543219"/>
    <w:rsid w:val="00543350"/>
    <w:rsid w:val="00543472"/>
    <w:rsid w:val="0054354F"/>
    <w:rsid w:val="005436D0"/>
    <w:rsid w:val="00543707"/>
    <w:rsid w:val="005437C3"/>
    <w:rsid w:val="00543CC7"/>
    <w:rsid w:val="00543F39"/>
    <w:rsid w:val="0054437D"/>
    <w:rsid w:val="00544508"/>
    <w:rsid w:val="005445BB"/>
    <w:rsid w:val="005450CE"/>
    <w:rsid w:val="00545316"/>
    <w:rsid w:val="00545347"/>
    <w:rsid w:val="00545388"/>
    <w:rsid w:val="005454BF"/>
    <w:rsid w:val="00545752"/>
    <w:rsid w:val="00545791"/>
    <w:rsid w:val="00545BF0"/>
    <w:rsid w:val="00546546"/>
    <w:rsid w:val="00546AAF"/>
    <w:rsid w:val="00547011"/>
    <w:rsid w:val="0054734D"/>
    <w:rsid w:val="005473FC"/>
    <w:rsid w:val="005475F9"/>
    <w:rsid w:val="00547751"/>
    <w:rsid w:val="005479A6"/>
    <w:rsid w:val="0055009B"/>
    <w:rsid w:val="005501A8"/>
    <w:rsid w:val="00550451"/>
    <w:rsid w:val="005505FC"/>
    <w:rsid w:val="0055081E"/>
    <w:rsid w:val="00550933"/>
    <w:rsid w:val="00550B70"/>
    <w:rsid w:val="005510CA"/>
    <w:rsid w:val="005512AC"/>
    <w:rsid w:val="00551730"/>
    <w:rsid w:val="00551886"/>
    <w:rsid w:val="005520E5"/>
    <w:rsid w:val="0055267D"/>
    <w:rsid w:val="005526C9"/>
    <w:rsid w:val="00552741"/>
    <w:rsid w:val="00552DAB"/>
    <w:rsid w:val="00552E06"/>
    <w:rsid w:val="00552E56"/>
    <w:rsid w:val="0055338D"/>
    <w:rsid w:val="005535B0"/>
    <w:rsid w:val="0055363F"/>
    <w:rsid w:val="0055370B"/>
    <w:rsid w:val="00553B6B"/>
    <w:rsid w:val="00553B84"/>
    <w:rsid w:val="00553E8C"/>
    <w:rsid w:val="00554260"/>
    <w:rsid w:val="005545C8"/>
    <w:rsid w:val="00554795"/>
    <w:rsid w:val="00554AFC"/>
    <w:rsid w:val="00554C3E"/>
    <w:rsid w:val="00555462"/>
    <w:rsid w:val="00555471"/>
    <w:rsid w:val="005555DF"/>
    <w:rsid w:val="005556ED"/>
    <w:rsid w:val="0055572F"/>
    <w:rsid w:val="00555880"/>
    <w:rsid w:val="00555A1E"/>
    <w:rsid w:val="00555B73"/>
    <w:rsid w:val="005561DD"/>
    <w:rsid w:val="00556539"/>
    <w:rsid w:val="005568B5"/>
    <w:rsid w:val="00556B82"/>
    <w:rsid w:val="00556D1A"/>
    <w:rsid w:val="00557002"/>
    <w:rsid w:val="00557028"/>
    <w:rsid w:val="00557062"/>
    <w:rsid w:val="00557654"/>
    <w:rsid w:val="005578DC"/>
    <w:rsid w:val="005602C4"/>
    <w:rsid w:val="00560577"/>
    <w:rsid w:val="00560636"/>
    <w:rsid w:val="00560C44"/>
    <w:rsid w:val="00561038"/>
    <w:rsid w:val="005610DF"/>
    <w:rsid w:val="005612AC"/>
    <w:rsid w:val="005615A6"/>
    <w:rsid w:val="005618B3"/>
    <w:rsid w:val="00561A10"/>
    <w:rsid w:val="00561DA8"/>
    <w:rsid w:val="005624A1"/>
    <w:rsid w:val="005628B2"/>
    <w:rsid w:val="00562B91"/>
    <w:rsid w:val="005631CD"/>
    <w:rsid w:val="00563211"/>
    <w:rsid w:val="00563499"/>
    <w:rsid w:val="00563753"/>
    <w:rsid w:val="005639D5"/>
    <w:rsid w:val="0056404D"/>
    <w:rsid w:val="0056455C"/>
    <w:rsid w:val="00564745"/>
    <w:rsid w:val="005647EB"/>
    <w:rsid w:val="00564B15"/>
    <w:rsid w:val="00564BC7"/>
    <w:rsid w:val="00564CBE"/>
    <w:rsid w:val="00564CEE"/>
    <w:rsid w:val="005651D7"/>
    <w:rsid w:val="00565330"/>
    <w:rsid w:val="00565654"/>
    <w:rsid w:val="00565B03"/>
    <w:rsid w:val="0056606B"/>
    <w:rsid w:val="005661F8"/>
    <w:rsid w:val="0056636D"/>
    <w:rsid w:val="0056660D"/>
    <w:rsid w:val="0056676D"/>
    <w:rsid w:val="005667FB"/>
    <w:rsid w:val="00566CCA"/>
    <w:rsid w:val="00566EED"/>
    <w:rsid w:val="00566FB2"/>
    <w:rsid w:val="00567FFA"/>
    <w:rsid w:val="005700C1"/>
    <w:rsid w:val="005700F0"/>
    <w:rsid w:val="0057013A"/>
    <w:rsid w:val="005701DC"/>
    <w:rsid w:val="005703E0"/>
    <w:rsid w:val="005707EB"/>
    <w:rsid w:val="00570B80"/>
    <w:rsid w:val="0057100A"/>
    <w:rsid w:val="005716DE"/>
    <w:rsid w:val="0057178A"/>
    <w:rsid w:val="00571D6F"/>
    <w:rsid w:val="00571E04"/>
    <w:rsid w:val="00572013"/>
    <w:rsid w:val="005721DD"/>
    <w:rsid w:val="005727F3"/>
    <w:rsid w:val="00572967"/>
    <w:rsid w:val="00572B0B"/>
    <w:rsid w:val="00572BD7"/>
    <w:rsid w:val="00573394"/>
    <w:rsid w:val="00573487"/>
    <w:rsid w:val="0057403F"/>
    <w:rsid w:val="005741A8"/>
    <w:rsid w:val="0057468A"/>
    <w:rsid w:val="00575004"/>
    <w:rsid w:val="005752A9"/>
    <w:rsid w:val="0057533D"/>
    <w:rsid w:val="005756FF"/>
    <w:rsid w:val="00575BEE"/>
    <w:rsid w:val="00575CFB"/>
    <w:rsid w:val="00575E8F"/>
    <w:rsid w:val="00576017"/>
    <w:rsid w:val="00576161"/>
    <w:rsid w:val="00576924"/>
    <w:rsid w:val="00576E5E"/>
    <w:rsid w:val="0057757D"/>
    <w:rsid w:val="005778EB"/>
    <w:rsid w:val="00577CA2"/>
    <w:rsid w:val="00577D67"/>
    <w:rsid w:val="00577DB4"/>
    <w:rsid w:val="00577E04"/>
    <w:rsid w:val="00580243"/>
    <w:rsid w:val="005808EC"/>
    <w:rsid w:val="00580D93"/>
    <w:rsid w:val="00581066"/>
    <w:rsid w:val="00581289"/>
    <w:rsid w:val="0058136F"/>
    <w:rsid w:val="005813AD"/>
    <w:rsid w:val="0058167B"/>
    <w:rsid w:val="00581685"/>
    <w:rsid w:val="00581885"/>
    <w:rsid w:val="00581A0E"/>
    <w:rsid w:val="00581A1E"/>
    <w:rsid w:val="00581C1A"/>
    <w:rsid w:val="00581FEC"/>
    <w:rsid w:val="005822A3"/>
    <w:rsid w:val="00582720"/>
    <w:rsid w:val="00582975"/>
    <w:rsid w:val="00582B64"/>
    <w:rsid w:val="00582CB2"/>
    <w:rsid w:val="00582FC0"/>
    <w:rsid w:val="0058371E"/>
    <w:rsid w:val="00583947"/>
    <w:rsid w:val="0058396B"/>
    <w:rsid w:val="00583989"/>
    <w:rsid w:val="00583FA3"/>
    <w:rsid w:val="0058430F"/>
    <w:rsid w:val="005843D8"/>
    <w:rsid w:val="00584448"/>
    <w:rsid w:val="00585098"/>
    <w:rsid w:val="005850A1"/>
    <w:rsid w:val="00585139"/>
    <w:rsid w:val="00585157"/>
    <w:rsid w:val="005853EE"/>
    <w:rsid w:val="005854E4"/>
    <w:rsid w:val="005856E7"/>
    <w:rsid w:val="0058679B"/>
    <w:rsid w:val="005868C4"/>
    <w:rsid w:val="00586ABE"/>
    <w:rsid w:val="005879D5"/>
    <w:rsid w:val="00587B12"/>
    <w:rsid w:val="00587BB2"/>
    <w:rsid w:val="00587C67"/>
    <w:rsid w:val="00587C8B"/>
    <w:rsid w:val="0059004B"/>
    <w:rsid w:val="005904DF"/>
    <w:rsid w:val="005905BF"/>
    <w:rsid w:val="00590BD9"/>
    <w:rsid w:val="00590C81"/>
    <w:rsid w:val="00590E90"/>
    <w:rsid w:val="00591105"/>
    <w:rsid w:val="00591FF6"/>
    <w:rsid w:val="005921BE"/>
    <w:rsid w:val="005926E7"/>
    <w:rsid w:val="00592732"/>
    <w:rsid w:val="00592B26"/>
    <w:rsid w:val="00592C7F"/>
    <w:rsid w:val="005932BE"/>
    <w:rsid w:val="00593455"/>
    <w:rsid w:val="00593685"/>
    <w:rsid w:val="00593C97"/>
    <w:rsid w:val="00594143"/>
    <w:rsid w:val="005945C4"/>
    <w:rsid w:val="005945D9"/>
    <w:rsid w:val="00594A45"/>
    <w:rsid w:val="00594ABB"/>
    <w:rsid w:val="00595439"/>
    <w:rsid w:val="005955B0"/>
    <w:rsid w:val="00595C47"/>
    <w:rsid w:val="00595D52"/>
    <w:rsid w:val="00596407"/>
    <w:rsid w:val="005964D3"/>
    <w:rsid w:val="00596550"/>
    <w:rsid w:val="00596588"/>
    <w:rsid w:val="00596593"/>
    <w:rsid w:val="00596696"/>
    <w:rsid w:val="005967EF"/>
    <w:rsid w:val="00596F7D"/>
    <w:rsid w:val="005971BD"/>
    <w:rsid w:val="0059736B"/>
    <w:rsid w:val="005974C9"/>
    <w:rsid w:val="00597897"/>
    <w:rsid w:val="00597A18"/>
    <w:rsid w:val="00597A9E"/>
    <w:rsid w:val="00597DFC"/>
    <w:rsid w:val="005A0292"/>
    <w:rsid w:val="005A09BE"/>
    <w:rsid w:val="005A0A25"/>
    <w:rsid w:val="005A0AA2"/>
    <w:rsid w:val="005A0AE7"/>
    <w:rsid w:val="005A0B14"/>
    <w:rsid w:val="005A0E87"/>
    <w:rsid w:val="005A0FDB"/>
    <w:rsid w:val="005A11B8"/>
    <w:rsid w:val="005A1443"/>
    <w:rsid w:val="005A188E"/>
    <w:rsid w:val="005A18CB"/>
    <w:rsid w:val="005A1EC1"/>
    <w:rsid w:val="005A20AD"/>
    <w:rsid w:val="005A21FB"/>
    <w:rsid w:val="005A235B"/>
    <w:rsid w:val="005A24C9"/>
    <w:rsid w:val="005A2584"/>
    <w:rsid w:val="005A258A"/>
    <w:rsid w:val="005A2625"/>
    <w:rsid w:val="005A27BA"/>
    <w:rsid w:val="005A2C22"/>
    <w:rsid w:val="005A2E41"/>
    <w:rsid w:val="005A2FD6"/>
    <w:rsid w:val="005A3137"/>
    <w:rsid w:val="005A32FD"/>
    <w:rsid w:val="005A334C"/>
    <w:rsid w:val="005A3410"/>
    <w:rsid w:val="005A34E6"/>
    <w:rsid w:val="005A3725"/>
    <w:rsid w:val="005A398C"/>
    <w:rsid w:val="005A4274"/>
    <w:rsid w:val="005A4567"/>
    <w:rsid w:val="005A459C"/>
    <w:rsid w:val="005A4692"/>
    <w:rsid w:val="005A49A2"/>
    <w:rsid w:val="005A4D69"/>
    <w:rsid w:val="005A5A74"/>
    <w:rsid w:val="005A5AE4"/>
    <w:rsid w:val="005A5C3B"/>
    <w:rsid w:val="005A5E11"/>
    <w:rsid w:val="005A6010"/>
    <w:rsid w:val="005A608B"/>
    <w:rsid w:val="005A639A"/>
    <w:rsid w:val="005A6863"/>
    <w:rsid w:val="005A68DF"/>
    <w:rsid w:val="005A6A8F"/>
    <w:rsid w:val="005A6E54"/>
    <w:rsid w:val="005A7018"/>
    <w:rsid w:val="005A716A"/>
    <w:rsid w:val="005A7529"/>
    <w:rsid w:val="005A7AB4"/>
    <w:rsid w:val="005A7BFE"/>
    <w:rsid w:val="005A7D0C"/>
    <w:rsid w:val="005A7EFB"/>
    <w:rsid w:val="005B159E"/>
    <w:rsid w:val="005B17AE"/>
    <w:rsid w:val="005B1A06"/>
    <w:rsid w:val="005B1B28"/>
    <w:rsid w:val="005B1C67"/>
    <w:rsid w:val="005B1E2D"/>
    <w:rsid w:val="005B1E45"/>
    <w:rsid w:val="005B1FAF"/>
    <w:rsid w:val="005B2791"/>
    <w:rsid w:val="005B27DB"/>
    <w:rsid w:val="005B2C4D"/>
    <w:rsid w:val="005B2DB3"/>
    <w:rsid w:val="005B2DFA"/>
    <w:rsid w:val="005B33C2"/>
    <w:rsid w:val="005B341E"/>
    <w:rsid w:val="005B35AE"/>
    <w:rsid w:val="005B3628"/>
    <w:rsid w:val="005B3875"/>
    <w:rsid w:val="005B3A6F"/>
    <w:rsid w:val="005B3B8C"/>
    <w:rsid w:val="005B3DDF"/>
    <w:rsid w:val="005B4191"/>
    <w:rsid w:val="005B4885"/>
    <w:rsid w:val="005B4A94"/>
    <w:rsid w:val="005B4CA7"/>
    <w:rsid w:val="005B4D2F"/>
    <w:rsid w:val="005B4DB8"/>
    <w:rsid w:val="005B4FC8"/>
    <w:rsid w:val="005B507B"/>
    <w:rsid w:val="005B5D4B"/>
    <w:rsid w:val="005B5F23"/>
    <w:rsid w:val="005B611C"/>
    <w:rsid w:val="005B6507"/>
    <w:rsid w:val="005B673C"/>
    <w:rsid w:val="005B6CFD"/>
    <w:rsid w:val="005B6EA3"/>
    <w:rsid w:val="005B6F0C"/>
    <w:rsid w:val="005B715B"/>
    <w:rsid w:val="005B7186"/>
    <w:rsid w:val="005B7221"/>
    <w:rsid w:val="005B75E5"/>
    <w:rsid w:val="005B793A"/>
    <w:rsid w:val="005B7945"/>
    <w:rsid w:val="005B7962"/>
    <w:rsid w:val="005B7AF9"/>
    <w:rsid w:val="005B7DD9"/>
    <w:rsid w:val="005C00A5"/>
    <w:rsid w:val="005C054D"/>
    <w:rsid w:val="005C05A4"/>
    <w:rsid w:val="005C06CD"/>
    <w:rsid w:val="005C08A5"/>
    <w:rsid w:val="005C09CC"/>
    <w:rsid w:val="005C11A0"/>
    <w:rsid w:val="005C14AB"/>
    <w:rsid w:val="005C1C2E"/>
    <w:rsid w:val="005C2055"/>
    <w:rsid w:val="005C2153"/>
    <w:rsid w:val="005C240F"/>
    <w:rsid w:val="005C2A54"/>
    <w:rsid w:val="005C30A7"/>
    <w:rsid w:val="005C3122"/>
    <w:rsid w:val="005C3825"/>
    <w:rsid w:val="005C3A1C"/>
    <w:rsid w:val="005C3B90"/>
    <w:rsid w:val="005C3E27"/>
    <w:rsid w:val="005C3E5E"/>
    <w:rsid w:val="005C3F97"/>
    <w:rsid w:val="005C4023"/>
    <w:rsid w:val="005C4137"/>
    <w:rsid w:val="005C4283"/>
    <w:rsid w:val="005C42E4"/>
    <w:rsid w:val="005C46D6"/>
    <w:rsid w:val="005C4B3F"/>
    <w:rsid w:val="005C5068"/>
    <w:rsid w:val="005C50B5"/>
    <w:rsid w:val="005C5216"/>
    <w:rsid w:val="005C525B"/>
    <w:rsid w:val="005C556F"/>
    <w:rsid w:val="005C55E8"/>
    <w:rsid w:val="005C5716"/>
    <w:rsid w:val="005C5824"/>
    <w:rsid w:val="005C5874"/>
    <w:rsid w:val="005C5C0F"/>
    <w:rsid w:val="005C5F76"/>
    <w:rsid w:val="005C610A"/>
    <w:rsid w:val="005C68C3"/>
    <w:rsid w:val="005C6C19"/>
    <w:rsid w:val="005C6C92"/>
    <w:rsid w:val="005C7378"/>
    <w:rsid w:val="005C7D84"/>
    <w:rsid w:val="005C7F8E"/>
    <w:rsid w:val="005D010C"/>
    <w:rsid w:val="005D0220"/>
    <w:rsid w:val="005D0622"/>
    <w:rsid w:val="005D0A1D"/>
    <w:rsid w:val="005D0A8D"/>
    <w:rsid w:val="005D0E69"/>
    <w:rsid w:val="005D109B"/>
    <w:rsid w:val="005D1262"/>
    <w:rsid w:val="005D131B"/>
    <w:rsid w:val="005D176E"/>
    <w:rsid w:val="005D1A38"/>
    <w:rsid w:val="005D1A75"/>
    <w:rsid w:val="005D1B9A"/>
    <w:rsid w:val="005D234F"/>
    <w:rsid w:val="005D2403"/>
    <w:rsid w:val="005D2742"/>
    <w:rsid w:val="005D2A1C"/>
    <w:rsid w:val="005D2A25"/>
    <w:rsid w:val="005D3266"/>
    <w:rsid w:val="005D3884"/>
    <w:rsid w:val="005D38AD"/>
    <w:rsid w:val="005D38BA"/>
    <w:rsid w:val="005D3D30"/>
    <w:rsid w:val="005D3F5D"/>
    <w:rsid w:val="005D4487"/>
    <w:rsid w:val="005D46BD"/>
    <w:rsid w:val="005D471D"/>
    <w:rsid w:val="005D476E"/>
    <w:rsid w:val="005D5583"/>
    <w:rsid w:val="005D5ACC"/>
    <w:rsid w:val="005D66BC"/>
    <w:rsid w:val="005D6BCE"/>
    <w:rsid w:val="005D6C50"/>
    <w:rsid w:val="005D6D00"/>
    <w:rsid w:val="005E06C8"/>
    <w:rsid w:val="005E0ADC"/>
    <w:rsid w:val="005E12E4"/>
    <w:rsid w:val="005E1857"/>
    <w:rsid w:val="005E19A3"/>
    <w:rsid w:val="005E1C87"/>
    <w:rsid w:val="005E1DA4"/>
    <w:rsid w:val="005E1EF4"/>
    <w:rsid w:val="005E1FE6"/>
    <w:rsid w:val="005E218D"/>
    <w:rsid w:val="005E28B5"/>
    <w:rsid w:val="005E29F2"/>
    <w:rsid w:val="005E2AAD"/>
    <w:rsid w:val="005E2BAB"/>
    <w:rsid w:val="005E325C"/>
    <w:rsid w:val="005E33E6"/>
    <w:rsid w:val="005E382C"/>
    <w:rsid w:val="005E3832"/>
    <w:rsid w:val="005E3948"/>
    <w:rsid w:val="005E39AE"/>
    <w:rsid w:val="005E3A36"/>
    <w:rsid w:val="005E3F4F"/>
    <w:rsid w:val="005E4015"/>
    <w:rsid w:val="005E41EB"/>
    <w:rsid w:val="005E430C"/>
    <w:rsid w:val="005E4D3B"/>
    <w:rsid w:val="005E4E9E"/>
    <w:rsid w:val="005E500D"/>
    <w:rsid w:val="005E50A4"/>
    <w:rsid w:val="005E50CB"/>
    <w:rsid w:val="005E510F"/>
    <w:rsid w:val="005E5B4F"/>
    <w:rsid w:val="005E5C68"/>
    <w:rsid w:val="005E5EC8"/>
    <w:rsid w:val="005E66D8"/>
    <w:rsid w:val="005E690B"/>
    <w:rsid w:val="005E69C7"/>
    <w:rsid w:val="005E6B45"/>
    <w:rsid w:val="005E7022"/>
    <w:rsid w:val="005E714C"/>
    <w:rsid w:val="005E7CBF"/>
    <w:rsid w:val="005E7DAD"/>
    <w:rsid w:val="005E7E92"/>
    <w:rsid w:val="005E7F8C"/>
    <w:rsid w:val="005F00E0"/>
    <w:rsid w:val="005F01A4"/>
    <w:rsid w:val="005F04F5"/>
    <w:rsid w:val="005F05FD"/>
    <w:rsid w:val="005F07D4"/>
    <w:rsid w:val="005F07ED"/>
    <w:rsid w:val="005F090D"/>
    <w:rsid w:val="005F0C28"/>
    <w:rsid w:val="005F0FB9"/>
    <w:rsid w:val="005F1307"/>
    <w:rsid w:val="005F1B00"/>
    <w:rsid w:val="005F1B2C"/>
    <w:rsid w:val="005F1B3F"/>
    <w:rsid w:val="005F1E12"/>
    <w:rsid w:val="005F1E58"/>
    <w:rsid w:val="005F1FB2"/>
    <w:rsid w:val="005F2052"/>
    <w:rsid w:val="005F2212"/>
    <w:rsid w:val="005F2412"/>
    <w:rsid w:val="005F24C5"/>
    <w:rsid w:val="005F2603"/>
    <w:rsid w:val="005F2AD0"/>
    <w:rsid w:val="005F2DE6"/>
    <w:rsid w:val="005F2E08"/>
    <w:rsid w:val="005F322D"/>
    <w:rsid w:val="005F34EA"/>
    <w:rsid w:val="005F360B"/>
    <w:rsid w:val="005F366F"/>
    <w:rsid w:val="005F386B"/>
    <w:rsid w:val="005F387B"/>
    <w:rsid w:val="005F3B15"/>
    <w:rsid w:val="005F3D64"/>
    <w:rsid w:val="005F3E72"/>
    <w:rsid w:val="005F4407"/>
    <w:rsid w:val="005F4741"/>
    <w:rsid w:val="005F479D"/>
    <w:rsid w:val="005F4BAA"/>
    <w:rsid w:val="005F4DF2"/>
    <w:rsid w:val="005F4E66"/>
    <w:rsid w:val="005F4F2B"/>
    <w:rsid w:val="005F5629"/>
    <w:rsid w:val="005F59EC"/>
    <w:rsid w:val="005F5A9B"/>
    <w:rsid w:val="005F5DD8"/>
    <w:rsid w:val="005F5E9C"/>
    <w:rsid w:val="005F5F4E"/>
    <w:rsid w:val="005F62DA"/>
    <w:rsid w:val="005F63C6"/>
    <w:rsid w:val="005F650E"/>
    <w:rsid w:val="005F670B"/>
    <w:rsid w:val="005F6A90"/>
    <w:rsid w:val="005F6AF0"/>
    <w:rsid w:val="005F6B98"/>
    <w:rsid w:val="005F7178"/>
    <w:rsid w:val="005F71D7"/>
    <w:rsid w:val="005F787A"/>
    <w:rsid w:val="005F7B17"/>
    <w:rsid w:val="005F7C0E"/>
    <w:rsid w:val="006002BE"/>
    <w:rsid w:val="0060061D"/>
    <w:rsid w:val="00600670"/>
    <w:rsid w:val="00600976"/>
    <w:rsid w:val="00600C4F"/>
    <w:rsid w:val="00601157"/>
    <w:rsid w:val="00601165"/>
    <w:rsid w:val="006011AC"/>
    <w:rsid w:val="00601632"/>
    <w:rsid w:val="006016E5"/>
    <w:rsid w:val="0060177D"/>
    <w:rsid w:val="00601865"/>
    <w:rsid w:val="006019D8"/>
    <w:rsid w:val="00601AEB"/>
    <w:rsid w:val="00601BB5"/>
    <w:rsid w:val="00601C72"/>
    <w:rsid w:val="00601DE2"/>
    <w:rsid w:val="00601E70"/>
    <w:rsid w:val="006020B0"/>
    <w:rsid w:val="00602157"/>
    <w:rsid w:val="006022AC"/>
    <w:rsid w:val="00602331"/>
    <w:rsid w:val="00602334"/>
    <w:rsid w:val="0060233B"/>
    <w:rsid w:val="0060269B"/>
    <w:rsid w:val="0060279E"/>
    <w:rsid w:val="00602A50"/>
    <w:rsid w:val="00602C7E"/>
    <w:rsid w:val="00602D0A"/>
    <w:rsid w:val="00602D70"/>
    <w:rsid w:val="00602EA1"/>
    <w:rsid w:val="00602F8B"/>
    <w:rsid w:val="006032FA"/>
    <w:rsid w:val="006033E1"/>
    <w:rsid w:val="00603537"/>
    <w:rsid w:val="006037BE"/>
    <w:rsid w:val="00603AEE"/>
    <w:rsid w:val="00603D38"/>
    <w:rsid w:val="00603FF8"/>
    <w:rsid w:val="0060495B"/>
    <w:rsid w:val="00604A8C"/>
    <w:rsid w:val="00604DD2"/>
    <w:rsid w:val="00604E71"/>
    <w:rsid w:val="006052F6"/>
    <w:rsid w:val="00605460"/>
    <w:rsid w:val="00605531"/>
    <w:rsid w:val="00605569"/>
    <w:rsid w:val="00605698"/>
    <w:rsid w:val="00605706"/>
    <w:rsid w:val="006058E4"/>
    <w:rsid w:val="00605A95"/>
    <w:rsid w:val="00605ABD"/>
    <w:rsid w:val="00605C3D"/>
    <w:rsid w:val="00605E1E"/>
    <w:rsid w:val="00605F66"/>
    <w:rsid w:val="0060618A"/>
    <w:rsid w:val="0060685E"/>
    <w:rsid w:val="00606908"/>
    <w:rsid w:val="00606973"/>
    <w:rsid w:val="00606A28"/>
    <w:rsid w:val="006074F8"/>
    <w:rsid w:val="006075FE"/>
    <w:rsid w:val="00607B95"/>
    <w:rsid w:val="00607E89"/>
    <w:rsid w:val="00607EFB"/>
    <w:rsid w:val="006101EA"/>
    <w:rsid w:val="00610C49"/>
    <w:rsid w:val="00610DE1"/>
    <w:rsid w:val="00611325"/>
    <w:rsid w:val="006113B6"/>
    <w:rsid w:val="00611560"/>
    <w:rsid w:val="0061171E"/>
    <w:rsid w:val="00611983"/>
    <w:rsid w:val="00611C2C"/>
    <w:rsid w:val="00611CDF"/>
    <w:rsid w:val="00612038"/>
    <w:rsid w:val="00612154"/>
    <w:rsid w:val="00612683"/>
    <w:rsid w:val="00612B00"/>
    <w:rsid w:val="00612C28"/>
    <w:rsid w:val="00612E01"/>
    <w:rsid w:val="0061322B"/>
    <w:rsid w:val="0061342B"/>
    <w:rsid w:val="00613833"/>
    <w:rsid w:val="006138CB"/>
    <w:rsid w:val="00613BA2"/>
    <w:rsid w:val="00613EA3"/>
    <w:rsid w:val="00613FB0"/>
    <w:rsid w:val="006140A5"/>
    <w:rsid w:val="00614229"/>
    <w:rsid w:val="0061443A"/>
    <w:rsid w:val="006146CD"/>
    <w:rsid w:val="00614724"/>
    <w:rsid w:val="00614899"/>
    <w:rsid w:val="00614DB7"/>
    <w:rsid w:val="00615242"/>
    <w:rsid w:val="006152AA"/>
    <w:rsid w:val="00615484"/>
    <w:rsid w:val="00615C88"/>
    <w:rsid w:val="0061600A"/>
    <w:rsid w:val="006160DF"/>
    <w:rsid w:val="00616E39"/>
    <w:rsid w:val="00616E5D"/>
    <w:rsid w:val="0061740B"/>
    <w:rsid w:val="006178AF"/>
    <w:rsid w:val="00617C99"/>
    <w:rsid w:val="0062018B"/>
    <w:rsid w:val="0062018C"/>
    <w:rsid w:val="006201E1"/>
    <w:rsid w:val="00620871"/>
    <w:rsid w:val="00620996"/>
    <w:rsid w:val="00620A32"/>
    <w:rsid w:val="00620BCD"/>
    <w:rsid w:val="006215A8"/>
    <w:rsid w:val="00621B60"/>
    <w:rsid w:val="00621C04"/>
    <w:rsid w:val="00621E79"/>
    <w:rsid w:val="00621F98"/>
    <w:rsid w:val="006221E1"/>
    <w:rsid w:val="006228A6"/>
    <w:rsid w:val="00622A09"/>
    <w:rsid w:val="00622B41"/>
    <w:rsid w:val="00622C02"/>
    <w:rsid w:val="00622DA2"/>
    <w:rsid w:val="00622F6B"/>
    <w:rsid w:val="00622FAA"/>
    <w:rsid w:val="00623034"/>
    <w:rsid w:val="00623279"/>
    <w:rsid w:val="00623384"/>
    <w:rsid w:val="0062365B"/>
    <w:rsid w:val="0062375A"/>
    <w:rsid w:val="0062380F"/>
    <w:rsid w:val="0062397B"/>
    <w:rsid w:val="00623A8A"/>
    <w:rsid w:val="00623C6C"/>
    <w:rsid w:val="00623CE8"/>
    <w:rsid w:val="00624362"/>
    <w:rsid w:val="00624FED"/>
    <w:rsid w:val="006252BE"/>
    <w:rsid w:val="006256DE"/>
    <w:rsid w:val="0062572A"/>
    <w:rsid w:val="006257BE"/>
    <w:rsid w:val="006257C5"/>
    <w:rsid w:val="00625A6B"/>
    <w:rsid w:val="00625C55"/>
    <w:rsid w:val="00625F24"/>
    <w:rsid w:val="00625F78"/>
    <w:rsid w:val="0062676A"/>
    <w:rsid w:val="00626BC7"/>
    <w:rsid w:val="00626DA0"/>
    <w:rsid w:val="00626E7C"/>
    <w:rsid w:val="00626F10"/>
    <w:rsid w:val="006279D1"/>
    <w:rsid w:val="00627A9A"/>
    <w:rsid w:val="00627CA2"/>
    <w:rsid w:val="00630337"/>
    <w:rsid w:val="006305A5"/>
    <w:rsid w:val="006306FE"/>
    <w:rsid w:val="006308EC"/>
    <w:rsid w:val="00630BB3"/>
    <w:rsid w:val="00630E20"/>
    <w:rsid w:val="0063126B"/>
    <w:rsid w:val="006312EF"/>
    <w:rsid w:val="006312F1"/>
    <w:rsid w:val="00631627"/>
    <w:rsid w:val="00631E69"/>
    <w:rsid w:val="006321C1"/>
    <w:rsid w:val="006326BF"/>
    <w:rsid w:val="00632A74"/>
    <w:rsid w:val="00632BE4"/>
    <w:rsid w:val="0063317B"/>
    <w:rsid w:val="0063328D"/>
    <w:rsid w:val="006333C5"/>
    <w:rsid w:val="00633525"/>
    <w:rsid w:val="006335AF"/>
    <w:rsid w:val="00633AD7"/>
    <w:rsid w:val="00633BE9"/>
    <w:rsid w:val="00633D69"/>
    <w:rsid w:val="00633F6F"/>
    <w:rsid w:val="00634594"/>
    <w:rsid w:val="00634872"/>
    <w:rsid w:val="00635146"/>
    <w:rsid w:val="00635361"/>
    <w:rsid w:val="0063541D"/>
    <w:rsid w:val="006356E9"/>
    <w:rsid w:val="0063570C"/>
    <w:rsid w:val="00635890"/>
    <w:rsid w:val="00635957"/>
    <w:rsid w:val="0063596D"/>
    <w:rsid w:val="006359F2"/>
    <w:rsid w:val="00635B18"/>
    <w:rsid w:val="00635F68"/>
    <w:rsid w:val="006363FF"/>
    <w:rsid w:val="00636A10"/>
    <w:rsid w:val="00636A47"/>
    <w:rsid w:val="00636B1A"/>
    <w:rsid w:val="00636B85"/>
    <w:rsid w:val="00636D31"/>
    <w:rsid w:val="00636E60"/>
    <w:rsid w:val="0063749F"/>
    <w:rsid w:val="00637611"/>
    <w:rsid w:val="00637A95"/>
    <w:rsid w:val="00637BC1"/>
    <w:rsid w:val="00640643"/>
    <w:rsid w:val="00640B51"/>
    <w:rsid w:val="00640B60"/>
    <w:rsid w:val="00640E19"/>
    <w:rsid w:val="00640EA1"/>
    <w:rsid w:val="006410EC"/>
    <w:rsid w:val="006412C5"/>
    <w:rsid w:val="006416C4"/>
    <w:rsid w:val="006418F6"/>
    <w:rsid w:val="00641B62"/>
    <w:rsid w:val="00641CB1"/>
    <w:rsid w:val="00642443"/>
    <w:rsid w:val="006424CC"/>
    <w:rsid w:val="00642777"/>
    <w:rsid w:val="00642B4A"/>
    <w:rsid w:val="00642C87"/>
    <w:rsid w:val="00642CF5"/>
    <w:rsid w:val="00642F07"/>
    <w:rsid w:val="00643699"/>
    <w:rsid w:val="00643836"/>
    <w:rsid w:val="0064389E"/>
    <w:rsid w:val="00643B9E"/>
    <w:rsid w:val="00643E1D"/>
    <w:rsid w:val="0064420E"/>
    <w:rsid w:val="006444E6"/>
    <w:rsid w:val="0064470D"/>
    <w:rsid w:val="006447D1"/>
    <w:rsid w:val="00644B9A"/>
    <w:rsid w:val="00644CD3"/>
    <w:rsid w:val="006450CB"/>
    <w:rsid w:val="0064552E"/>
    <w:rsid w:val="00645751"/>
    <w:rsid w:val="00645769"/>
    <w:rsid w:val="006458E2"/>
    <w:rsid w:val="0064591B"/>
    <w:rsid w:val="00645E9E"/>
    <w:rsid w:val="00646029"/>
    <w:rsid w:val="006461A6"/>
    <w:rsid w:val="0064632D"/>
    <w:rsid w:val="006468E6"/>
    <w:rsid w:val="00646C75"/>
    <w:rsid w:val="00646FAE"/>
    <w:rsid w:val="00647140"/>
    <w:rsid w:val="006476C6"/>
    <w:rsid w:val="00647C26"/>
    <w:rsid w:val="00647E15"/>
    <w:rsid w:val="0065045D"/>
    <w:rsid w:val="006506A1"/>
    <w:rsid w:val="00650AB5"/>
    <w:rsid w:val="00650D8F"/>
    <w:rsid w:val="00650EC2"/>
    <w:rsid w:val="0065163F"/>
    <w:rsid w:val="00651A3E"/>
    <w:rsid w:val="00651BC0"/>
    <w:rsid w:val="00651C85"/>
    <w:rsid w:val="00651CD6"/>
    <w:rsid w:val="00651F72"/>
    <w:rsid w:val="00652479"/>
    <w:rsid w:val="0065254F"/>
    <w:rsid w:val="006525C4"/>
    <w:rsid w:val="006526F9"/>
    <w:rsid w:val="00652A57"/>
    <w:rsid w:val="00652BC5"/>
    <w:rsid w:val="00652D8C"/>
    <w:rsid w:val="00652EA2"/>
    <w:rsid w:val="00652EBC"/>
    <w:rsid w:val="00652F82"/>
    <w:rsid w:val="006539C8"/>
    <w:rsid w:val="00653BE1"/>
    <w:rsid w:val="00653D47"/>
    <w:rsid w:val="00653DEC"/>
    <w:rsid w:val="00653EE4"/>
    <w:rsid w:val="00654643"/>
    <w:rsid w:val="0065478C"/>
    <w:rsid w:val="00654AF1"/>
    <w:rsid w:val="00654C38"/>
    <w:rsid w:val="006551DF"/>
    <w:rsid w:val="00655254"/>
    <w:rsid w:val="006552C5"/>
    <w:rsid w:val="006553BF"/>
    <w:rsid w:val="00655BD7"/>
    <w:rsid w:val="00655CD5"/>
    <w:rsid w:val="00655D3D"/>
    <w:rsid w:val="00655DF6"/>
    <w:rsid w:val="0065640C"/>
    <w:rsid w:val="00656690"/>
    <w:rsid w:val="006568F1"/>
    <w:rsid w:val="00656920"/>
    <w:rsid w:val="00656C7F"/>
    <w:rsid w:val="00656CCE"/>
    <w:rsid w:val="00657454"/>
    <w:rsid w:val="006575C3"/>
    <w:rsid w:val="006578F1"/>
    <w:rsid w:val="00657A69"/>
    <w:rsid w:val="00657C44"/>
    <w:rsid w:val="00657D17"/>
    <w:rsid w:val="00660126"/>
    <w:rsid w:val="006601AF"/>
    <w:rsid w:val="006602D9"/>
    <w:rsid w:val="006605C5"/>
    <w:rsid w:val="00660622"/>
    <w:rsid w:val="00660760"/>
    <w:rsid w:val="00660813"/>
    <w:rsid w:val="00660821"/>
    <w:rsid w:val="0066096C"/>
    <w:rsid w:val="00660CC6"/>
    <w:rsid w:val="00660F2B"/>
    <w:rsid w:val="00660FB4"/>
    <w:rsid w:val="006610A0"/>
    <w:rsid w:val="0066132D"/>
    <w:rsid w:val="00661942"/>
    <w:rsid w:val="00661FC9"/>
    <w:rsid w:val="00662001"/>
    <w:rsid w:val="00662344"/>
    <w:rsid w:val="00662D69"/>
    <w:rsid w:val="0066316A"/>
    <w:rsid w:val="006631FC"/>
    <w:rsid w:val="00663B9F"/>
    <w:rsid w:val="00663BAF"/>
    <w:rsid w:val="00663FD7"/>
    <w:rsid w:val="00664016"/>
    <w:rsid w:val="0066420A"/>
    <w:rsid w:val="006648FB"/>
    <w:rsid w:val="00664CAD"/>
    <w:rsid w:val="0066508A"/>
    <w:rsid w:val="00665347"/>
    <w:rsid w:val="00665878"/>
    <w:rsid w:val="006659D8"/>
    <w:rsid w:val="00665B7D"/>
    <w:rsid w:val="00665F4C"/>
    <w:rsid w:val="006662CC"/>
    <w:rsid w:val="00666398"/>
    <w:rsid w:val="006667A0"/>
    <w:rsid w:val="0066690B"/>
    <w:rsid w:val="00666DE4"/>
    <w:rsid w:val="006675DD"/>
    <w:rsid w:val="00667712"/>
    <w:rsid w:val="00667805"/>
    <w:rsid w:val="00667865"/>
    <w:rsid w:val="006678CA"/>
    <w:rsid w:val="0066793B"/>
    <w:rsid w:val="00667E05"/>
    <w:rsid w:val="0067003A"/>
    <w:rsid w:val="00670556"/>
    <w:rsid w:val="00670850"/>
    <w:rsid w:val="006709BE"/>
    <w:rsid w:val="00670AE5"/>
    <w:rsid w:val="006710D7"/>
    <w:rsid w:val="00671453"/>
    <w:rsid w:val="006716DC"/>
    <w:rsid w:val="00671C27"/>
    <w:rsid w:val="00671D92"/>
    <w:rsid w:val="00671DE3"/>
    <w:rsid w:val="00671F51"/>
    <w:rsid w:val="00672355"/>
    <w:rsid w:val="00672AEE"/>
    <w:rsid w:val="00672BC2"/>
    <w:rsid w:val="00672C8A"/>
    <w:rsid w:val="00672D33"/>
    <w:rsid w:val="00672DE2"/>
    <w:rsid w:val="00672FAD"/>
    <w:rsid w:val="0067323D"/>
    <w:rsid w:val="006733D5"/>
    <w:rsid w:val="006733E2"/>
    <w:rsid w:val="00673454"/>
    <w:rsid w:val="006734F7"/>
    <w:rsid w:val="00673537"/>
    <w:rsid w:val="00673623"/>
    <w:rsid w:val="00673939"/>
    <w:rsid w:val="00673A87"/>
    <w:rsid w:val="00673C9B"/>
    <w:rsid w:val="00673E8C"/>
    <w:rsid w:val="0067414B"/>
    <w:rsid w:val="00674281"/>
    <w:rsid w:val="00674298"/>
    <w:rsid w:val="00674D7B"/>
    <w:rsid w:val="00674E8D"/>
    <w:rsid w:val="00674FEB"/>
    <w:rsid w:val="006752F5"/>
    <w:rsid w:val="006753D7"/>
    <w:rsid w:val="00675508"/>
    <w:rsid w:val="00675935"/>
    <w:rsid w:val="00675E5B"/>
    <w:rsid w:val="0067603D"/>
    <w:rsid w:val="00676358"/>
    <w:rsid w:val="0067646D"/>
    <w:rsid w:val="00676723"/>
    <w:rsid w:val="00676797"/>
    <w:rsid w:val="006769E5"/>
    <w:rsid w:val="00676B1F"/>
    <w:rsid w:val="00676BCB"/>
    <w:rsid w:val="00677264"/>
    <w:rsid w:val="006772A6"/>
    <w:rsid w:val="0067778E"/>
    <w:rsid w:val="00677BF6"/>
    <w:rsid w:val="00677C0F"/>
    <w:rsid w:val="00677CC3"/>
    <w:rsid w:val="00677DBF"/>
    <w:rsid w:val="00680015"/>
    <w:rsid w:val="006803B9"/>
    <w:rsid w:val="00680B88"/>
    <w:rsid w:val="00680C91"/>
    <w:rsid w:val="00680E6F"/>
    <w:rsid w:val="00680FFA"/>
    <w:rsid w:val="00681D73"/>
    <w:rsid w:val="00681E9B"/>
    <w:rsid w:val="00682043"/>
    <w:rsid w:val="0068207E"/>
    <w:rsid w:val="00682900"/>
    <w:rsid w:val="00682922"/>
    <w:rsid w:val="006829BE"/>
    <w:rsid w:val="00682A1A"/>
    <w:rsid w:val="0068303B"/>
    <w:rsid w:val="00683244"/>
    <w:rsid w:val="00683396"/>
    <w:rsid w:val="006833B6"/>
    <w:rsid w:val="00683448"/>
    <w:rsid w:val="00683593"/>
    <w:rsid w:val="00683707"/>
    <w:rsid w:val="00683C5E"/>
    <w:rsid w:val="00683CD4"/>
    <w:rsid w:val="00684390"/>
    <w:rsid w:val="0068480D"/>
    <w:rsid w:val="00684DF4"/>
    <w:rsid w:val="00684F31"/>
    <w:rsid w:val="00684F77"/>
    <w:rsid w:val="00685810"/>
    <w:rsid w:val="006859A2"/>
    <w:rsid w:val="006859E7"/>
    <w:rsid w:val="00685B53"/>
    <w:rsid w:val="00685BC3"/>
    <w:rsid w:val="00685ED0"/>
    <w:rsid w:val="006877F6"/>
    <w:rsid w:val="0068790A"/>
    <w:rsid w:val="006879F5"/>
    <w:rsid w:val="00687E53"/>
    <w:rsid w:val="0069030F"/>
    <w:rsid w:val="00690A37"/>
    <w:rsid w:val="00690FA4"/>
    <w:rsid w:val="00690FEF"/>
    <w:rsid w:val="00691175"/>
    <w:rsid w:val="00691411"/>
    <w:rsid w:val="006918EA"/>
    <w:rsid w:val="00691A75"/>
    <w:rsid w:val="00691D79"/>
    <w:rsid w:val="00691EB7"/>
    <w:rsid w:val="00691FC4"/>
    <w:rsid w:val="00692271"/>
    <w:rsid w:val="00692451"/>
    <w:rsid w:val="0069263C"/>
    <w:rsid w:val="00692827"/>
    <w:rsid w:val="00692A18"/>
    <w:rsid w:val="00692A8D"/>
    <w:rsid w:val="00692E7D"/>
    <w:rsid w:val="00692F1A"/>
    <w:rsid w:val="00692F67"/>
    <w:rsid w:val="006930F4"/>
    <w:rsid w:val="00693576"/>
    <w:rsid w:val="006941AE"/>
    <w:rsid w:val="006945E0"/>
    <w:rsid w:val="006946C2"/>
    <w:rsid w:val="00694719"/>
    <w:rsid w:val="006949C1"/>
    <w:rsid w:val="00694DD7"/>
    <w:rsid w:val="006950A9"/>
    <w:rsid w:val="0069519D"/>
    <w:rsid w:val="00695298"/>
    <w:rsid w:val="00695E3F"/>
    <w:rsid w:val="006961D4"/>
    <w:rsid w:val="006964F2"/>
    <w:rsid w:val="00696514"/>
    <w:rsid w:val="00696931"/>
    <w:rsid w:val="00696BBD"/>
    <w:rsid w:val="00696EDC"/>
    <w:rsid w:val="00697C2C"/>
    <w:rsid w:val="006A0200"/>
    <w:rsid w:val="006A083F"/>
    <w:rsid w:val="006A0C19"/>
    <w:rsid w:val="006A0CC6"/>
    <w:rsid w:val="006A0DEC"/>
    <w:rsid w:val="006A0E72"/>
    <w:rsid w:val="006A10B2"/>
    <w:rsid w:val="006A1299"/>
    <w:rsid w:val="006A17ED"/>
    <w:rsid w:val="006A26FA"/>
    <w:rsid w:val="006A28C5"/>
    <w:rsid w:val="006A2FCA"/>
    <w:rsid w:val="006A3B94"/>
    <w:rsid w:val="006A3E56"/>
    <w:rsid w:val="006A4B0C"/>
    <w:rsid w:val="006A4CD3"/>
    <w:rsid w:val="006A515B"/>
    <w:rsid w:val="006A5357"/>
    <w:rsid w:val="006A583C"/>
    <w:rsid w:val="006A6B36"/>
    <w:rsid w:val="006A6D71"/>
    <w:rsid w:val="006A6F6F"/>
    <w:rsid w:val="006A7327"/>
    <w:rsid w:val="006A7386"/>
    <w:rsid w:val="006A75F4"/>
    <w:rsid w:val="006A7614"/>
    <w:rsid w:val="006A77BD"/>
    <w:rsid w:val="006A79AB"/>
    <w:rsid w:val="006A7DAC"/>
    <w:rsid w:val="006A7E58"/>
    <w:rsid w:val="006B018F"/>
    <w:rsid w:val="006B032D"/>
    <w:rsid w:val="006B0532"/>
    <w:rsid w:val="006B0803"/>
    <w:rsid w:val="006B0808"/>
    <w:rsid w:val="006B084D"/>
    <w:rsid w:val="006B10E3"/>
    <w:rsid w:val="006B1783"/>
    <w:rsid w:val="006B189C"/>
    <w:rsid w:val="006B1BB0"/>
    <w:rsid w:val="006B22EF"/>
    <w:rsid w:val="006B2310"/>
    <w:rsid w:val="006B24E0"/>
    <w:rsid w:val="006B26A8"/>
    <w:rsid w:val="006B276A"/>
    <w:rsid w:val="006B27BC"/>
    <w:rsid w:val="006B2F72"/>
    <w:rsid w:val="006B2FAF"/>
    <w:rsid w:val="006B300D"/>
    <w:rsid w:val="006B3674"/>
    <w:rsid w:val="006B3A5D"/>
    <w:rsid w:val="006B3A61"/>
    <w:rsid w:val="006B3B84"/>
    <w:rsid w:val="006B3CF5"/>
    <w:rsid w:val="006B3ED0"/>
    <w:rsid w:val="006B415F"/>
    <w:rsid w:val="006B4251"/>
    <w:rsid w:val="006B44BA"/>
    <w:rsid w:val="006B49DB"/>
    <w:rsid w:val="006B4AEC"/>
    <w:rsid w:val="006B4FD7"/>
    <w:rsid w:val="006B508C"/>
    <w:rsid w:val="006B52B8"/>
    <w:rsid w:val="006B545B"/>
    <w:rsid w:val="006B56AD"/>
    <w:rsid w:val="006B59DB"/>
    <w:rsid w:val="006B5A15"/>
    <w:rsid w:val="006B5AFF"/>
    <w:rsid w:val="006B5B2A"/>
    <w:rsid w:val="006B5DEB"/>
    <w:rsid w:val="006B5FD9"/>
    <w:rsid w:val="006B6102"/>
    <w:rsid w:val="006B62FE"/>
    <w:rsid w:val="006B6317"/>
    <w:rsid w:val="006B6358"/>
    <w:rsid w:val="006B65B6"/>
    <w:rsid w:val="006B660D"/>
    <w:rsid w:val="006B67A1"/>
    <w:rsid w:val="006B69CB"/>
    <w:rsid w:val="006B7183"/>
    <w:rsid w:val="006B74C1"/>
    <w:rsid w:val="006B78D6"/>
    <w:rsid w:val="006B7932"/>
    <w:rsid w:val="006B7D92"/>
    <w:rsid w:val="006C0062"/>
    <w:rsid w:val="006C0157"/>
    <w:rsid w:val="006C04EE"/>
    <w:rsid w:val="006C0D23"/>
    <w:rsid w:val="006C0E0A"/>
    <w:rsid w:val="006C0E61"/>
    <w:rsid w:val="006C0E7C"/>
    <w:rsid w:val="006C0EED"/>
    <w:rsid w:val="006C0FA4"/>
    <w:rsid w:val="006C1039"/>
    <w:rsid w:val="006C10AB"/>
    <w:rsid w:val="006C15E2"/>
    <w:rsid w:val="006C16AB"/>
    <w:rsid w:val="006C191F"/>
    <w:rsid w:val="006C19AE"/>
    <w:rsid w:val="006C1D29"/>
    <w:rsid w:val="006C1D8A"/>
    <w:rsid w:val="006C2341"/>
    <w:rsid w:val="006C236F"/>
    <w:rsid w:val="006C2515"/>
    <w:rsid w:val="006C273C"/>
    <w:rsid w:val="006C2821"/>
    <w:rsid w:val="006C2A16"/>
    <w:rsid w:val="006C2D1D"/>
    <w:rsid w:val="006C2E9D"/>
    <w:rsid w:val="006C32A6"/>
    <w:rsid w:val="006C3350"/>
    <w:rsid w:val="006C3363"/>
    <w:rsid w:val="006C36C3"/>
    <w:rsid w:val="006C37DD"/>
    <w:rsid w:val="006C3DE4"/>
    <w:rsid w:val="006C3F79"/>
    <w:rsid w:val="006C4194"/>
    <w:rsid w:val="006C4907"/>
    <w:rsid w:val="006C4C96"/>
    <w:rsid w:val="006C597D"/>
    <w:rsid w:val="006C5A43"/>
    <w:rsid w:val="006C5C13"/>
    <w:rsid w:val="006C5F1D"/>
    <w:rsid w:val="006C5F89"/>
    <w:rsid w:val="006C63AE"/>
    <w:rsid w:val="006C6A37"/>
    <w:rsid w:val="006C714B"/>
    <w:rsid w:val="006C735C"/>
    <w:rsid w:val="006C7587"/>
    <w:rsid w:val="006C78B6"/>
    <w:rsid w:val="006C78ED"/>
    <w:rsid w:val="006C7997"/>
    <w:rsid w:val="006C7C3F"/>
    <w:rsid w:val="006C7DF7"/>
    <w:rsid w:val="006C7E4A"/>
    <w:rsid w:val="006C7F63"/>
    <w:rsid w:val="006D0718"/>
    <w:rsid w:val="006D0B40"/>
    <w:rsid w:val="006D0B70"/>
    <w:rsid w:val="006D0CB4"/>
    <w:rsid w:val="006D1102"/>
    <w:rsid w:val="006D1167"/>
    <w:rsid w:val="006D13DD"/>
    <w:rsid w:val="006D1649"/>
    <w:rsid w:val="006D1805"/>
    <w:rsid w:val="006D1B66"/>
    <w:rsid w:val="006D1C2C"/>
    <w:rsid w:val="006D1EE2"/>
    <w:rsid w:val="006D1FA2"/>
    <w:rsid w:val="006D2298"/>
    <w:rsid w:val="006D2F36"/>
    <w:rsid w:val="006D330F"/>
    <w:rsid w:val="006D34E8"/>
    <w:rsid w:val="006D3739"/>
    <w:rsid w:val="006D39EF"/>
    <w:rsid w:val="006D402C"/>
    <w:rsid w:val="006D4524"/>
    <w:rsid w:val="006D4671"/>
    <w:rsid w:val="006D4789"/>
    <w:rsid w:val="006D4977"/>
    <w:rsid w:val="006D4A74"/>
    <w:rsid w:val="006D5198"/>
    <w:rsid w:val="006D51FD"/>
    <w:rsid w:val="006D5261"/>
    <w:rsid w:val="006D53E0"/>
    <w:rsid w:val="006D544B"/>
    <w:rsid w:val="006D566C"/>
    <w:rsid w:val="006D5F25"/>
    <w:rsid w:val="006D63A1"/>
    <w:rsid w:val="006D64B7"/>
    <w:rsid w:val="006D6562"/>
    <w:rsid w:val="006D68BA"/>
    <w:rsid w:val="006D6983"/>
    <w:rsid w:val="006D69D9"/>
    <w:rsid w:val="006D6DD8"/>
    <w:rsid w:val="006D72CA"/>
    <w:rsid w:val="006D7312"/>
    <w:rsid w:val="006D7479"/>
    <w:rsid w:val="006D76EE"/>
    <w:rsid w:val="006D7A29"/>
    <w:rsid w:val="006D7D1D"/>
    <w:rsid w:val="006D7EC4"/>
    <w:rsid w:val="006E0B93"/>
    <w:rsid w:val="006E0C5A"/>
    <w:rsid w:val="006E10EC"/>
    <w:rsid w:val="006E115E"/>
    <w:rsid w:val="006E1419"/>
    <w:rsid w:val="006E1BE7"/>
    <w:rsid w:val="006E1D5D"/>
    <w:rsid w:val="006E1D94"/>
    <w:rsid w:val="006E1F2D"/>
    <w:rsid w:val="006E233A"/>
    <w:rsid w:val="006E2457"/>
    <w:rsid w:val="006E25B4"/>
    <w:rsid w:val="006E26BC"/>
    <w:rsid w:val="006E2972"/>
    <w:rsid w:val="006E2F7C"/>
    <w:rsid w:val="006E34C9"/>
    <w:rsid w:val="006E34F0"/>
    <w:rsid w:val="006E3C8A"/>
    <w:rsid w:val="006E4405"/>
    <w:rsid w:val="006E442B"/>
    <w:rsid w:val="006E477D"/>
    <w:rsid w:val="006E49BD"/>
    <w:rsid w:val="006E4B47"/>
    <w:rsid w:val="006E4BA3"/>
    <w:rsid w:val="006E4CBB"/>
    <w:rsid w:val="006E4D47"/>
    <w:rsid w:val="006E4D64"/>
    <w:rsid w:val="006E4EE6"/>
    <w:rsid w:val="006E4FE3"/>
    <w:rsid w:val="006E5146"/>
    <w:rsid w:val="006E55C4"/>
    <w:rsid w:val="006E5738"/>
    <w:rsid w:val="006E57A4"/>
    <w:rsid w:val="006E6410"/>
    <w:rsid w:val="006E653A"/>
    <w:rsid w:val="006E6712"/>
    <w:rsid w:val="006E699E"/>
    <w:rsid w:val="006E6C14"/>
    <w:rsid w:val="006E6F62"/>
    <w:rsid w:val="006E71CF"/>
    <w:rsid w:val="006E746A"/>
    <w:rsid w:val="006E76BA"/>
    <w:rsid w:val="006E77D7"/>
    <w:rsid w:val="006E78FC"/>
    <w:rsid w:val="006E79DE"/>
    <w:rsid w:val="006E7A2F"/>
    <w:rsid w:val="006E7AA8"/>
    <w:rsid w:val="006E7ADF"/>
    <w:rsid w:val="006E7AE7"/>
    <w:rsid w:val="006E7B5F"/>
    <w:rsid w:val="006F009B"/>
    <w:rsid w:val="006F033E"/>
    <w:rsid w:val="006F075D"/>
    <w:rsid w:val="006F07F3"/>
    <w:rsid w:val="006F081D"/>
    <w:rsid w:val="006F0D46"/>
    <w:rsid w:val="006F1672"/>
    <w:rsid w:val="006F16F5"/>
    <w:rsid w:val="006F174B"/>
    <w:rsid w:val="006F1A54"/>
    <w:rsid w:val="006F1BE0"/>
    <w:rsid w:val="006F1CF1"/>
    <w:rsid w:val="006F2206"/>
    <w:rsid w:val="006F251A"/>
    <w:rsid w:val="006F26D1"/>
    <w:rsid w:val="006F273F"/>
    <w:rsid w:val="006F274A"/>
    <w:rsid w:val="006F29CB"/>
    <w:rsid w:val="006F2BC9"/>
    <w:rsid w:val="006F2E6E"/>
    <w:rsid w:val="006F3285"/>
    <w:rsid w:val="006F375A"/>
    <w:rsid w:val="006F3872"/>
    <w:rsid w:val="006F3A2C"/>
    <w:rsid w:val="006F3BFE"/>
    <w:rsid w:val="006F3CD9"/>
    <w:rsid w:val="006F434A"/>
    <w:rsid w:val="006F4BDB"/>
    <w:rsid w:val="006F4DD8"/>
    <w:rsid w:val="006F5066"/>
    <w:rsid w:val="006F5226"/>
    <w:rsid w:val="006F5291"/>
    <w:rsid w:val="006F5939"/>
    <w:rsid w:val="006F5B7A"/>
    <w:rsid w:val="006F5FD5"/>
    <w:rsid w:val="006F6896"/>
    <w:rsid w:val="006F6D28"/>
    <w:rsid w:val="006F6E25"/>
    <w:rsid w:val="006F71D0"/>
    <w:rsid w:val="006F74FD"/>
    <w:rsid w:val="006F75CA"/>
    <w:rsid w:val="006F7E00"/>
    <w:rsid w:val="006F7E93"/>
    <w:rsid w:val="007000D1"/>
    <w:rsid w:val="007001FB"/>
    <w:rsid w:val="007005A5"/>
    <w:rsid w:val="00700663"/>
    <w:rsid w:val="00701013"/>
    <w:rsid w:val="00701258"/>
    <w:rsid w:val="007016BC"/>
    <w:rsid w:val="007017B5"/>
    <w:rsid w:val="00701845"/>
    <w:rsid w:val="0070190D"/>
    <w:rsid w:val="00701E70"/>
    <w:rsid w:val="00702D36"/>
    <w:rsid w:val="00702F64"/>
    <w:rsid w:val="0070307E"/>
    <w:rsid w:val="007030BE"/>
    <w:rsid w:val="007032A9"/>
    <w:rsid w:val="00703349"/>
    <w:rsid w:val="00703553"/>
    <w:rsid w:val="007035E5"/>
    <w:rsid w:val="007036C5"/>
    <w:rsid w:val="00703703"/>
    <w:rsid w:val="00703715"/>
    <w:rsid w:val="007038C1"/>
    <w:rsid w:val="007039D8"/>
    <w:rsid w:val="00703AD2"/>
    <w:rsid w:val="00703CCC"/>
    <w:rsid w:val="00703D9B"/>
    <w:rsid w:val="00703DE7"/>
    <w:rsid w:val="00704445"/>
    <w:rsid w:val="007045C8"/>
    <w:rsid w:val="007047DE"/>
    <w:rsid w:val="007048E4"/>
    <w:rsid w:val="007048F4"/>
    <w:rsid w:val="00704BCA"/>
    <w:rsid w:val="00705508"/>
    <w:rsid w:val="007059A9"/>
    <w:rsid w:val="00705A4B"/>
    <w:rsid w:val="00705A87"/>
    <w:rsid w:val="00705B58"/>
    <w:rsid w:val="00706049"/>
    <w:rsid w:val="007063DF"/>
    <w:rsid w:val="00706E2E"/>
    <w:rsid w:val="007070D7"/>
    <w:rsid w:val="00707277"/>
    <w:rsid w:val="0070735F"/>
    <w:rsid w:val="00707364"/>
    <w:rsid w:val="007077BF"/>
    <w:rsid w:val="00707936"/>
    <w:rsid w:val="00707E27"/>
    <w:rsid w:val="00707E85"/>
    <w:rsid w:val="00710518"/>
    <w:rsid w:val="00710A89"/>
    <w:rsid w:val="00710B11"/>
    <w:rsid w:val="00710E3A"/>
    <w:rsid w:val="00710FF4"/>
    <w:rsid w:val="007116A3"/>
    <w:rsid w:val="007117AF"/>
    <w:rsid w:val="0071192E"/>
    <w:rsid w:val="00711951"/>
    <w:rsid w:val="00711D1A"/>
    <w:rsid w:val="00712325"/>
    <w:rsid w:val="00712361"/>
    <w:rsid w:val="007124CD"/>
    <w:rsid w:val="0071263B"/>
    <w:rsid w:val="00712884"/>
    <w:rsid w:val="00712943"/>
    <w:rsid w:val="00712969"/>
    <w:rsid w:val="00712990"/>
    <w:rsid w:val="00712C3B"/>
    <w:rsid w:val="00713050"/>
    <w:rsid w:val="0071318B"/>
    <w:rsid w:val="00713277"/>
    <w:rsid w:val="0071367A"/>
    <w:rsid w:val="00713EDF"/>
    <w:rsid w:val="00714BD7"/>
    <w:rsid w:val="00714D5B"/>
    <w:rsid w:val="00714F96"/>
    <w:rsid w:val="0071540E"/>
    <w:rsid w:val="0071574F"/>
    <w:rsid w:val="0071585E"/>
    <w:rsid w:val="00715B38"/>
    <w:rsid w:val="00715E58"/>
    <w:rsid w:val="007165C1"/>
    <w:rsid w:val="0071698A"/>
    <w:rsid w:val="007169A4"/>
    <w:rsid w:val="00716CBC"/>
    <w:rsid w:val="00716CFD"/>
    <w:rsid w:val="00716D1A"/>
    <w:rsid w:val="00716EB3"/>
    <w:rsid w:val="00716FD1"/>
    <w:rsid w:val="007171FE"/>
    <w:rsid w:val="0071720E"/>
    <w:rsid w:val="00717457"/>
    <w:rsid w:val="007177A0"/>
    <w:rsid w:val="00717D2E"/>
    <w:rsid w:val="00717D93"/>
    <w:rsid w:val="007202C5"/>
    <w:rsid w:val="00720999"/>
    <w:rsid w:val="00720B99"/>
    <w:rsid w:val="00721458"/>
    <w:rsid w:val="00721932"/>
    <w:rsid w:val="00721972"/>
    <w:rsid w:val="0072236F"/>
    <w:rsid w:val="00722864"/>
    <w:rsid w:val="007229D8"/>
    <w:rsid w:val="00722B27"/>
    <w:rsid w:val="00722CCB"/>
    <w:rsid w:val="00722DA7"/>
    <w:rsid w:val="00723E36"/>
    <w:rsid w:val="00723E51"/>
    <w:rsid w:val="007242A7"/>
    <w:rsid w:val="007243D5"/>
    <w:rsid w:val="0072466C"/>
    <w:rsid w:val="00724682"/>
    <w:rsid w:val="00724944"/>
    <w:rsid w:val="00725102"/>
    <w:rsid w:val="007253CF"/>
    <w:rsid w:val="007255E4"/>
    <w:rsid w:val="00725793"/>
    <w:rsid w:val="00725EE4"/>
    <w:rsid w:val="007265CB"/>
    <w:rsid w:val="00726860"/>
    <w:rsid w:val="00726974"/>
    <w:rsid w:val="00726A49"/>
    <w:rsid w:val="00726A7D"/>
    <w:rsid w:val="00726D3B"/>
    <w:rsid w:val="00726FBA"/>
    <w:rsid w:val="00726FE8"/>
    <w:rsid w:val="0072700F"/>
    <w:rsid w:val="00727221"/>
    <w:rsid w:val="007273A8"/>
    <w:rsid w:val="007274AB"/>
    <w:rsid w:val="007279D5"/>
    <w:rsid w:val="00727A4E"/>
    <w:rsid w:val="0073004C"/>
    <w:rsid w:val="00730224"/>
    <w:rsid w:val="0073064B"/>
    <w:rsid w:val="007308B4"/>
    <w:rsid w:val="0073093E"/>
    <w:rsid w:val="00730B8A"/>
    <w:rsid w:val="00730D04"/>
    <w:rsid w:val="00730DF2"/>
    <w:rsid w:val="00731061"/>
    <w:rsid w:val="0073138D"/>
    <w:rsid w:val="00731510"/>
    <w:rsid w:val="0073187B"/>
    <w:rsid w:val="007318BE"/>
    <w:rsid w:val="00731AD0"/>
    <w:rsid w:val="00731B89"/>
    <w:rsid w:val="00731C63"/>
    <w:rsid w:val="00731E37"/>
    <w:rsid w:val="0073279B"/>
    <w:rsid w:val="007328D0"/>
    <w:rsid w:val="00732DAE"/>
    <w:rsid w:val="007331EF"/>
    <w:rsid w:val="007332B7"/>
    <w:rsid w:val="007333FC"/>
    <w:rsid w:val="00733E3E"/>
    <w:rsid w:val="007341ED"/>
    <w:rsid w:val="007342B2"/>
    <w:rsid w:val="00734A53"/>
    <w:rsid w:val="00734AB6"/>
    <w:rsid w:val="00734BE5"/>
    <w:rsid w:val="00734E4F"/>
    <w:rsid w:val="007350BE"/>
    <w:rsid w:val="00735169"/>
    <w:rsid w:val="0073531A"/>
    <w:rsid w:val="007353C0"/>
    <w:rsid w:val="0073545B"/>
    <w:rsid w:val="007354F1"/>
    <w:rsid w:val="0073555B"/>
    <w:rsid w:val="007355EA"/>
    <w:rsid w:val="00735760"/>
    <w:rsid w:val="00735CF4"/>
    <w:rsid w:val="00736B5A"/>
    <w:rsid w:val="00736C21"/>
    <w:rsid w:val="00736F8A"/>
    <w:rsid w:val="00737106"/>
    <w:rsid w:val="00737367"/>
    <w:rsid w:val="00737398"/>
    <w:rsid w:val="007375C0"/>
    <w:rsid w:val="00737656"/>
    <w:rsid w:val="00737B5D"/>
    <w:rsid w:val="00737C5C"/>
    <w:rsid w:val="007401A8"/>
    <w:rsid w:val="00740B4D"/>
    <w:rsid w:val="00740B53"/>
    <w:rsid w:val="00740C21"/>
    <w:rsid w:val="00741084"/>
    <w:rsid w:val="007412C9"/>
    <w:rsid w:val="0074132B"/>
    <w:rsid w:val="00741352"/>
    <w:rsid w:val="0074137F"/>
    <w:rsid w:val="007418B9"/>
    <w:rsid w:val="00741BBF"/>
    <w:rsid w:val="00741F1E"/>
    <w:rsid w:val="00741FED"/>
    <w:rsid w:val="007420C9"/>
    <w:rsid w:val="007423D4"/>
    <w:rsid w:val="0074291F"/>
    <w:rsid w:val="00742936"/>
    <w:rsid w:val="00743042"/>
    <w:rsid w:val="00743273"/>
    <w:rsid w:val="00743352"/>
    <w:rsid w:val="00743477"/>
    <w:rsid w:val="007435E1"/>
    <w:rsid w:val="007437C4"/>
    <w:rsid w:val="00743A33"/>
    <w:rsid w:val="00743BD3"/>
    <w:rsid w:val="00743CF2"/>
    <w:rsid w:val="00743E80"/>
    <w:rsid w:val="007440E7"/>
    <w:rsid w:val="007442CC"/>
    <w:rsid w:val="007443C8"/>
    <w:rsid w:val="00744461"/>
    <w:rsid w:val="007444A8"/>
    <w:rsid w:val="0074453F"/>
    <w:rsid w:val="00744C26"/>
    <w:rsid w:val="00744D4D"/>
    <w:rsid w:val="00744F2E"/>
    <w:rsid w:val="0074537B"/>
    <w:rsid w:val="0074572D"/>
    <w:rsid w:val="00745733"/>
    <w:rsid w:val="00745BDB"/>
    <w:rsid w:val="00745E12"/>
    <w:rsid w:val="00745F49"/>
    <w:rsid w:val="00746291"/>
    <w:rsid w:val="007465B1"/>
    <w:rsid w:val="00746622"/>
    <w:rsid w:val="007468EB"/>
    <w:rsid w:val="00746ACE"/>
    <w:rsid w:val="00746F50"/>
    <w:rsid w:val="0074720B"/>
    <w:rsid w:val="00747579"/>
    <w:rsid w:val="007475C3"/>
    <w:rsid w:val="007479F8"/>
    <w:rsid w:val="00747BBC"/>
    <w:rsid w:val="00747CF4"/>
    <w:rsid w:val="007500C9"/>
    <w:rsid w:val="0075053F"/>
    <w:rsid w:val="00750DF7"/>
    <w:rsid w:val="007512F3"/>
    <w:rsid w:val="0075134C"/>
    <w:rsid w:val="007513AA"/>
    <w:rsid w:val="00751687"/>
    <w:rsid w:val="00751C73"/>
    <w:rsid w:val="00751CAF"/>
    <w:rsid w:val="007524F9"/>
    <w:rsid w:val="007528E4"/>
    <w:rsid w:val="007529CB"/>
    <w:rsid w:val="00752A58"/>
    <w:rsid w:val="00752B5E"/>
    <w:rsid w:val="00752B71"/>
    <w:rsid w:val="0075398E"/>
    <w:rsid w:val="00753A3F"/>
    <w:rsid w:val="00753B60"/>
    <w:rsid w:val="00753F38"/>
    <w:rsid w:val="007543AA"/>
    <w:rsid w:val="007543DC"/>
    <w:rsid w:val="007549C9"/>
    <w:rsid w:val="00754B0C"/>
    <w:rsid w:val="00754E41"/>
    <w:rsid w:val="007550A6"/>
    <w:rsid w:val="007550C1"/>
    <w:rsid w:val="00755115"/>
    <w:rsid w:val="00755399"/>
    <w:rsid w:val="007555AF"/>
    <w:rsid w:val="00755985"/>
    <w:rsid w:val="00755E33"/>
    <w:rsid w:val="00755E59"/>
    <w:rsid w:val="00755FDC"/>
    <w:rsid w:val="00756693"/>
    <w:rsid w:val="00756A70"/>
    <w:rsid w:val="00756F0C"/>
    <w:rsid w:val="00757132"/>
    <w:rsid w:val="0075737E"/>
    <w:rsid w:val="007574AC"/>
    <w:rsid w:val="007574D9"/>
    <w:rsid w:val="007577B5"/>
    <w:rsid w:val="0075787D"/>
    <w:rsid w:val="007579E3"/>
    <w:rsid w:val="00757B96"/>
    <w:rsid w:val="00757C52"/>
    <w:rsid w:val="00757EC1"/>
    <w:rsid w:val="0076084D"/>
    <w:rsid w:val="00760ADE"/>
    <w:rsid w:val="0076119A"/>
    <w:rsid w:val="00761249"/>
    <w:rsid w:val="00761331"/>
    <w:rsid w:val="00761560"/>
    <w:rsid w:val="007615C4"/>
    <w:rsid w:val="00761673"/>
    <w:rsid w:val="007619BD"/>
    <w:rsid w:val="00761FB4"/>
    <w:rsid w:val="00762594"/>
    <w:rsid w:val="007625E2"/>
    <w:rsid w:val="00762951"/>
    <w:rsid w:val="00762A79"/>
    <w:rsid w:val="00762B67"/>
    <w:rsid w:val="00762F02"/>
    <w:rsid w:val="0076311E"/>
    <w:rsid w:val="0076377F"/>
    <w:rsid w:val="00763BE2"/>
    <w:rsid w:val="0076412C"/>
    <w:rsid w:val="0076453B"/>
    <w:rsid w:val="007648D1"/>
    <w:rsid w:val="00764A0B"/>
    <w:rsid w:val="00764B9E"/>
    <w:rsid w:val="00764C7C"/>
    <w:rsid w:val="00765232"/>
    <w:rsid w:val="0076523A"/>
    <w:rsid w:val="00765464"/>
    <w:rsid w:val="00765708"/>
    <w:rsid w:val="007657AB"/>
    <w:rsid w:val="0076583B"/>
    <w:rsid w:val="007659E2"/>
    <w:rsid w:val="00765F56"/>
    <w:rsid w:val="00766254"/>
    <w:rsid w:val="00766282"/>
    <w:rsid w:val="00766AC2"/>
    <w:rsid w:val="00766D04"/>
    <w:rsid w:val="00766FD3"/>
    <w:rsid w:val="007670E7"/>
    <w:rsid w:val="00767331"/>
    <w:rsid w:val="0076771F"/>
    <w:rsid w:val="00767A5A"/>
    <w:rsid w:val="00767B37"/>
    <w:rsid w:val="00767B68"/>
    <w:rsid w:val="00767C48"/>
    <w:rsid w:val="0077010D"/>
    <w:rsid w:val="007701FE"/>
    <w:rsid w:val="00770216"/>
    <w:rsid w:val="00770705"/>
    <w:rsid w:val="0077075D"/>
    <w:rsid w:val="00770DD4"/>
    <w:rsid w:val="00771ACF"/>
    <w:rsid w:val="00771AE7"/>
    <w:rsid w:val="00771B56"/>
    <w:rsid w:val="00771B78"/>
    <w:rsid w:val="00771F07"/>
    <w:rsid w:val="00771FB4"/>
    <w:rsid w:val="00772712"/>
    <w:rsid w:val="00772AFE"/>
    <w:rsid w:val="00772D12"/>
    <w:rsid w:val="00773117"/>
    <w:rsid w:val="00773264"/>
    <w:rsid w:val="007732C6"/>
    <w:rsid w:val="007735AF"/>
    <w:rsid w:val="007737E4"/>
    <w:rsid w:val="00773807"/>
    <w:rsid w:val="007738E6"/>
    <w:rsid w:val="00773CB8"/>
    <w:rsid w:val="00773E4C"/>
    <w:rsid w:val="00773FCF"/>
    <w:rsid w:val="00774193"/>
    <w:rsid w:val="007742D1"/>
    <w:rsid w:val="00774B50"/>
    <w:rsid w:val="00774B8F"/>
    <w:rsid w:val="00774BD5"/>
    <w:rsid w:val="00774E09"/>
    <w:rsid w:val="00774E10"/>
    <w:rsid w:val="00774ECC"/>
    <w:rsid w:val="00774FC0"/>
    <w:rsid w:val="00775077"/>
    <w:rsid w:val="0077592C"/>
    <w:rsid w:val="00775930"/>
    <w:rsid w:val="00775A87"/>
    <w:rsid w:val="00775B2D"/>
    <w:rsid w:val="00775C7D"/>
    <w:rsid w:val="00775CF7"/>
    <w:rsid w:val="00775DE6"/>
    <w:rsid w:val="00776440"/>
    <w:rsid w:val="00776586"/>
    <w:rsid w:val="00776722"/>
    <w:rsid w:val="00776B0D"/>
    <w:rsid w:val="00776BF8"/>
    <w:rsid w:val="00776F36"/>
    <w:rsid w:val="0077713B"/>
    <w:rsid w:val="007776AE"/>
    <w:rsid w:val="0077793A"/>
    <w:rsid w:val="00777AAB"/>
    <w:rsid w:val="00777B18"/>
    <w:rsid w:val="00777EA3"/>
    <w:rsid w:val="00777F3E"/>
    <w:rsid w:val="0078004F"/>
    <w:rsid w:val="0078075D"/>
    <w:rsid w:val="00780940"/>
    <w:rsid w:val="0078101F"/>
    <w:rsid w:val="00781079"/>
    <w:rsid w:val="007811D9"/>
    <w:rsid w:val="00781212"/>
    <w:rsid w:val="007813A2"/>
    <w:rsid w:val="007814DD"/>
    <w:rsid w:val="00781626"/>
    <w:rsid w:val="00781844"/>
    <w:rsid w:val="00781985"/>
    <w:rsid w:val="00781B62"/>
    <w:rsid w:val="00781C8B"/>
    <w:rsid w:val="00781EDB"/>
    <w:rsid w:val="00782171"/>
    <w:rsid w:val="0078239F"/>
    <w:rsid w:val="00782F63"/>
    <w:rsid w:val="007831C5"/>
    <w:rsid w:val="00783757"/>
    <w:rsid w:val="007837B5"/>
    <w:rsid w:val="007839D1"/>
    <w:rsid w:val="00783A52"/>
    <w:rsid w:val="00783B7F"/>
    <w:rsid w:val="00783BAA"/>
    <w:rsid w:val="00783F47"/>
    <w:rsid w:val="007842DD"/>
    <w:rsid w:val="0078442B"/>
    <w:rsid w:val="007846C7"/>
    <w:rsid w:val="007847ED"/>
    <w:rsid w:val="007849F3"/>
    <w:rsid w:val="00784C4A"/>
    <w:rsid w:val="0078506A"/>
    <w:rsid w:val="007856AE"/>
    <w:rsid w:val="007859E1"/>
    <w:rsid w:val="0078608D"/>
    <w:rsid w:val="00786166"/>
    <w:rsid w:val="00786460"/>
    <w:rsid w:val="00786AC1"/>
    <w:rsid w:val="00786CBD"/>
    <w:rsid w:val="00786FF0"/>
    <w:rsid w:val="00787115"/>
    <w:rsid w:val="00787517"/>
    <w:rsid w:val="00787674"/>
    <w:rsid w:val="00787F6B"/>
    <w:rsid w:val="007901E8"/>
    <w:rsid w:val="0079046D"/>
    <w:rsid w:val="007908AF"/>
    <w:rsid w:val="00790967"/>
    <w:rsid w:val="00790BD2"/>
    <w:rsid w:val="00790E3D"/>
    <w:rsid w:val="007914FE"/>
    <w:rsid w:val="00791857"/>
    <w:rsid w:val="00791997"/>
    <w:rsid w:val="00791AE4"/>
    <w:rsid w:val="00791B18"/>
    <w:rsid w:val="00791C30"/>
    <w:rsid w:val="0079215E"/>
    <w:rsid w:val="00792457"/>
    <w:rsid w:val="007925C8"/>
    <w:rsid w:val="00792854"/>
    <w:rsid w:val="00792AFF"/>
    <w:rsid w:val="00792D35"/>
    <w:rsid w:val="007930F5"/>
    <w:rsid w:val="00793550"/>
    <w:rsid w:val="007936D6"/>
    <w:rsid w:val="00793B5A"/>
    <w:rsid w:val="007940A8"/>
    <w:rsid w:val="007944A5"/>
    <w:rsid w:val="0079482E"/>
    <w:rsid w:val="00794A1B"/>
    <w:rsid w:val="00794F5B"/>
    <w:rsid w:val="0079520D"/>
    <w:rsid w:val="00795305"/>
    <w:rsid w:val="007957D5"/>
    <w:rsid w:val="007957F4"/>
    <w:rsid w:val="00795845"/>
    <w:rsid w:val="007959DC"/>
    <w:rsid w:val="00795A43"/>
    <w:rsid w:val="00795D1E"/>
    <w:rsid w:val="007963FE"/>
    <w:rsid w:val="0079640D"/>
    <w:rsid w:val="00796830"/>
    <w:rsid w:val="00796EB2"/>
    <w:rsid w:val="0079731E"/>
    <w:rsid w:val="00797554"/>
    <w:rsid w:val="00797828"/>
    <w:rsid w:val="00797A1C"/>
    <w:rsid w:val="00797A5B"/>
    <w:rsid w:val="00797EAC"/>
    <w:rsid w:val="007A0084"/>
    <w:rsid w:val="007A01E6"/>
    <w:rsid w:val="007A0DFA"/>
    <w:rsid w:val="007A1080"/>
    <w:rsid w:val="007A154E"/>
    <w:rsid w:val="007A1602"/>
    <w:rsid w:val="007A16B0"/>
    <w:rsid w:val="007A1AC2"/>
    <w:rsid w:val="007A1B45"/>
    <w:rsid w:val="007A1BAC"/>
    <w:rsid w:val="007A2099"/>
    <w:rsid w:val="007A2602"/>
    <w:rsid w:val="007A287E"/>
    <w:rsid w:val="007A2B45"/>
    <w:rsid w:val="007A2F82"/>
    <w:rsid w:val="007A2F9F"/>
    <w:rsid w:val="007A33C7"/>
    <w:rsid w:val="007A3442"/>
    <w:rsid w:val="007A34A4"/>
    <w:rsid w:val="007A3729"/>
    <w:rsid w:val="007A3AAA"/>
    <w:rsid w:val="007A3B95"/>
    <w:rsid w:val="007A3B99"/>
    <w:rsid w:val="007A3D9A"/>
    <w:rsid w:val="007A3DB8"/>
    <w:rsid w:val="007A3E56"/>
    <w:rsid w:val="007A3F66"/>
    <w:rsid w:val="007A40A5"/>
    <w:rsid w:val="007A45F7"/>
    <w:rsid w:val="007A475D"/>
    <w:rsid w:val="007A49B4"/>
    <w:rsid w:val="007A4EF0"/>
    <w:rsid w:val="007A5087"/>
    <w:rsid w:val="007A54D5"/>
    <w:rsid w:val="007A6207"/>
    <w:rsid w:val="007A6540"/>
    <w:rsid w:val="007A6732"/>
    <w:rsid w:val="007A68EE"/>
    <w:rsid w:val="007A6CE2"/>
    <w:rsid w:val="007A6D63"/>
    <w:rsid w:val="007A71CB"/>
    <w:rsid w:val="007A72CF"/>
    <w:rsid w:val="007A75B7"/>
    <w:rsid w:val="007A7655"/>
    <w:rsid w:val="007A79D0"/>
    <w:rsid w:val="007A7C55"/>
    <w:rsid w:val="007A7DDF"/>
    <w:rsid w:val="007A7E13"/>
    <w:rsid w:val="007B00C9"/>
    <w:rsid w:val="007B01B7"/>
    <w:rsid w:val="007B027C"/>
    <w:rsid w:val="007B05D8"/>
    <w:rsid w:val="007B06A7"/>
    <w:rsid w:val="007B07AC"/>
    <w:rsid w:val="007B0B37"/>
    <w:rsid w:val="007B0F84"/>
    <w:rsid w:val="007B12C7"/>
    <w:rsid w:val="007B161F"/>
    <w:rsid w:val="007B18E9"/>
    <w:rsid w:val="007B1A68"/>
    <w:rsid w:val="007B1CA7"/>
    <w:rsid w:val="007B1E30"/>
    <w:rsid w:val="007B22E8"/>
    <w:rsid w:val="007B23E6"/>
    <w:rsid w:val="007B2A66"/>
    <w:rsid w:val="007B2C2A"/>
    <w:rsid w:val="007B32C7"/>
    <w:rsid w:val="007B3A7D"/>
    <w:rsid w:val="007B3BB5"/>
    <w:rsid w:val="007B3DEF"/>
    <w:rsid w:val="007B4728"/>
    <w:rsid w:val="007B477B"/>
    <w:rsid w:val="007B4AB9"/>
    <w:rsid w:val="007B4B89"/>
    <w:rsid w:val="007B5151"/>
    <w:rsid w:val="007B52D2"/>
    <w:rsid w:val="007B55AF"/>
    <w:rsid w:val="007B5CF9"/>
    <w:rsid w:val="007B5DB9"/>
    <w:rsid w:val="007B5F1C"/>
    <w:rsid w:val="007B5FE9"/>
    <w:rsid w:val="007B6174"/>
    <w:rsid w:val="007B61F6"/>
    <w:rsid w:val="007B638E"/>
    <w:rsid w:val="007B6558"/>
    <w:rsid w:val="007B676F"/>
    <w:rsid w:val="007B691C"/>
    <w:rsid w:val="007B6A04"/>
    <w:rsid w:val="007B6ACE"/>
    <w:rsid w:val="007B6D4E"/>
    <w:rsid w:val="007B7515"/>
    <w:rsid w:val="007B75E5"/>
    <w:rsid w:val="007B7A49"/>
    <w:rsid w:val="007B7D4B"/>
    <w:rsid w:val="007C0963"/>
    <w:rsid w:val="007C0CC5"/>
    <w:rsid w:val="007C0E5F"/>
    <w:rsid w:val="007C0E95"/>
    <w:rsid w:val="007C13C1"/>
    <w:rsid w:val="007C13CF"/>
    <w:rsid w:val="007C18B0"/>
    <w:rsid w:val="007C1C17"/>
    <w:rsid w:val="007C222F"/>
    <w:rsid w:val="007C2A82"/>
    <w:rsid w:val="007C2A8F"/>
    <w:rsid w:val="007C2BDB"/>
    <w:rsid w:val="007C3323"/>
    <w:rsid w:val="007C3384"/>
    <w:rsid w:val="007C4091"/>
    <w:rsid w:val="007C4276"/>
    <w:rsid w:val="007C470C"/>
    <w:rsid w:val="007C4770"/>
    <w:rsid w:val="007C48D8"/>
    <w:rsid w:val="007C49DA"/>
    <w:rsid w:val="007C4BDA"/>
    <w:rsid w:val="007C50B6"/>
    <w:rsid w:val="007C526B"/>
    <w:rsid w:val="007C5438"/>
    <w:rsid w:val="007C5535"/>
    <w:rsid w:val="007C5581"/>
    <w:rsid w:val="007C5818"/>
    <w:rsid w:val="007C5954"/>
    <w:rsid w:val="007C5A98"/>
    <w:rsid w:val="007C5B83"/>
    <w:rsid w:val="007C61D3"/>
    <w:rsid w:val="007C645B"/>
    <w:rsid w:val="007C6621"/>
    <w:rsid w:val="007C6766"/>
    <w:rsid w:val="007C6837"/>
    <w:rsid w:val="007C6B92"/>
    <w:rsid w:val="007C6BC9"/>
    <w:rsid w:val="007C6BEF"/>
    <w:rsid w:val="007C6D6C"/>
    <w:rsid w:val="007C70D8"/>
    <w:rsid w:val="007C7190"/>
    <w:rsid w:val="007C7341"/>
    <w:rsid w:val="007C7466"/>
    <w:rsid w:val="007C78A4"/>
    <w:rsid w:val="007C7A02"/>
    <w:rsid w:val="007C7EC0"/>
    <w:rsid w:val="007D0061"/>
    <w:rsid w:val="007D008F"/>
    <w:rsid w:val="007D0098"/>
    <w:rsid w:val="007D00B5"/>
    <w:rsid w:val="007D0236"/>
    <w:rsid w:val="007D036A"/>
    <w:rsid w:val="007D055A"/>
    <w:rsid w:val="007D080D"/>
    <w:rsid w:val="007D0994"/>
    <w:rsid w:val="007D0ADE"/>
    <w:rsid w:val="007D0C52"/>
    <w:rsid w:val="007D0D17"/>
    <w:rsid w:val="007D15E5"/>
    <w:rsid w:val="007D1999"/>
    <w:rsid w:val="007D19F0"/>
    <w:rsid w:val="007D1B1D"/>
    <w:rsid w:val="007D1F8E"/>
    <w:rsid w:val="007D2028"/>
    <w:rsid w:val="007D248D"/>
    <w:rsid w:val="007D265E"/>
    <w:rsid w:val="007D26F9"/>
    <w:rsid w:val="007D282B"/>
    <w:rsid w:val="007D2BE5"/>
    <w:rsid w:val="007D341E"/>
    <w:rsid w:val="007D35D8"/>
    <w:rsid w:val="007D3A9D"/>
    <w:rsid w:val="007D3AB0"/>
    <w:rsid w:val="007D3DFA"/>
    <w:rsid w:val="007D3FFC"/>
    <w:rsid w:val="007D4544"/>
    <w:rsid w:val="007D4570"/>
    <w:rsid w:val="007D45EE"/>
    <w:rsid w:val="007D461D"/>
    <w:rsid w:val="007D4733"/>
    <w:rsid w:val="007D473C"/>
    <w:rsid w:val="007D4873"/>
    <w:rsid w:val="007D4B15"/>
    <w:rsid w:val="007D4C8E"/>
    <w:rsid w:val="007D4CA2"/>
    <w:rsid w:val="007D5582"/>
    <w:rsid w:val="007D560C"/>
    <w:rsid w:val="007D59AE"/>
    <w:rsid w:val="007D5D79"/>
    <w:rsid w:val="007D5FC7"/>
    <w:rsid w:val="007D606C"/>
    <w:rsid w:val="007D6163"/>
    <w:rsid w:val="007D654D"/>
    <w:rsid w:val="007D6822"/>
    <w:rsid w:val="007D69AA"/>
    <w:rsid w:val="007D69AE"/>
    <w:rsid w:val="007D6A5A"/>
    <w:rsid w:val="007D6D61"/>
    <w:rsid w:val="007D72FE"/>
    <w:rsid w:val="007D758E"/>
    <w:rsid w:val="007D7643"/>
    <w:rsid w:val="007D7839"/>
    <w:rsid w:val="007D7874"/>
    <w:rsid w:val="007D7ABA"/>
    <w:rsid w:val="007D7AFE"/>
    <w:rsid w:val="007D7F2E"/>
    <w:rsid w:val="007E066E"/>
    <w:rsid w:val="007E08B4"/>
    <w:rsid w:val="007E091C"/>
    <w:rsid w:val="007E0CA2"/>
    <w:rsid w:val="007E1183"/>
    <w:rsid w:val="007E11D1"/>
    <w:rsid w:val="007E143D"/>
    <w:rsid w:val="007E2329"/>
    <w:rsid w:val="007E233D"/>
    <w:rsid w:val="007E235C"/>
    <w:rsid w:val="007E250D"/>
    <w:rsid w:val="007E2567"/>
    <w:rsid w:val="007E2600"/>
    <w:rsid w:val="007E2668"/>
    <w:rsid w:val="007E274D"/>
    <w:rsid w:val="007E2CDB"/>
    <w:rsid w:val="007E3114"/>
    <w:rsid w:val="007E3354"/>
    <w:rsid w:val="007E34D1"/>
    <w:rsid w:val="007E35CB"/>
    <w:rsid w:val="007E3907"/>
    <w:rsid w:val="007E3B27"/>
    <w:rsid w:val="007E3E34"/>
    <w:rsid w:val="007E40EF"/>
    <w:rsid w:val="007E4401"/>
    <w:rsid w:val="007E4584"/>
    <w:rsid w:val="007E460A"/>
    <w:rsid w:val="007E461C"/>
    <w:rsid w:val="007E4923"/>
    <w:rsid w:val="007E4F54"/>
    <w:rsid w:val="007E54C2"/>
    <w:rsid w:val="007E566A"/>
    <w:rsid w:val="007E5A02"/>
    <w:rsid w:val="007E604B"/>
    <w:rsid w:val="007E6586"/>
    <w:rsid w:val="007E692D"/>
    <w:rsid w:val="007E6BA5"/>
    <w:rsid w:val="007E6FEE"/>
    <w:rsid w:val="007E72FD"/>
    <w:rsid w:val="007E74DD"/>
    <w:rsid w:val="007E76C5"/>
    <w:rsid w:val="007E774B"/>
    <w:rsid w:val="007E7B62"/>
    <w:rsid w:val="007E7E4D"/>
    <w:rsid w:val="007F01F1"/>
    <w:rsid w:val="007F0884"/>
    <w:rsid w:val="007F0B8F"/>
    <w:rsid w:val="007F0FE1"/>
    <w:rsid w:val="007F110C"/>
    <w:rsid w:val="007F1BCA"/>
    <w:rsid w:val="007F1C5C"/>
    <w:rsid w:val="007F1F09"/>
    <w:rsid w:val="007F2103"/>
    <w:rsid w:val="007F26B7"/>
    <w:rsid w:val="007F2A43"/>
    <w:rsid w:val="007F2B72"/>
    <w:rsid w:val="007F2BFE"/>
    <w:rsid w:val="007F2C65"/>
    <w:rsid w:val="007F32F9"/>
    <w:rsid w:val="007F384F"/>
    <w:rsid w:val="007F39D0"/>
    <w:rsid w:val="007F3A4C"/>
    <w:rsid w:val="007F3B7B"/>
    <w:rsid w:val="007F3C8C"/>
    <w:rsid w:val="007F3F3A"/>
    <w:rsid w:val="007F4282"/>
    <w:rsid w:val="007F4426"/>
    <w:rsid w:val="007F4A56"/>
    <w:rsid w:val="007F5570"/>
    <w:rsid w:val="007F55C9"/>
    <w:rsid w:val="007F5846"/>
    <w:rsid w:val="007F594F"/>
    <w:rsid w:val="007F5C56"/>
    <w:rsid w:val="007F5CB0"/>
    <w:rsid w:val="007F5DA6"/>
    <w:rsid w:val="007F6013"/>
    <w:rsid w:val="007F610C"/>
    <w:rsid w:val="007F6172"/>
    <w:rsid w:val="007F6511"/>
    <w:rsid w:val="007F6527"/>
    <w:rsid w:val="007F6894"/>
    <w:rsid w:val="007F79B4"/>
    <w:rsid w:val="007F7B1C"/>
    <w:rsid w:val="007F7D94"/>
    <w:rsid w:val="007F7D9F"/>
    <w:rsid w:val="007F7FFD"/>
    <w:rsid w:val="00800460"/>
    <w:rsid w:val="00800534"/>
    <w:rsid w:val="00800558"/>
    <w:rsid w:val="008006A3"/>
    <w:rsid w:val="008008A7"/>
    <w:rsid w:val="00800D54"/>
    <w:rsid w:val="00800DB3"/>
    <w:rsid w:val="00800FA6"/>
    <w:rsid w:val="008014F4"/>
    <w:rsid w:val="0080150E"/>
    <w:rsid w:val="00801877"/>
    <w:rsid w:val="00801A16"/>
    <w:rsid w:val="00801B8C"/>
    <w:rsid w:val="00802D6C"/>
    <w:rsid w:val="0080311A"/>
    <w:rsid w:val="00803241"/>
    <w:rsid w:val="008032C6"/>
    <w:rsid w:val="008039C9"/>
    <w:rsid w:val="00803AC1"/>
    <w:rsid w:val="00803BCA"/>
    <w:rsid w:val="00803F69"/>
    <w:rsid w:val="0080416D"/>
    <w:rsid w:val="008041DC"/>
    <w:rsid w:val="008042F5"/>
    <w:rsid w:val="00804649"/>
    <w:rsid w:val="00804A70"/>
    <w:rsid w:val="00804CB1"/>
    <w:rsid w:val="00804E04"/>
    <w:rsid w:val="008051A4"/>
    <w:rsid w:val="0080538C"/>
    <w:rsid w:val="00805574"/>
    <w:rsid w:val="00805B1E"/>
    <w:rsid w:val="00805C96"/>
    <w:rsid w:val="00805DD5"/>
    <w:rsid w:val="00805E5E"/>
    <w:rsid w:val="008060F0"/>
    <w:rsid w:val="0080637C"/>
    <w:rsid w:val="008066FE"/>
    <w:rsid w:val="00806EDB"/>
    <w:rsid w:val="008070E3"/>
    <w:rsid w:val="008075FF"/>
    <w:rsid w:val="0080799E"/>
    <w:rsid w:val="00807AE8"/>
    <w:rsid w:val="00807ED9"/>
    <w:rsid w:val="00810352"/>
    <w:rsid w:val="0081056F"/>
    <w:rsid w:val="00810624"/>
    <w:rsid w:val="008107B3"/>
    <w:rsid w:val="008108EB"/>
    <w:rsid w:val="00810A72"/>
    <w:rsid w:val="00810F75"/>
    <w:rsid w:val="00811350"/>
    <w:rsid w:val="008118C8"/>
    <w:rsid w:val="00811DD8"/>
    <w:rsid w:val="0081209D"/>
    <w:rsid w:val="008120BB"/>
    <w:rsid w:val="008123FF"/>
    <w:rsid w:val="00812547"/>
    <w:rsid w:val="008129BC"/>
    <w:rsid w:val="00812C69"/>
    <w:rsid w:val="00813883"/>
    <w:rsid w:val="008138F1"/>
    <w:rsid w:val="00813E82"/>
    <w:rsid w:val="00813F34"/>
    <w:rsid w:val="00814422"/>
    <w:rsid w:val="00815100"/>
    <w:rsid w:val="00815249"/>
    <w:rsid w:val="00815362"/>
    <w:rsid w:val="0081546D"/>
    <w:rsid w:val="00815475"/>
    <w:rsid w:val="0081594D"/>
    <w:rsid w:val="00815BBF"/>
    <w:rsid w:val="00815EB6"/>
    <w:rsid w:val="008162BB"/>
    <w:rsid w:val="00816742"/>
    <w:rsid w:val="00816885"/>
    <w:rsid w:val="008169E9"/>
    <w:rsid w:val="00816B86"/>
    <w:rsid w:val="00816B94"/>
    <w:rsid w:val="00816C5D"/>
    <w:rsid w:val="00816D79"/>
    <w:rsid w:val="008173EF"/>
    <w:rsid w:val="00817488"/>
    <w:rsid w:val="008177DA"/>
    <w:rsid w:val="008177DE"/>
    <w:rsid w:val="00817CDC"/>
    <w:rsid w:val="00817E81"/>
    <w:rsid w:val="00817F01"/>
    <w:rsid w:val="0082035D"/>
    <w:rsid w:val="0082064A"/>
    <w:rsid w:val="00820683"/>
    <w:rsid w:val="008207B2"/>
    <w:rsid w:val="008208FB"/>
    <w:rsid w:val="00820CBC"/>
    <w:rsid w:val="00820E76"/>
    <w:rsid w:val="0082170E"/>
    <w:rsid w:val="00821719"/>
    <w:rsid w:val="008217E0"/>
    <w:rsid w:val="00821AD5"/>
    <w:rsid w:val="00821B7F"/>
    <w:rsid w:val="00821E88"/>
    <w:rsid w:val="0082210B"/>
    <w:rsid w:val="00822447"/>
    <w:rsid w:val="008226C2"/>
    <w:rsid w:val="00823245"/>
    <w:rsid w:val="0082365B"/>
    <w:rsid w:val="0082392C"/>
    <w:rsid w:val="00823ACE"/>
    <w:rsid w:val="0082407A"/>
    <w:rsid w:val="0082451C"/>
    <w:rsid w:val="00824CF3"/>
    <w:rsid w:val="00824E4E"/>
    <w:rsid w:val="0082557C"/>
    <w:rsid w:val="00825689"/>
    <w:rsid w:val="00825865"/>
    <w:rsid w:val="008258BF"/>
    <w:rsid w:val="0082592E"/>
    <w:rsid w:val="00825D64"/>
    <w:rsid w:val="00825DC3"/>
    <w:rsid w:val="00825F8A"/>
    <w:rsid w:val="008264C9"/>
    <w:rsid w:val="00826A4F"/>
    <w:rsid w:val="00826ACA"/>
    <w:rsid w:val="00826BE0"/>
    <w:rsid w:val="0082731E"/>
    <w:rsid w:val="00827587"/>
    <w:rsid w:val="0082777B"/>
    <w:rsid w:val="008278DF"/>
    <w:rsid w:val="008278FA"/>
    <w:rsid w:val="00827ACE"/>
    <w:rsid w:val="00827B17"/>
    <w:rsid w:val="00827B4B"/>
    <w:rsid w:val="00827D93"/>
    <w:rsid w:val="00830076"/>
    <w:rsid w:val="008301F6"/>
    <w:rsid w:val="00830732"/>
    <w:rsid w:val="00830885"/>
    <w:rsid w:val="00830A7D"/>
    <w:rsid w:val="00830A88"/>
    <w:rsid w:val="00830B2D"/>
    <w:rsid w:val="00830D0A"/>
    <w:rsid w:val="00831061"/>
    <w:rsid w:val="0083112E"/>
    <w:rsid w:val="008311C9"/>
    <w:rsid w:val="008313D5"/>
    <w:rsid w:val="008313EE"/>
    <w:rsid w:val="008315C1"/>
    <w:rsid w:val="0083178D"/>
    <w:rsid w:val="00831933"/>
    <w:rsid w:val="00831D4F"/>
    <w:rsid w:val="00831DE7"/>
    <w:rsid w:val="00831EC0"/>
    <w:rsid w:val="008321D4"/>
    <w:rsid w:val="00832BF2"/>
    <w:rsid w:val="00833585"/>
    <w:rsid w:val="00833820"/>
    <w:rsid w:val="00833980"/>
    <w:rsid w:val="00833A1B"/>
    <w:rsid w:val="008342DA"/>
    <w:rsid w:val="008344FD"/>
    <w:rsid w:val="00834518"/>
    <w:rsid w:val="00834666"/>
    <w:rsid w:val="00834B04"/>
    <w:rsid w:val="00834B0D"/>
    <w:rsid w:val="00834BD3"/>
    <w:rsid w:val="00834C5D"/>
    <w:rsid w:val="00834C74"/>
    <w:rsid w:val="00834E74"/>
    <w:rsid w:val="00834F54"/>
    <w:rsid w:val="008353D4"/>
    <w:rsid w:val="008356CA"/>
    <w:rsid w:val="008357EA"/>
    <w:rsid w:val="008359DF"/>
    <w:rsid w:val="00835F7A"/>
    <w:rsid w:val="00836013"/>
    <w:rsid w:val="00836075"/>
    <w:rsid w:val="0083629E"/>
    <w:rsid w:val="00836733"/>
    <w:rsid w:val="0083758C"/>
    <w:rsid w:val="00837731"/>
    <w:rsid w:val="00837818"/>
    <w:rsid w:val="00837912"/>
    <w:rsid w:val="00837A82"/>
    <w:rsid w:val="00837BD9"/>
    <w:rsid w:val="00837DA0"/>
    <w:rsid w:val="008400CB"/>
    <w:rsid w:val="0084017D"/>
    <w:rsid w:val="008402FD"/>
    <w:rsid w:val="008403A4"/>
    <w:rsid w:val="00840AB0"/>
    <w:rsid w:val="00840BDA"/>
    <w:rsid w:val="00840BF4"/>
    <w:rsid w:val="00841211"/>
    <w:rsid w:val="0084165B"/>
    <w:rsid w:val="008417EF"/>
    <w:rsid w:val="008417F7"/>
    <w:rsid w:val="008418B6"/>
    <w:rsid w:val="00841C7E"/>
    <w:rsid w:val="0084277C"/>
    <w:rsid w:val="008427A9"/>
    <w:rsid w:val="00842BC7"/>
    <w:rsid w:val="00842C8E"/>
    <w:rsid w:val="00842F63"/>
    <w:rsid w:val="00842FA1"/>
    <w:rsid w:val="00843203"/>
    <w:rsid w:val="008432A3"/>
    <w:rsid w:val="008432D7"/>
    <w:rsid w:val="008432DC"/>
    <w:rsid w:val="008435F6"/>
    <w:rsid w:val="00843ACC"/>
    <w:rsid w:val="00843BE9"/>
    <w:rsid w:val="00843C0F"/>
    <w:rsid w:val="00843CBB"/>
    <w:rsid w:val="00844258"/>
    <w:rsid w:val="0084435B"/>
    <w:rsid w:val="008449DE"/>
    <w:rsid w:val="00844A07"/>
    <w:rsid w:val="0084514A"/>
    <w:rsid w:val="008451C3"/>
    <w:rsid w:val="00845443"/>
    <w:rsid w:val="0084563F"/>
    <w:rsid w:val="00845AFB"/>
    <w:rsid w:val="00845B64"/>
    <w:rsid w:val="00845CFF"/>
    <w:rsid w:val="00846421"/>
    <w:rsid w:val="008465E4"/>
    <w:rsid w:val="00846622"/>
    <w:rsid w:val="0084666C"/>
    <w:rsid w:val="00846A03"/>
    <w:rsid w:val="00846A24"/>
    <w:rsid w:val="00846F4D"/>
    <w:rsid w:val="008470DC"/>
    <w:rsid w:val="008472D6"/>
    <w:rsid w:val="00847516"/>
    <w:rsid w:val="0084768F"/>
    <w:rsid w:val="00847699"/>
    <w:rsid w:val="008479D5"/>
    <w:rsid w:val="00847A97"/>
    <w:rsid w:val="00847ACE"/>
    <w:rsid w:val="00847DF3"/>
    <w:rsid w:val="00850C43"/>
    <w:rsid w:val="00850EC4"/>
    <w:rsid w:val="00851267"/>
    <w:rsid w:val="00851658"/>
    <w:rsid w:val="0085180C"/>
    <w:rsid w:val="00851B0F"/>
    <w:rsid w:val="00851C98"/>
    <w:rsid w:val="00851D5C"/>
    <w:rsid w:val="0085224C"/>
    <w:rsid w:val="008522B2"/>
    <w:rsid w:val="00852357"/>
    <w:rsid w:val="00852657"/>
    <w:rsid w:val="00852672"/>
    <w:rsid w:val="0085288C"/>
    <w:rsid w:val="00852997"/>
    <w:rsid w:val="008529B8"/>
    <w:rsid w:val="00852D22"/>
    <w:rsid w:val="00852F7C"/>
    <w:rsid w:val="00853172"/>
    <w:rsid w:val="00853438"/>
    <w:rsid w:val="0085368B"/>
    <w:rsid w:val="008537D3"/>
    <w:rsid w:val="00853ABB"/>
    <w:rsid w:val="00853E1B"/>
    <w:rsid w:val="00853E56"/>
    <w:rsid w:val="00854277"/>
    <w:rsid w:val="008543FB"/>
    <w:rsid w:val="0085443B"/>
    <w:rsid w:val="0085451F"/>
    <w:rsid w:val="0085461E"/>
    <w:rsid w:val="0085530B"/>
    <w:rsid w:val="00855B70"/>
    <w:rsid w:val="00855DEF"/>
    <w:rsid w:val="0085622B"/>
    <w:rsid w:val="00856366"/>
    <w:rsid w:val="00856588"/>
    <w:rsid w:val="008565B3"/>
    <w:rsid w:val="00856DEE"/>
    <w:rsid w:val="0085707E"/>
    <w:rsid w:val="0085753C"/>
    <w:rsid w:val="00857854"/>
    <w:rsid w:val="008579E8"/>
    <w:rsid w:val="00857B6A"/>
    <w:rsid w:val="008608B1"/>
    <w:rsid w:val="00860C79"/>
    <w:rsid w:val="008612DD"/>
    <w:rsid w:val="00861765"/>
    <w:rsid w:val="00861B9E"/>
    <w:rsid w:val="00861BAF"/>
    <w:rsid w:val="00861C60"/>
    <w:rsid w:val="00861D00"/>
    <w:rsid w:val="0086274F"/>
    <w:rsid w:val="008631CD"/>
    <w:rsid w:val="00863345"/>
    <w:rsid w:val="00863413"/>
    <w:rsid w:val="00863A15"/>
    <w:rsid w:val="00863DFF"/>
    <w:rsid w:val="0086410F"/>
    <w:rsid w:val="008642D1"/>
    <w:rsid w:val="008649E5"/>
    <w:rsid w:val="00864ABE"/>
    <w:rsid w:val="00864C41"/>
    <w:rsid w:val="00864DA9"/>
    <w:rsid w:val="00864DFD"/>
    <w:rsid w:val="008651E8"/>
    <w:rsid w:val="008652D1"/>
    <w:rsid w:val="00865371"/>
    <w:rsid w:val="008653C9"/>
    <w:rsid w:val="00865674"/>
    <w:rsid w:val="00865860"/>
    <w:rsid w:val="0086620A"/>
    <w:rsid w:val="0086638C"/>
    <w:rsid w:val="008663A5"/>
    <w:rsid w:val="00866642"/>
    <w:rsid w:val="0086667B"/>
    <w:rsid w:val="008666B9"/>
    <w:rsid w:val="00866846"/>
    <w:rsid w:val="00866927"/>
    <w:rsid w:val="00866994"/>
    <w:rsid w:val="008669FB"/>
    <w:rsid w:val="00866D2B"/>
    <w:rsid w:val="00866F3B"/>
    <w:rsid w:val="008672B3"/>
    <w:rsid w:val="008672F5"/>
    <w:rsid w:val="00867335"/>
    <w:rsid w:val="008676A0"/>
    <w:rsid w:val="00867E02"/>
    <w:rsid w:val="00867E68"/>
    <w:rsid w:val="00870559"/>
    <w:rsid w:val="00870568"/>
    <w:rsid w:val="00870587"/>
    <w:rsid w:val="008705AD"/>
    <w:rsid w:val="008708E5"/>
    <w:rsid w:val="00870900"/>
    <w:rsid w:val="00870A22"/>
    <w:rsid w:val="00870BAD"/>
    <w:rsid w:val="00870FC6"/>
    <w:rsid w:val="00871323"/>
    <w:rsid w:val="0087153A"/>
    <w:rsid w:val="00871641"/>
    <w:rsid w:val="00871956"/>
    <w:rsid w:val="00871B77"/>
    <w:rsid w:val="00871BAD"/>
    <w:rsid w:val="008722F6"/>
    <w:rsid w:val="00872B06"/>
    <w:rsid w:val="00873742"/>
    <w:rsid w:val="00873F77"/>
    <w:rsid w:val="008740FF"/>
    <w:rsid w:val="008744F1"/>
    <w:rsid w:val="0087465F"/>
    <w:rsid w:val="008747D2"/>
    <w:rsid w:val="00874BCF"/>
    <w:rsid w:val="00875899"/>
    <w:rsid w:val="00875D48"/>
    <w:rsid w:val="0087623B"/>
    <w:rsid w:val="00876319"/>
    <w:rsid w:val="0087647B"/>
    <w:rsid w:val="00876889"/>
    <w:rsid w:val="00876950"/>
    <w:rsid w:val="008774D7"/>
    <w:rsid w:val="008777A6"/>
    <w:rsid w:val="00877B17"/>
    <w:rsid w:val="00877B32"/>
    <w:rsid w:val="00877C62"/>
    <w:rsid w:val="00877D12"/>
    <w:rsid w:val="00877E69"/>
    <w:rsid w:val="008801FD"/>
    <w:rsid w:val="00880A5E"/>
    <w:rsid w:val="00880D20"/>
    <w:rsid w:val="00880F7A"/>
    <w:rsid w:val="008814EA"/>
    <w:rsid w:val="008816EE"/>
    <w:rsid w:val="008817E7"/>
    <w:rsid w:val="00881810"/>
    <w:rsid w:val="008818E5"/>
    <w:rsid w:val="0088198F"/>
    <w:rsid w:val="00881E46"/>
    <w:rsid w:val="00881E73"/>
    <w:rsid w:val="008826FC"/>
    <w:rsid w:val="00882A84"/>
    <w:rsid w:val="00882F31"/>
    <w:rsid w:val="008835E2"/>
    <w:rsid w:val="00883625"/>
    <w:rsid w:val="008836F9"/>
    <w:rsid w:val="00883A72"/>
    <w:rsid w:val="0088409A"/>
    <w:rsid w:val="00884804"/>
    <w:rsid w:val="00884905"/>
    <w:rsid w:val="00884A50"/>
    <w:rsid w:val="00884D36"/>
    <w:rsid w:val="00884DDD"/>
    <w:rsid w:val="00884F5F"/>
    <w:rsid w:val="008853A9"/>
    <w:rsid w:val="00885658"/>
    <w:rsid w:val="00885849"/>
    <w:rsid w:val="008858B7"/>
    <w:rsid w:val="00885B65"/>
    <w:rsid w:val="00885B74"/>
    <w:rsid w:val="00885DE0"/>
    <w:rsid w:val="00885DEB"/>
    <w:rsid w:val="00886101"/>
    <w:rsid w:val="00886973"/>
    <w:rsid w:val="00886A47"/>
    <w:rsid w:val="00886EC9"/>
    <w:rsid w:val="00887395"/>
    <w:rsid w:val="008873EC"/>
    <w:rsid w:val="00887415"/>
    <w:rsid w:val="0088760C"/>
    <w:rsid w:val="00887A3A"/>
    <w:rsid w:val="00887BAE"/>
    <w:rsid w:val="00887E1E"/>
    <w:rsid w:val="008909C7"/>
    <w:rsid w:val="00891109"/>
    <w:rsid w:val="00891185"/>
    <w:rsid w:val="00891C9B"/>
    <w:rsid w:val="00891CA2"/>
    <w:rsid w:val="00891FFD"/>
    <w:rsid w:val="00892018"/>
    <w:rsid w:val="008922C2"/>
    <w:rsid w:val="0089268B"/>
    <w:rsid w:val="00892868"/>
    <w:rsid w:val="00892AF7"/>
    <w:rsid w:val="0089310C"/>
    <w:rsid w:val="00893909"/>
    <w:rsid w:val="00893D16"/>
    <w:rsid w:val="00893F83"/>
    <w:rsid w:val="008943FE"/>
    <w:rsid w:val="008945FC"/>
    <w:rsid w:val="008946B3"/>
    <w:rsid w:val="00894D3B"/>
    <w:rsid w:val="00894DDB"/>
    <w:rsid w:val="00894ED1"/>
    <w:rsid w:val="00894F8E"/>
    <w:rsid w:val="0089527A"/>
    <w:rsid w:val="00895637"/>
    <w:rsid w:val="0089564C"/>
    <w:rsid w:val="008957E6"/>
    <w:rsid w:val="00895808"/>
    <w:rsid w:val="00895C7C"/>
    <w:rsid w:val="00895DA7"/>
    <w:rsid w:val="00895F8E"/>
    <w:rsid w:val="008961A8"/>
    <w:rsid w:val="008962FC"/>
    <w:rsid w:val="0089630A"/>
    <w:rsid w:val="008964B7"/>
    <w:rsid w:val="00896C54"/>
    <w:rsid w:val="00896C7D"/>
    <w:rsid w:val="00896D1E"/>
    <w:rsid w:val="00896D96"/>
    <w:rsid w:val="008978BE"/>
    <w:rsid w:val="008979D3"/>
    <w:rsid w:val="00897B49"/>
    <w:rsid w:val="00897C05"/>
    <w:rsid w:val="00897C67"/>
    <w:rsid w:val="00897FD6"/>
    <w:rsid w:val="008A029D"/>
    <w:rsid w:val="008A07E3"/>
    <w:rsid w:val="008A099C"/>
    <w:rsid w:val="008A0D2E"/>
    <w:rsid w:val="008A17F5"/>
    <w:rsid w:val="008A194A"/>
    <w:rsid w:val="008A1AF4"/>
    <w:rsid w:val="008A1D20"/>
    <w:rsid w:val="008A1DCF"/>
    <w:rsid w:val="008A21C1"/>
    <w:rsid w:val="008A29C2"/>
    <w:rsid w:val="008A3578"/>
    <w:rsid w:val="008A38C4"/>
    <w:rsid w:val="008A3D13"/>
    <w:rsid w:val="008A3ED1"/>
    <w:rsid w:val="008A3F05"/>
    <w:rsid w:val="008A4BBB"/>
    <w:rsid w:val="008A4D50"/>
    <w:rsid w:val="008A50BD"/>
    <w:rsid w:val="008A5209"/>
    <w:rsid w:val="008A555E"/>
    <w:rsid w:val="008A5800"/>
    <w:rsid w:val="008A5C90"/>
    <w:rsid w:val="008A5FD3"/>
    <w:rsid w:val="008A6285"/>
    <w:rsid w:val="008A6709"/>
    <w:rsid w:val="008A6A0E"/>
    <w:rsid w:val="008A7013"/>
    <w:rsid w:val="008A736A"/>
    <w:rsid w:val="008A73F8"/>
    <w:rsid w:val="008A7462"/>
    <w:rsid w:val="008A7605"/>
    <w:rsid w:val="008A7841"/>
    <w:rsid w:val="008A79BE"/>
    <w:rsid w:val="008A7DF5"/>
    <w:rsid w:val="008A7FD4"/>
    <w:rsid w:val="008B069D"/>
    <w:rsid w:val="008B10F4"/>
    <w:rsid w:val="008B130A"/>
    <w:rsid w:val="008B1758"/>
    <w:rsid w:val="008B19B1"/>
    <w:rsid w:val="008B2433"/>
    <w:rsid w:val="008B26F9"/>
    <w:rsid w:val="008B2810"/>
    <w:rsid w:val="008B29DD"/>
    <w:rsid w:val="008B2CA7"/>
    <w:rsid w:val="008B2D50"/>
    <w:rsid w:val="008B2EAE"/>
    <w:rsid w:val="008B304D"/>
    <w:rsid w:val="008B30E2"/>
    <w:rsid w:val="008B30EA"/>
    <w:rsid w:val="008B333B"/>
    <w:rsid w:val="008B3377"/>
    <w:rsid w:val="008B3635"/>
    <w:rsid w:val="008B39FF"/>
    <w:rsid w:val="008B3DE1"/>
    <w:rsid w:val="008B3DE7"/>
    <w:rsid w:val="008B3E08"/>
    <w:rsid w:val="008B3E41"/>
    <w:rsid w:val="008B421B"/>
    <w:rsid w:val="008B4296"/>
    <w:rsid w:val="008B441F"/>
    <w:rsid w:val="008B4D80"/>
    <w:rsid w:val="008B4E7B"/>
    <w:rsid w:val="008B5203"/>
    <w:rsid w:val="008B537D"/>
    <w:rsid w:val="008B5AFB"/>
    <w:rsid w:val="008B5EC7"/>
    <w:rsid w:val="008B611B"/>
    <w:rsid w:val="008B615F"/>
    <w:rsid w:val="008B61A5"/>
    <w:rsid w:val="008B68B0"/>
    <w:rsid w:val="008B6997"/>
    <w:rsid w:val="008B6C53"/>
    <w:rsid w:val="008B6DBB"/>
    <w:rsid w:val="008B6F36"/>
    <w:rsid w:val="008B7251"/>
    <w:rsid w:val="008B74FB"/>
    <w:rsid w:val="008B762E"/>
    <w:rsid w:val="008B7F21"/>
    <w:rsid w:val="008B7FB9"/>
    <w:rsid w:val="008C085C"/>
    <w:rsid w:val="008C08C8"/>
    <w:rsid w:val="008C092A"/>
    <w:rsid w:val="008C0AFA"/>
    <w:rsid w:val="008C0C02"/>
    <w:rsid w:val="008C0C05"/>
    <w:rsid w:val="008C1017"/>
    <w:rsid w:val="008C1497"/>
    <w:rsid w:val="008C1543"/>
    <w:rsid w:val="008C19AF"/>
    <w:rsid w:val="008C19D2"/>
    <w:rsid w:val="008C1B53"/>
    <w:rsid w:val="008C1E75"/>
    <w:rsid w:val="008C1E89"/>
    <w:rsid w:val="008C1F45"/>
    <w:rsid w:val="008C242B"/>
    <w:rsid w:val="008C246F"/>
    <w:rsid w:val="008C3170"/>
    <w:rsid w:val="008C3376"/>
    <w:rsid w:val="008C350A"/>
    <w:rsid w:val="008C3899"/>
    <w:rsid w:val="008C390E"/>
    <w:rsid w:val="008C3C2D"/>
    <w:rsid w:val="008C436A"/>
    <w:rsid w:val="008C4456"/>
    <w:rsid w:val="008C44A4"/>
    <w:rsid w:val="008C459C"/>
    <w:rsid w:val="008C47F9"/>
    <w:rsid w:val="008C48CF"/>
    <w:rsid w:val="008C4C1D"/>
    <w:rsid w:val="008C4C23"/>
    <w:rsid w:val="008C505C"/>
    <w:rsid w:val="008C553D"/>
    <w:rsid w:val="008C560D"/>
    <w:rsid w:val="008C56A9"/>
    <w:rsid w:val="008C5791"/>
    <w:rsid w:val="008C57EE"/>
    <w:rsid w:val="008C591D"/>
    <w:rsid w:val="008C5EA1"/>
    <w:rsid w:val="008C6111"/>
    <w:rsid w:val="008C61E8"/>
    <w:rsid w:val="008C62A4"/>
    <w:rsid w:val="008C6626"/>
    <w:rsid w:val="008C6B79"/>
    <w:rsid w:val="008C6B81"/>
    <w:rsid w:val="008C7066"/>
    <w:rsid w:val="008C73DF"/>
    <w:rsid w:val="008C740F"/>
    <w:rsid w:val="008C7691"/>
    <w:rsid w:val="008C772F"/>
    <w:rsid w:val="008C792B"/>
    <w:rsid w:val="008C7E3B"/>
    <w:rsid w:val="008D0368"/>
    <w:rsid w:val="008D04AA"/>
    <w:rsid w:val="008D0710"/>
    <w:rsid w:val="008D0711"/>
    <w:rsid w:val="008D0833"/>
    <w:rsid w:val="008D0CB9"/>
    <w:rsid w:val="008D0D4F"/>
    <w:rsid w:val="008D179D"/>
    <w:rsid w:val="008D1867"/>
    <w:rsid w:val="008D1892"/>
    <w:rsid w:val="008D1AE9"/>
    <w:rsid w:val="008D1BC1"/>
    <w:rsid w:val="008D1DD1"/>
    <w:rsid w:val="008D1F54"/>
    <w:rsid w:val="008D21B5"/>
    <w:rsid w:val="008D2212"/>
    <w:rsid w:val="008D2253"/>
    <w:rsid w:val="008D2439"/>
    <w:rsid w:val="008D276E"/>
    <w:rsid w:val="008D2805"/>
    <w:rsid w:val="008D32C4"/>
    <w:rsid w:val="008D3564"/>
    <w:rsid w:val="008D3598"/>
    <w:rsid w:val="008D35E1"/>
    <w:rsid w:val="008D3BBD"/>
    <w:rsid w:val="008D3F8B"/>
    <w:rsid w:val="008D4138"/>
    <w:rsid w:val="008D44D9"/>
    <w:rsid w:val="008D4543"/>
    <w:rsid w:val="008D4A80"/>
    <w:rsid w:val="008D4AC6"/>
    <w:rsid w:val="008D4CCF"/>
    <w:rsid w:val="008D4FF5"/>
    <w:rsid w:val="008D5063"/>
    <w:rsid w:val="008D5171"/>
    <w:rsid w:val="008D52A5"/>
    <w:rsid w:val="008D54D8"/>
    <w:rsid w:val="008D557F"/>
    <w:rsid w:val="008D576C"/>
    <w:rsid w:val="008D5A36"/>
    <w:rsid w:val="008D5ACF"/>
    <w:rsid w:val="008D5BE0"/>
    <w:rsid w:val="008D5EBA"/>
    <w:rsid w:val="008D609F"/>
    <w:rsid w:val="008D60F6"/>
    <w:rsid w:val="008D63D0"/>
    <w:rsid w:val="008D63FE"/>
    <w:rsid w:val="008D64E8"/>
    <w:rsid w:val="008D667A"/>
    <w:rsid w:val="008D6C41"/>
    <w:rsid w:val="008D6DA9"/>
    <w:rsid w:val="008D75C2"/>
    <w:rsid w:val="008D7785"/>
    <w:rsid w:val="008D77E8"/>
    <w:rsid w:val="008D7CB4"/>
    <w:rsid w:val="008D7D07"/>
    <w:rsid w:val="008E05D2"/>
    <w:rsid w:val="008E0890"/>
    <w:rsid w:val="008E0981"/>
    <w:rsid w:val="008E0DAB"/>
    <w:rsid w:val="008E0F20"/>
    <w:rsid w:val="008E1A13"/>
    <w:rsid w:val="008E1AD3"/>
    <w:rsid w:val="008E2155"/>
    <w:rsid w:val="008E21B3"/>
    <w:rsid w:val="008E254E"/>
    <w:rsid w:val="008E27AE"/>
    <w:rsid w:val="008E2BE7"/>
    <w:rsid w:val="008E2D08"/>
    <w:rsid w:val="008E2F2B"/>
    <w:rsid w:val="008E37D8"/>
    <w:rsid w:val="008E3A6B"/>
    <w:rsid w:val="008E3ADB"/>
    <w:rsid w:val="008E3BAC"/>
    <w:rsid w:val="008E3C9C"/>
    <w:rsid w:val="008E3D4E"/>
    <w:rsid w:val="008E3E26"/>
    <w:rsid w:val="008E3F73"/>
    <w:rsid w:val="008E432A"/>
    <w:rsid w:val="008E445B"/>
    <w:rsid w:val="008E46F5"/>
    <w:rsid w:val="008E48F1"/>
    <w:rsid w:val="008E4D9E"/>
    <w:rsid w:val="008E533E"/>
    <w:rsid w:val="008E5989"/>
    <w:rsid w:val="008E5AAC"/>
    <w:rsid w:val="008E5B6E"/>
    <w:rsid w:val="008E5E2A"/>
    <w:rsid w:val="008E5E73"/>
    <w:rsid w:val="008E5F93"/>
    <w:rsid w:val="008E5FDE"/>
    <w:rsid w:val="008E5FF0"/>
    <w:rsid w:val="008E62AF"/>
    <w:rsid w:val="008E650E"/>
    <w:rsid w:val="008E6601"/>
    <w:rsid w:val="008E67EB"/>
    <w:rsid w:val="008E6C90"/>
    <w:rsid w:val="008E75F1"/>
    <w:rsid w:val="008E77AE"/>
    <w:rsid w:val="008E77FD"/>
    <w:rsid w:val="008E78C7"/>
    <w:rsid w:val="008E79C4"/>
    <w:rsid w:val="008E79FB"/>
    <w:rsid w:val="008E7C6E"/>
    <w:rsid w:val="008F00EF"/>
    <w:rsid w:val="008F01F9"/>
    <w:rsid w:val="008F0908"/>
    <w:rsid w:val="008F09CA"/>
    <w:rsid w:val="008F0C00"/>
    <w:rsid w:val="008F0C58"/>
    <w:rsid w:val="008F0CEF"/>
    <w:rsid w:val="008F0D05"/>
    <w:rsid w:val="008F1316"/>
    <w:rsid w:val="008F1439"/>
    <w:rsid w:val="008F1461"/>
    <w:rsid w:val="008F2078"/>
    <w:rsid w:val="008F23ED"/>
    <w:rsid w:val="008F2F65"/>
    <w:rsid w:val="008F348A"/>
    <w:rsid w:val="008F36EB"/>
    <w:rsid w:val="008F3D22"/>
    <w:rsid w:val="008F3FF8"/>
    <w:rsid w:val="008F4673"/>
    <w:rsid w:val="008F4AFE"/>
    <w:rsid w:val="008F4B52"/>
    <w:rsid w:val="008F4BAB"/>
    <w:rsid w:val="008F4C77"/>
    <w:rsid w:val="008F5022"/>
    <w:rsid w:val="008F5388"/>
    <w:rsid w:val="008F53A1"/>
    <w:rsid w:val="008F5DBE"/>
    <w:rsid w:val="008F5E39"/>
    <w:rsid w:val="008F5EA4"/>
    <w:rsid w:val="008F6A27"/>
    <w:rsid w:val="008F6EDB"/>
    <w:rsid w:val="008F7357"/>
    <w:rsid w:val="008F74CE"/>
    <w:rsid w:val="008F796A"/>
    <w:rsid w:val="008F7C97"/>
    <w:rsid w:val="008F7D85"/>
    <w:rsid w:val="008F7F4A"/>
    <w:rsid w:val="00900093"/>
    <w:rsid w:val="00900410"/>
    <w:rsid w:val="00900B67"/>
    <w:rsid w:val="00900F4D"/>
    <w:rsid w:val="00900F76"/>
    <w:rsid w:val="009012B2"/>
    <w:rsid w:val="0090152B"/>
    <w:rsid w:val="009015EE"/>
    <w:rsid w:val="009019EE"/>
    <w:rsid w:val="00901E03"/>
    <w:rsid w:val="00902193"/>
    <w:rsid w:val="00902270"/>
    <w:rsid w:val="009022A8"/>
    <w:rsid w:val="00902546"/>
    <w:rsid w:val="00902DF4"/>
    <w:rsid w:val="00903021"/>
    <w:rsid w:val="00903076"/>
    <w:rsid w:val="009035D0"/>
    <w:rsid w:val="009035F8"/>
    <w:rsid w:val="00903692"/>
    <w:rsid w:val="00903709"/>
    <w:rsid w:val="00903D38"/>
    <w:rsid w:val="00903D98"/>
    <w:rsid w:val="00903E55"/>
    <w:rsid w:val="009041E8"/>
    <w:rsid w:val="00904265"/>
    <w:rsid w:val="00904408"/>
    <w:rsid w:val="00904526"/>
    <w:rsid w:val="009046B6"/>
    <w:rsid w:val="00904795"/>
    <w:rsid w:val="00904834"/>
    <w:rsid w:val="00904919"/>
    <w:rsid w:val="00904AD4"/>
    <w:rsid w:val="00904D1F"/>
    <w:rsid w:val="00904DB1"/>
    <w:rsid w:val="0090507C"/>
    <w:rsid w:val="009052F8"/>
    <w:rsid w:val="00905417"/>
    <w:rsid w:val="00905D23"/>
    <w:rsid w:val="009063F2"/>
    <w:rsid w:val="00906621"/>
    <w:rsid w:val="00906667"/>
    <w:rsid w:val="009069D5"/>
    <w:rsid w:val="00906AEB"/>
    <w:rsid w:val="00906D24"/>
    <w:rsid w:val="00907139"/>
    <w:rsid w:val="009075EA"/>
    <w:rsid w:val="00907833"/>
    <w:rsid w:val="00907A78"/>
    <w:rsid w:val="00907AFA"/>
    <w:rsid w:val="00907BE5"/>
    <w:rsid w:val="00907E49"/>
    <w:rsid w:val="00910054"/>
    <w:rsid w:val="009106C9"/>
    <w:rsid w:val="009107AD"/>
    <w:rsid w:val="00910862"/>
    <w:rsid w:val="00910AA6"/>
    <w:rsid w:val="00910ABD"/>
    <w:rsid w:val="00910BFF"/>
    <w:rsid w:val="0091158C"/>
    <w:rsid w:val="00911E20"/>
    <w:rsid w:val="00911EED"/>
    <w:rsid w:val="00912069"/>
    <w:rsid w:val="0091264C"/>
    <w:rsid w:val="0091294E"/>
    <w:rsid w:val="009131D5"/>
    <w:rsid w:val="00913639"/>
    <w:rsid w:val="0091363E"/>
    <w:rsid w:val="00913923"/>
    <w:rsid w:val="00913BCE"/>
    <w:rsid w:val="00913EE0"/>
    <w:rsid w:val="00914256"/>
    <w:rsid w:val="009146C7"/>
    <w:rsid w:val="009146DD"/>
    <w:rsid w:val="009148EA"/>
    <w:rsid w:val="00914A62"/>
    <w:rsid w:val="00914B3E"/>
    <w:rsid w:val="00914CB1"/>
    <w:rsid w:val="00914E7B"/>
    <w:rsid w:val="0091508B"/>
    <w:rsid w:val="009150DC"/>
    <w:rsid w:val="00915182"/>
    <w:rsid w:val="0091525F"/>
    <w:rsid w:val="00915798"/>
    <w:rsid w:val="00915C24"/>
    <w:rsid w:val="00915CE0"/>
    <w:rsid w:val="00915D39"/>
    <w:rsid w:val="00915E6A"/>
    <w:rsid w:val="00915EE2"/>
    <w:rsid w:val="009160FA"/>
    <w:rsid w:val="00916307"/>
    <w:rsid w:val="00916535"/>
    <w:rsid w:val="00916735"/>
    <w:rsid w:val="009169EF"/>
    <w:rsid w:val="00916A0A"/>
    <w:rsid w:val="00917179"/>
    <w:rsid w:val="009172C7"/>
    <w:rsid w:val="0091738C"/>
    <w:rsid w:val="00917402"/>
    <w:rsid w:val="0091771F"/>
    <w:rsid w:val="00917870"/>
    <w:rsid w:val="00917C95"/>
    <w:rsid w:val="00917E5B"/>
    <w:rsid w:val="00920969"/>
    <w:rsid w:val="00920973"/>
    <w:rsid w:val="00920F35"/>
    <w:rsid w:val="00921514"/>
    <w:rsid w:val="00921746"/>
    <w:rsid w:val="009217ED"/>
    <w:rsid w:val="009217F0"/>
    <w:rsid w:val="009219F3"/>
    <w:rsid w:val="00921B20"/>
    <w:rsid w:val="00921BA3"/>
    <w:rsid w:val="00921DFB"/>
    <w:rsid w:val="00921EB6"/>
    <w:rsid w:val="00921EE7"/>
    <w:rsid w:val="00922C7F"/>
    <w:rsid w:val="00922E90"/>
    <w:rsid w:val="00923090"/>
    <w:rsid w:val="00923449"/>
    <w:rsid w:val="0092385F"/>
    <w:rsid w:val="00923CD3"/>
    <w:rsid w:val="00923FCD"/>
    <w:rsid w:val="00924168"/>
    <w:rsid w:val="0092418E"/>
    <w:rsid w:val="009242B8"/>
    <w:rsid w:val="0092438D"/>
    <w:rsid w:val="009245B6"/>
    <w:rsid w:val="00924889"/>
    <w:rsid w:val="009248EF"/>
    <w:rsid w:val="009249D9"/>
    <w:rsid w:val="00924B21"/>
    <w:rsid w:val="00924C46"/>
    <w:rsid w:val="00925087"/>
    <w:rsid w:val="009252FD"/>
    <w:rsid w:val="00925499"/>
    <w:rsid w:val="00925D2E"/>
    <w:rsid w:val="00925FF4"/>
    <w:rsid w:val="009260E5"/>
    <w:rsid w:val="009261B7"/>
    <w:rsid w:val="00926253"/>
    <w:rsid w:val="0092632D"/>
    <w:rsid w:val="0092637F"/>
    <w:rsid w:val="009263AD"/>
    <w:rsid w:val="0092646A"/>
    <w:rsid w:val="00926585"/>
    <w:rsid w:val="00926F86"/>
    <w:rsid w:val="009273FA"/>
    <w:rsid w:val="009274CB"/>
    <w:rsid w:val="00927630"/>
    <w:rsid w:val="00927662"/>
    <w:rsid w:val="00927AD2"/>
    <w:rsid w:val="00927DA0"/>
    <w:rsid w:val="00927E7A"/>
    <w:rsid w:val="00927F31"/>
    <w:rsid w:val="00930163"/>
    <w:rsid w:val="00930711"/>
    <w:rsid w:val="00930A63"/>
    <w:rsid w:val="00930C51"/>
    <w:rsid w:val="0093198D"/>
    <w:rsid w:val="00931C1C"/>
    <w:rsid w:val="00931DB5"/>
    <w:rsid w:val="00932929"/>
    <w:rsid w:val="00932E85"/>
    <w:rsid w:val="00932FF1"/>
    <w:rsid w:val="00933096"/>
    <w:rsid w:val="00933AF0"/>
    <w:rsid w:val="00933B78"/>
    <w:rsid w:val="00933C22"/>
    <w:rsid w:val="00934117"/>
    <w:rsid w:val="009341CC"/>
    <w:rsid w:val="0093430A"/>
    <w:rsid w:val="00934394"/>
    <w:rsid w:val="00934420"/>
    <w:rsid w:val="009346C6"/>
    <w:rsid w:val="00934D39"/>
    <w:rsid w:val="00934D81"/>
    <w:rsid w:val="00935096"/>
    <w:rsid w:val="009351C8"/>
    <w:rsid w:val="0093559C"/>
    <w:rsid w:val="009358E7"/>
    <w:rsid w:val="00935CFC"/>
    <w:rsid w:val="00935DFD"/>
    <w:rsid w:val="0093608B"/>
    <w:rsid w:val="0093676F"/>
    <w:rsid w:val="00936A35"/>
    <w:rsid w:val="0093769E"/>
    <w:rsid w:val="00937BDF"/>
    <w:rsid w:val="00937D30"/>
    <w:rsid w:val="00940502"/>
    <w:rsid w:val="009407EA"/>
    <w:rsid w:val="00940F86"/>
    <w:rsid w:val="00941185"/>
    <w:rsid w:val="009415B4"/>
    <w:rsid w:val="00941984"/>
    <w:rsid w:val="00941D51"/>
    <w:rsid w:val="009420D4"/>
    <w:rsid w:val="009422E1"/>
    <w:rsid w:val="0094304C"/>
    <w:rsid w:val="009432E7"/>
    <w:rsid w:val="00943969"/>
    <w:rsid w:val="00943BF3"/>
    <w:rsid w:val="0094412D"/>
    <w:rsid w:val="009452F8"/>
    <w:rsid w:val="009454EE"/>
    <w:rsid w:val="00945510"/>
    <w:rsid w:val="00945AAE"/>
    <w:rsid w:val="00945BAA"/>
    <w:rsid w:val="009462D0"/>
    <w:rsid w:val="00946651"/>
    <w:rsid w:val="00946F70"/>
    <w:rsid w:val="00947527"/>
    <w:rsid w:val="00947537"/>
    <w:rsid w:val="009478CF"/>
    <w:rsid w:val="00947904"/>
    <w:rsid w:val="00947A08"/>
    <w:rsid w:val="00947CBB"/>
    <w:rsid w:val="00950055"/>
    <w:rsid w:val="0095015F"/>
    <w:rsid w:val="009502EB"/>
    <w:rsid w:val="009503EE"/>
    <w:rsid w:val="0095064A"/>
    <w:rsid w:val="0095068C"/>
    <w:rsid w:val="009506CA"/>
    <w:rsid w:val="0095081E"/>
    <w:rsid w:val="0095093A"/>
    <w:rsid w:val="009509E4"/>
    <w:rsid w:val="009509ED"/>
    <w:rsid w:val="00950D01"/>
    <w:rsid w:val="00950D18"/>
    <w:rsid w:val="00951018"/>
    <w:rsid w:val="00951076"/>
    <w:rsid w:val="009511A0"/>
    <w:rsid w:val="009515CB"/>
    <w:rsid w:val="00951724"/>
    <w:rsid w:val="00951C4B"/>
    <w:rsid w:val="00952549"/>
    <w:rsid w:val="0095270B"/>
    <w:rsid w:val="00952858"/>
    <w:rsid w:val="00952A75"/>
    <w:rsid w:val="00952B0F"/>
    <w:rsid w:val="00952F8A"/>
    <w:rsid w:val="00953138"/>
    <w:rsid w:val="00953497"/>
    <w:rsid w:val="009536F5"/>
    <w:rsid w:val="009538CD"/>
    <w:rsid w:val="00953F1F"/>
    <w:rsid w:val="00954356"/>
    <w:rsid w:val="00954716"/>
    <w:rsid w:val="0095482F"/>
    <w:rsid w:val="009548C6"/>
    <w:rsid w:val="00954B23"/>
    <w:rsid w:val="00954C9A"/>
    <w:rsid w:val="00954D84"/>
    <w:rsid w:val="00954DD6"/>
    <w:rsid w:val="0095539C"/>
    <w:rsid w:val="00955405"/>
    <w:rsid w:val="0095557F"/>
    <w:rsid w:val="00955702"/>
    <w:rsid w:val="00955E62"/>
    <w:rsid w:val="00956000"/>
    <w:rsid w:val="00956218"/>
    <w:rsid w:val="009565BC"/>
    <w:rsid w:val="009569FE"/>
    <w:rsid w:val="00956A71"/>
    <w:rsid w:val="0095741C"/>
    <w:rsid w:val="0095763D"/>
    <w:rsid w:val="00957936"/>
    <w:rsid w:val="00957BF5"/>
    <w:rsid w:val="00957C96"/>
    <w:rsid w:val="009600E4"/>
    <w:rsid w:val="00960730"/>
    <w:rsid w:val="00960A16"/>
    <w:rsid w:val="00960F93"/>
    <w:rsid w:val="00961012"/>
    <w:rsid w:val="00961456"/>
    <w:rsid w:val="00961FA2"/>
    <w:rsid w:val="00962D68"/>
    <w:rsid w:val="00962D89"/>
    <w:rsid w:val="00962E3E"/>
    <w:rsid w:val="00963017"/>
    <w:rsid w:val="00963244"/>
    <w:rsid w:val="00963365"/>
    <w:rsid w:val="0096350B"/>
    <w:rsid w:val="00963638"/>
    <w:rsid w:val="00963C9D"/>
    <w:rsid w:val="009640AE"/>
    <w:rsid w:val="00964415"/>
    <w:rsid w:val="009645DB"/>
    <w:rsid w:val="009655E7"/>
    <w:rsid w:val="009658B4"/>
    <w:rsid w:val="00966392"/>
    <w:rsid w:val="009663D6"/>
    <w:rsid w:val="0096647C"/>
    <w:rsid w:val="009666F0"/>
    <w:rsid w:val="00966C36"/>
    <w:rsid w:val="00966D93"/>
    <w:rsid w:val="00966E18"/>
    <w:rsid w:val="009671EC"/>
    <w:rsid w:val="0096732B"/>
    <w:rsid w:val="009673BC"/>
    <w:rsid w:val="00967649"/>
    <w:rsid w:val="009679C9"/>
    <w:rsid w:val="009679F5"/>
    <w:rsid w:val="00967D14"/>
    <w:rsid w:val="00967D2E"/>
    <w:rsid w:val="00967FC9"/>
    <w:rsid w:val="009702F6"/>
    <w:rsid w:val="009703E5"/>
    <w:rsid w:val="00970775"/>
    <w:rsid w:val="0097093D"/>
    <w:rsid w:val="00971182"/>
    <w:rsid w:val="0097119D"/>
    <w:rsid w:val="00971253"/>
    <w:rsid w:val="009716A2"/>
    <w:rsid w:val="00971C12"/>
    <w:rsid w:val="00971D59"/>
    <w:rsid w:val="00971F74"/>
    <w:rsid w:val="00972239"/>
    <w:rsid w:val="0097294F"/>
    <w:rsid w:val="00972B08"/>
    <w:rsid w:val="00972CE2"/>
    <w:rsid w:val="00972CE4"/>
    <w:rsid w:val="00972E13"/>
    <w:rsid w:val="009730FD"/>
    <w:rsid w:val="009733FD"/>
    <w:rsid w:val="00973C92"/>
    <w:rsid w:val="00973E70"/>
    <w:rsid w:val="00974510"/>
    <w:rsid w:val="00974DC9"/>
    <w:rsid w:val="00974E9E"/>
    <w:rsid w:val="00974F30"/>
    <w:rsid w:val="00974F6F"/>
    <w:rsid w:val="0097521B"/>
    <w:rsid w:val="009753FD"/>
    <w:rsid w:val="009756AC"/>
    <w:rsid w:val="00975E75"/>
    <w:rsid w:val="00975EC2"/>
    <w:rsid w:val="00976990"/>
    <w:rsid w:val="00976BC2"/>
    <w:rsid w:val="00976C5E"/>
    <w:rsid w:val="00976EDD"/>
    <w:rsid w:val="00977326"/>
    <w:rsid w:val="00977557"/>
    <w:rsid w:val="00977BDF"/>
    <w:rsid w:val="00977C14"/>
    <w:rsid w:val="00977F3C"/>
    <w:rsid w:val="00980565"/>
    <w:rsid w:val="00980848"/>
    <w:rsid w:val="00980F3E"/>
    <w:rsid w:val="0098105E"/>
    <w:rsid w:val="00981203"/>
    <w:rsid w:val="00981218"/>
    <w:rsid w:val="009813F7"/>
    <w:rsid w:val="00981BFF"/>
    <w:rsid w:val="00982318"/>
    <w:rsid w:val="0098231B"/>
    <w:rsid w:val="009823AB"/>
    <w:rsid w:val="009823EC"/>
    <w:rsid w:val="009824F1"/>
    <w:rsid w:val="009828A4"/>
    <w:rsid w:val="0098327C"/>
    <w:rsid w:val="009833C4"/>
    <w:rsid w:val="0098357D"/>
    <w:rsid w:val="00983839"/>
    <w:rsid w:val="00983922"/>
    <w:rsid w:val="009839A0"/>
    <w:rsid w:val="00983B94"/>
    <w:rsid w:val="0098419C"/>
    <w:rsid w:val="00984838"/>
    <w:rsid w:val="00984FE1"/>
    <w:rsid w:val="00985368"/>
    <w:rsid w:val="00985392"/>
    <w:rsid w:val="0098544C"/>
    <w:rsid w:val="0098598E"/>
    <w:rsid w:val="00985A24"/>
    <w:rsid w:val="00985C76"/>
    <w:rsid w:val="00985F6E"/>
    <w:rsid w:val="0098604D"/>
    <w:rsid w:val="00986233"/>
    <w:rsid w:val="00986895"/>
    <w:rsid w:val="00986BF0"/>
    <w:rsid w:val="00986CE4"/>
    <w:rsid w:val="00986E23"/>
    <w:rsid w:val="009872FB"/>
    <w:rsid w:val="00987500"/>
    <w:rsid w:val="0098784F"/>
    <w:rsid w:val="00987E38"/>
    <w:rsid w:val="00987ED0"/>
    <w:rsid w:val="009901CA"/>
    <w:rsid w:val="0099025B"/>
    <w:rsid w:val="009902D4"/>
    <w:rsid w:val="00990330"/>
    <w:rsid w:val="009906DE"/>
    <w:rsid w:val="00990797"/>
    <w:rsid w:val="0099080C"/>
    <w:rsid w:val="00990AC0"/>
    <w:rsid w:val="00990AD7"/>
    <w:rsid w:val="00990CBD"/>
    <w:rsid w:val="00990FD1"/>
    <w:rsid w:val="0099126D"/>
    <w:rsid w:val="00991464"/>
    <w:rsid w:val="00991775"/>
    <w:rsid w:val="00991DEA"/>
    <w:rsid w:val="009923D0"/>
    <w:rsid w:val="00992B0C"/>
    <w:rsid w:val="0099303F"/>
    <w:rsid w:val="009932B1"/>
    <w:rsid w:val="00993421"/>
    <w:rsid w:val="00993603"/>
    <w:rsid w:val="0099363D"/>
    <w:rsid w:val="009943A5"/>
    <w:rsid w:val="009944D3"/>
    <w:rsid w:val="00994BCE"/>
    <w:rsid w:val="00994CB2"/>
    <w:rsid w:val="00995569"/>
    <w:rsid w:val="009956CB"/>
    <w:rsid w:val="009957A2"/>
    <w:rsid w:val="00995D17"/>
    <w:rsid w:val="00995DF3"/>
    <w:rsid w:val="0099644E"/>
    <w:rsid w:val="00996703"/>
    <w:rsid w:val="0099675A"/>
    <w:rsid w:val="009968FF"/>
    <w:rsid w:val="00996B8A"/>
    <w:rsid w:val="00996CE8"/>
    <w:rsid w:val="00996F62"/>
    <w:rsid w:val="00996F6F"/>
    <w:rsid w:val="00996FC2"/>
    <w:rsid w:val="0099717B"/>
    <w:rsid w:val="00997424"/>
    <w:rsid w:val="00997479"/>
    <w:rsid w:val="009974AB"/>
    <w:rsid w:val="0099769B"/>
    <w:rsid w:val="00997B37"/>
    <w:rsid w:val="00997B49"/>
    <w:rsid w:val="00997D0C"/>
    <w:rsid w:val="009A0504"/>
    <w:rsid w:val="009A0B52"/>
    <w:rsid w:val="009A0C8F"/>
    <w:rsid w:val="009A0F43"/>
    <w:rsid w:val="009A0FB1"/>
    <w:rsid w:val="009A127D"/>
    <w:rsid w:val="009A1328"/>
    <w:rsid w:val="009A13B9"/>
    <w:rsid w:val="009A1422"/>
    <w:rsid w:val="009A151A"/>
    <w:rsid w:val="009A1DB1"/>
    <w:rsid w:val="009A2582"/>
    <w:rsid w:val="009A2594"/>
    <w:rsid w:val="009A25EB"/>
    <w:rsid w:val="009A2602"/>
    <w:rsid w:val="009A2639"/>
    <w:rsid w:val="009A293A"/>
    <w:rsid w:val="009A2958"/>
    <w:rsid w:val="009A2DF5"/>
    <w:rsid w:val="009A2E8B"/>
    <w:rsid w:val="009A327B"/>
    <w:rsid w:val="009A33B5"/>
    <w:rsid w:val="009A3578"/>
    <w:rsid w:val="009A3F06"/>
    <w:rsid w:val="009A41BE"/>
    <w:rsid w:val="009A41CA"/>
    <w:rsid w:val="009A4399"/>
    <w:rsid w:val="009A4466"/>
    <w:rsid w:val="009A46F7"/>
    <w:rsid w:val="009A47E4"/>
    <w:rsid w:val="009A4AE2"/>
    <w:rsid w:val="009A4C90"/>
    <w:rsid w:val="009A4F1B"/>
    <w:rsid w:val="009A53BD"/>
    <w:rsid w:val="009A5441"/>
    <w:rsid w:val="009A57C3"/>
    <w:rsid w:val="009A5AFE"/>
    <w:rsid w:val="009A5B06"/>
    <w:rsid w:val="009A5D6C"/>
    <w:rsid w:val="009A61BF"/>
    <w:rsid w:val="009A6440"/>
    <w:rsid w:val="009A6475"/>
    <w:rsid w:val="009A6691"/>
    <w:rsid w:val="009A6792"/>
    <w:rsid w:val="009A6D7D"/>
    <w:rsid w:val="009A732F"/>
    <w:rsid w:val="009A73A5"/>
    <w:rsid w:val="009A748A"/>
    <w:rsid w:val="009A75A8"/>
    <w:rsid w:val="009A7810"/>
    <w:rsid w:val="009A7BB2"/>
    <w:rsid w:val="009B02AD"/>
    <w:rsid w:val="009B032C"/>
    <w:rsid w:val="009B09E3"/>
    <w:rsid w:val="009B0BE9"/>
    <w:rsid w:val="009B0BEA"/>
    <w:rsid w:val="009B0CCD"/>
    <w:rsid w:val="009B1076"/>
    <w:rsid w:val="009B14DA"/>
    <w:rsid w:val="009B1690"/>
    <w:rsid w:val="009B16AE"/>
    <w:rsid w:val="009B17CA"/>
    <w:rsid w:val="009B19CE"/>
    <w:rsid w:val="009B1A8D"/>
    <w:rsid w:val="009B1B4B"/>
    <w:rsid w:val="009B1B5A"/>
    <w:rsid w:val="009B1B8D"/>
    <w:rsid w:val="009B1C49"/>
    <w:rsid w:val="009B1F44"/>
    <w:rsid w:val="009B1F95"/>
    <w:rsid w:val="009B2272"/>
    <w:rsid w:val="009B2DD8"/>
    <w:rsid w:val="009B3202"/>
    <w:rsid w:val="009B3444"/>
    <w:rsid w:val="009B3717"/>
    <w:rsid w:val="009B3DDF"/>
    <w:rsid w:val="009B3F41"/>
    <w:rsid w:val="009B45A9"/>
    <w:rsid w:val="009B4882"/>
    <w:rsid w:val="009B4BE9"/>
    <w:rsid w:val="009B4C27"/>
    <w:rsid w:val="009B4FB4"/>
    <w:rsid w:val="009B5068"/>
    <w:rsid w:val="009B51D4"/>
    <w:rsid w:val="009B5694"/>
    <w:rsid w:val="009B5BDB"/>
    <w:rsid w:val="009B5DAA"/>
    <w:rsid w:val="009B5EC7"/>
    <w:rsid w:val="009B5FAD"/>
    <w:rsid w:val="009B630A"/>
    <w:rsid w:val="009B63DC"/>
    <w:rsid w:val="009B646C"/>
    <w:rsid w:val="009B64FD"/>
    <w:rsid w:val="009B6611"/>
    <w:rsid w:val="009B6708"/>
    <w:rsid w:val="009B6794"/>
    <w:rsid w:val="009B6B03"/>
    <w:rsid w:val="009B7546"/>
    <w:rsid w:val="009B75B6"/>
    <w:rsid w:val="009B75D3"/>
    <w:rsid w:val="009B7E17"/>
    <w:rsid w:val="009C032A"/>
    <w:rsid w:val="009C0521"/>
    <w:rsid w:val="009C0527"/>
    <w:rsid w:val="009C05CD"/>
    <w:rsid w:val="009C09A0"/>
    <w:rsid w:val="009C1056"/>
    <w:rsid w:val="009C1292"/>
    <w:rsid w:val="009C15A2"/>
    <w:rsid w:val="009C1658"/>
    <w:rsid w:val="009C1916"/>
    <w:rsid w:val="009C1AEB"/>
    <w:rsid w:val="009C22BF"/>
    <w:rsid w:val="009C230F"/>
    <w:rsid w:val="009C24DF"/>
    <w:rsid w:val="009C2858"/>
    <w:rsid w:val="009C29E2"/>
    <w:rsid w:val="009C2BB0"/>
    <w:rsid w:val="009C2BF6"/>
    <w:rsid w:val="009C39BA"/>
    <w:rsid w:val="009C3CBB"/>
    <w:rsid w:val="009C3F2D"/>
    <w:rsid w:val="009C40E4"/>
    <w:rsid w:val="009C472D"/>
    <w:rsid w:val="009C48E1"/>
    <w:rsid w:val="009C4A21"/>
    <w:rsid w:val="009C4C96"/>
    <w:rsid w:val="009C4D70"/>
    <w:rsid w:val="009C4DEF"/>
    <w:rsid w:val="009C5332"/>
    <w:rsid w:val="009C5599"/>
    <w:rsid w:val="009C5B26"/>
    <w:rsid w:val="009C60C3"/>
    <w:rsid w:val="009C623C"/>
    <w:rsid w:val="009C63C7"/>
    <w:rsid w:val="009C67F0"/>
    <w:rsid w:val="009C6A24"/>
    <w:rsid w:val="009C6F17"/>
    <w:rsid w:val="009C6F55"/>
    <w:rsid w:val="009D00FD"/>
    <w:rsid w:val="009D0221"/>
    <w:rsid w:val="009D0409"/>
    <w:rsid w:val="009D06F0"/>
    <w:rsid w:val="009D118F"/>
    <w:rsid w:val="009D1856"/>
    <w:rsid w:val="009D185E"/>
    <w:rsid w:val="009D1C06"/>
    <w:rsid w:val="009D1D66"/>
    <w:rsid w:val="009D215F"/>
    <w:rsid w:val="009D2C11"/>
    <w:rsid w:val="009D2D69"/>
    <w:rsid w:val="009D3212"/>
    <w:rsid w:val="009D32EA"/>
    <w:rsid w:val="009D34C6"/>
    <w:rsid w:val="009D37B6"/>
    <w:rsid w:val="009D38A9"/>
    <w:rsid w:val="009D3D9A"/>
    <w:rsid w:val="009D43A2"/>
    <w:rsid w:val="009D48F9"/>
    <w:rsid w:val="009D4AE6"/>
    <w:rsid w:val="009D4ECA"/>
    <w:rsid w:val="009D580E"/>
    <w:rsid w:val="009D5B7F"/>
    <w:rsid w:val="009D5BAA"/>
    <w:rsid w:val="009D5FD3"/>
    <w:rsid w:val="009D6859"/>
    <w:rsid w:val="009D69E3"/>
    <w:rsid w:val="009D6D8E"/>
    <w:rsid w:val="009D6F93"/>
    <w:rsid w:val="009D7132"/>
    <w:rsid w:val="009D73F0"/>
    <w:rsid w:val="009D785A"/>
    <w:rsid w:val="009D787C"/>
    <w:rsid w:val="009D7982"/>
    <w:rsid w:val="009D7BCB"/>
    <w:rsid w:val="009D7CB5"/>
    <w:rsid w:val="009E0031"/>
    <w:rsid w:val="009E02F2"/>
    <w:rsid w:val="009E093E"/>
    <w:rsid w:val="009E0DA3"/>
    <w:rsid w:val="009E0EAD"/>
    <w:rsid w:val="009E112B"/>
    <w:rsid w:val="009E1175"/>
    <w:rsid w:val="009E1768"/>
    <w:rsid w:val="009E1884"/>
    <w:rsid w:val="009E1936"/>
    <w:rsid w:val="009E1A0B"/>
    <w:rsid w:val="009E1A55"/>
    <w:rsid w:val="009E1E47"/>
    <w:rsid w:val="009E1EAD"/>
    <w:rsid w:val="009E20A9"/>
    <w:rsid w:val="009E2155"/>
    <w:rsid w:val="009E217E"/>
    <w:rsid w:val="009E21C7"/>
    <w:rsid w:val="009E2383"/>
    <w:rsid w:val="009E2397"/>
    <w:rsid w:val="009E24E2"/>
    <w:rsid w:val="009E2B80"/>
    <w:rsid w:val="009E3037"/>
    <w:rsid w:val="009E36D3"/>
    <w:rsid w:val="009E3712"/>
    <w:rsid w:val="009E3AC7"/>
    <w:rsid w:val="009E3EE8"/>
    <w:rsid w:val="009E4236"/>
    <w:rsid w:val="009E4EA3"/>
    <w:rsid w:val="009E56DF"/>
    <w:rsid w:val="009E58C3"/>
    <w:rsid w:val="009E58CD"/>
    <w:rsid w:val="009E5AD9"/>
    <w:rsid w:val="009E6441"/>
    <w:rsid w:val="009E664B"/>
    <w:rsid w:val="009E6E64"/>
    <w:rsid w:val="009E715C"/>
    <w:rsid w:val="009E78F1"/>
    <w:rsid w:val="009E7E82"/>
    <w:rsid w:val="009F0223"/>
    <w:rsid w:val="009F027A"/>
    <w:rsid w:val="009F0923"/>
    <w:rsid w:val="009F0D5E"/>
    <w:rsid w:val="009F0ECA"/>
    <w:rsid w:val="009F0F5E"/>
    <w:rsid w:val="009F11E5"/>
    <w:rsid w:val="009F1429"/>
    <w:rsid w:val="009F1461"/>
    <w:rsid w:val="009F1735"/>
    <w:rsid w:val="009F2148"/>
    <w:rsid w:val="009F224F"/>
    <w:rsid w:val="009F2278"/>
    <w:rsid w:val="009F227B"/>
    <w:rsid w:val="009F244D"/>
    <w:rsid w:val="009F2670"/>
    <w:rsid w:val="009F2957"/>
    <w:rsid w:val="009F2B7B"/>
    <w:rsid w:val="009F2CAB"/>
    <w:rsid w:val="009F2E61"/>
    <w:rsid w:val="009F2EC2"/>
    <w:rsid w:val="009F3653"/>
    <w:rsid w:val="009F38B4"/>
    <w:rsid w:val="009F3968"/>
    <w:rsid w:val="009F437C"/>
    <w:rsid w:val="009F48DE"/>
    <w:rsid w:val="009F4963"/>
    <w:rsid w:val="009F49E9"/>
    <w:rsid w:val="009F4AB9"/>
    <w:rsid w:val="009F4AFC"/>
    <w:rsid w:val="009F4F62"/>
    <w:rsid w:val="009F5082"/>
    <w:rsid w:val="009F540B"/>
    <w:rsid w:val="009F54FD"/>
    <w:rsid w:val="009F5C5B"/>
    <w:rsid w:val="009F5C69"/>
    <w:rsid w:val="009F5D8F"/>
    <w:rsid w:val="009F5ED5"/>
    <w:rsid w:val="009F6175"/>
    <w:rsid w:val="009F6427"/>
    <w:rsid w:val="009F6BCE"/>
    <w:rsid w:val="009F6EE9"/>
    <w:rsid w:val="009F702E"/>
    <w:rsid w:val="009F71D1"/>
    <w:rsid w:val="009F72F9"/>
    <w:rsid w:val="009F735A"/>
    <w:rsid w:val="009F7568"/>
    <w:rsid w:val="009F7911"/>
    <w:rsid w:val="009F7AA7"/>
    <w:rsid w:val="009F7BD6"/>
    <w:rsid w:val="009F7DDA"/>
    <w:rsid w:val="009F7E24"/>
    <w:rsid w:val="00A0061D"/>
    <w:rsid w:val="00A00634"/>
    <w:rsid w:val="00A00962"/>
    <w:rsid w:val="00A00AE5"/>
    <w:rsid w:val="00A00D19"/>
    <w:rsid w:val="00A0122E"/>
    <w:rsid w:val="00A01319"/>
    <w:rsid w:val="00A01328"/>
    <w:rsid w:val="00A01394"/>
    <w:rsid w:val="00A0181C"/>
    <w:rsid w:val="00A0208E"/>
    <w:rsid w:val="00A0225F"/>
    <w:rsid w:val="00A022C7"/>
    <w:rsid w:val="00A023C6"/>
    <w:rsid w:val="00A0260A"/>
    <w:rsid w:val="00A0268D"/>
    <w:rsid w:val="00A029E7"/>
    <w:rsid w:val="00A02D37"/>
    <w:rsid w:val="00A02E2A"/>
    <w:rsid w:val="00A02F7A"/>
    <w:rsid w:val="00A031E3"/>
    <w:rsid w:val="00A0350B"/>
    <w:rsid w:val="00A03549"/>
    <w:rsid w:val="00A035DD"/>
    <w:rsid w:val="00A03920"/>
    <w:rsid w:val="00A040DD"/>
    <w:rsid w:val="00A0491C"/>
    <w:rsid w:val="00A0493D"/>
    <w:rsid w:val="00A05028"/>
    <w:rsid w:val="00A05162"/>
    <w:rsid w:val="00A058E8"/>
    <w:rsid w:val="00A059C7"/>
    <w:rsid w:val="00A05DC6"/>
    <w:rsid w:val="00A0603B"/>
    <w:rsid w:val="00A0639B"/>
    <w:rsid w:val="00A067F6"/>
    <w:rsid w:val="00A06A07"/>
    <w:rsid w:val="00A06B11"/>
    <w:rsid w:val="00A06E86"/>
    <w:rsid w:val="00A06FA2"/>
    <w:rsid w:val="00A07089"/>
    <w:rsid w:val="00A072F3"/>
    <w:rsid w:val="00A0733F"/>
    <w:rsid w:val="00A07366"/>
    <w:rsid w:val="00A077F8"/>
    <w:rsid w:val="00A07895"/>
    <w:rsid w:val="00A078E7"/>
    <w:rsid w:val="00A07FEF"/>
    <w:rsid w:val="00A101E9"/>
    <w:rsid w:val="00A10486"/>
    <w:rsid w:val="00A10734"/>
    <w:rsid w:val="00A1096D"/>
    <w:rsid w:val="00A10AC4"/>
    <w:rsid w:val="00A11030"/>
    <w:rsid w:val="00A115AD"/>
    <w:rsid w:val="00A11754"/>
    <w:rsid w:val="00A11D53"/>
    <w:rsid w:val="00A11E31"/>
    <w:rsid w:val="00A121D8"/>
    <w:rsid w:val="00A1264B"/>
    <w:rsid w:val="00A1283D"/>
    <w:rsid w:val="00A12935"/>
    <w:rsid w:val="00A12976"/>
    <w:rsid w:val="00A12AA6"/>
    <w:rsid w:val="00A12B5E"/>
    <w:rsid w:val="00A1340C"/>
    <w:rsid w:val="00A1378B"/>
    <w:rsid w:val="00A13840"/>
    <w:rsid w:val="00A13911"/>
    <w:rsid w:val="00A13B7D"/>
    <w:rsid w:val="00A14473"/>
    <w:rsid w:val="00A148FC"/>
    <w:rsid w:val="00A14914"/>
    <w:rsid w:val="00A14975"/>
    <w:rsid w:val="00A14F44"/>
    <w:rsid w:val="00A1504D"/>
    <w:rsid w:val="00A154EC"/>
    <w:rsid w:val="00A15689"/>
    <w:rsid w:val="00A163F3"/>
    <w:rsid w:val="00A164CA"/>
    <w:rsid w:val="00A17327"/>
    <w:rsid w:val="00A174C3"/>
    <w:rsid w:val="00A1760E"/>
    <w:rsid w:val="00A1773C"/>
    <w:rsid w:val="00A17D95"/>
    <w:rsid w:val="00A17E8F"/>
    <w:rsid w:val="00A2052F"/>
    <w:rsid w:val="00A2066C"/>
    <w:rsid w:val="00A20835"/>
    <w:rsid w:val="00A208E7"/>
    <w:rsid w:val="00A20C90"/>
    <w:rsid w:val="00A20DE7"/>
    <w:rsid w:val="00A20E95"/>
    <w:rsid w:val="00A20E9E"/>
    <w:rsid w:val="00A21142"/>
    <w:rsid w:val="00A211B4"/>
    <w:rsid w:val="00A213EF"/>
    <w:rsid w:val="00A214A8"/>
    <w:rsid w:val="00A21795"/>
    <w:rsid w:val="00A21C05"/>
    <w:rsid w:val="00A21CC5"/>
    <w:rsid w:val="00A21FA2"/>
    <w:rsid w:val="00A2213E"/>
    <w:rsid w:val="00A2251C"/>
    <w:rsid w:val="00A22CD5"/>
    <w:rsid w:val="00A23375"/>
    <w:rsid w:val="00A2387C"/>
    <w:rsid w:val="00A23899"/>
    <w:rsid w:val="00A23A92"/>
    <w:rsid w:val="00A2419D"/>
    <w:rsid w:val="00A241DB"/>
    <w:rsid w:val="00A242AC"/>
    <w:rsid w:val="00A24959"/>
    <w:rsid w:val="00A24AC5"/>
    <w:rsid w:val="00A24B69"/>
    <w:rsid w:val="00A24FA2"/>
    <w:rsid w:val="00A250A5"/>
    <w:rsid w:val="00A250A6"/>
    <w:rsid w:val="00A25271"/>
    <w:rsid w:val="00A25694"/>
    <w:rsid w:val="00A25AAE"/>
    <w:rsid w:val="00A25FD6"/>
    <w:rsid w:val="00A260D2"/>
    <w:rsid w:val="00A2621C"/>
    <w:rsid w:val="00A26550"/>
    <w:rsid w:val="00A265DD"/>
    <w:rsid w:val="00A267B3"/>
    <w:rsid w:val="00A267D9"/>
    <w:rsid w:val="00A26A00"/>
    <w:rsid w:val="00A26DD7"/>
    <w:rsid w:val="00A26EC0"/>
    <w:rsid w:val="00A27380"/>
    <w:rsid w:val="00A27435"/>
    <w:rsid w:val="00A276AA"/>
    <w:rsid w:val="00A27708"/>
    <w:rsid w:val="00A27A03"/>
    <w:rsid w:val="00A30709"/>
    <w:rsid w:val="00A30899"/>
    <w:rsid w:val="00A3115C"/>
    <w:rsid w:val="00A31614"/>
    <w:rsid w:val="00A31725"/>
    <w:rsid w:val="00A31BBB"/>
    <w:rsid w:val="00A31DE1"/>
    <w:rsid w:val="00A321FA"/>
    <w:rsid w:val="00A325A9"/>
    <w:rsid w:val="00A3290A"/>
    <w:rsid w:val="00A32AB8"/>
    <w:rsid w:val="00A32BF3"/>
    <w:rsid w:val="00A32E4C"/>
    <w:rsid w:val="00A32F17"/>
    <w:rsid w:val="00A33C2F"/>
    <w:rsid w:val="00A33D50"/>
    <w:rsid w:val="00A343A3"/>
    <w:rsid w:val="00A344B9"/>
    <w:rsid w:val="00A34A9D"/>
    <w:rsid w:val="00A34ADD"/>
    <w:rsid w:val="00A34BCA"/>
    <w:rsid w:val="00A34C65"/>
    <w:rsid w:val="00A34CB3"/>
    <w:rsid w:val="00A34D86"/>
    <w:rsid w:val="00A34F83"/>
    <w:rsid w:val="00A350E9"/>
    <w:rsid w:val="00A351F7"/>
    <w:rsid w:val="00A35609"/>
    <w:rsid w:val="00A3609A"/>
    <w:rsid w:val="00A364D9"/>
    <w:rsid w:val="00A36C80"/>
    <w:rsid w:val="00A37121"/>
    <w:rsid w:val="00A37154"/>
    <w:rsid w:val="00A371E3"/>
    <w:rsid w:val="00A3726F"/>
    <w:rsid w:val="00A373F0"/>
    <w:rsid w:val="00A376EC"/>
    <w:rsid w:val="00A37AAF"/>
    <w:rsid w:val="00A37AB6"/>
    <w:rsid w:val="00A37C1B"/>
    <w:rsid w:val="00A37C7E"/>
    <w:rsid w:val="00A407E8"/>
    <w:rsid w:val="00A40899"/>
    <w:rsid w:val="00A409AC"/>
    <w:rsid w:val="00A40A0D"/>
    <w:rsid w:val="00A40AD4"/>
    <w:rsid w:val="00A40B4B"/>
    <w:rsid w:val="00A40B64"/>
    <w:rsid w:val="00A40D90"/>
    <w:rsid w:val="00A40DC8"/>
    <w:rsid w:val="00A410FB"/>
    <w:rsid w:val="00A41A09"/>
    <w:rsid w:val="00A41B78"/>
    <w:rsid w:val="00A41DE1"/>
    <w:rsid w:val="00A42102"/>
    <w:rsid w:val="00A421F4"/>
    <w:rsid w:val="00A424E9"/>
    <w:rsid w:val="00A425B9"/>
    <w:rsid w:val="00A42B1A"/>
    <w:rsid w:val="00A42E26"/>
    <w:rsid w:val="00A42EE3"/>
    <w:rsid w:val="00A43492"/>
    <w:rsid w:val="00A4378B"/>
    <w:rsid w:val="00A43FD6"/>
    <w:rsid w:val="00A43FE6"/>
    <w:rsid w:val="00A443B8"/>
    <w:rsid w:val="00A4463F"/>
    <w:rsid w:val="00A447E4"/>
    <w:rsid w:val="00A44C95"/>
    <w:rsid w:val="00A45074"/>
    <w:rsid w:val="00A4566E"/>
    <w:rsid w:val="00A46355"/>
    <w:rsid w:val="00A469C2"/>
    <w:rsid w:val="00A4709C"/>
    <w:rsid w:val="00A471C9"/>
    <w:rsid w:val="00A473AC"/>
    <w:rsid w:val="00A4764D"/>
    <w:rsid w:val="00A47BE4"/>
    <w:rsid w:val="00A47E4E"/>
    <w:rsid w:val="00A47E65"/>
    <w:rsid w:val="00A5026C"/>
    <w:rsid w:val="00A50307"/>
    <w:rsid w:val="00A50B84"/>
    <w:rsid w:val="00A50D72"/>
    <w:rsid w:val="00A50DE6"/>
    <w:rsid w:val="00A50FA1"/>
    <w:rsid w:val="00A510E8"/>
    <w:rsid w:val="00A5187A"/>
    <w:rsid w:val="00A51A1A"/>
    <w:rsid w:val="00A51D39"/>
    <w:rsid w:val="00A51DF1"/>
    <w:rsid w:val="00A5286F"/>
    <w:rsid w:val="00A52A31"/>
    <w:rsid w:val="00A52E88"/>
    <w:rsid w:val="00A52F8D"/>
    <w:rsid w:val="00A53149"/>
    <w:rsid w:val="00A535AF"/>
    <w:rsid w:val="00A53636"/>
    <w:rsid w:val="00A537B6"/>
    <w:rsid w:val="00A53C3D"/>
    <w:rsid w:val="00A53D69"/>
    <w:rsid w:val="00A5402F"/>
    <w:rsid w:val="00A54109"/>
    <w:rsid w:val="00A54774"/>
    <w:rsid w:val="00A54A70"/>
    <w:rsid w:val="00A554FD"/>
    <w:rsid w:val="00A5564F"/>
    <w:rsid w:val="00A55B13"/>
    <w:rsid w:val="00A55C2D"/>
    <w:rsid w:val="00A5688E"/>
    <w:rsid w:val="00A56CD8"/>
    <w:rsid w:val="00A56E0A"/>
    <w:rsid w:val="00A56F01"/>
    <w:rsid w:val="00A56F39"/>
    <w:rsid w:val="00A56FA9"/>
    <w:rsid w:val="00A57130"/>
    <w:rsid w:val="00A573A7"/>
    <w:rsid w:val="00A57404"/>
    <w:rsid w:val="00A57652"/>
    <w:rsid w:val="00A578CA"/>
    <w:rsid w:val="00A5794C"/>
    <w:rsid w:val="00A57E29"/>
    <w:rsid w:val="00A57F65"/>
    <w:rsid w:val="00A57FC5"/>
    <w:rsid w:val="00A57FEC"/>
    <w:rsid w:val="00A60365"/>
    <w:rsid w:val="00A60B69"/>
    <w:rsid w:val="00A60DC8"/>
    <w:rsid w:val="00A60DDE"/>
    <w:rsid w:val="00A60F96"/>
    <w:rsid w:val="00A61851"/>
    <w:rsid w:val="00A61870"/>
    <w:rsid w:val="00A61C68"/>
    <w:rsid w:val="00A61FD8"/>
    <w:rsid w:val="00A623FD"/>
    <w:rsid w:val="00A625AA"/>
    <w:rsid w:val="00A62D6C"/>
    <w:rsid w:val="00A63008"/>
    <w:rsid w:val="00A630CC"/>
    <w:rsid w:val="00A6355E"/>
    <w:rsid w:val="00A636A7"/>
    <w:rsid w:val="00A636B6"/>
    <w:rsid w:val="00A636F4"/>
    <w:rsid w:val="00A63D3C"/>
    <w:rsid w:val="00A64680"/>
    <w:rsid w:val="00A64693"/>
    <w:rsid w:val="00A64D90"/>
    <w:rsid w:val="00A6512F"/>
    <w:rsid w:val="00A65171"/>
    <w:rsid w:val="00A6517A"/>
    <w:rsid w:val="00A65996"/>
    <w:rsid w:val="00A65A39"/>
    <w:rsid w:val="00A65B5B"/>
    <w:rsid w:val="00A65F45"/>
    <w:rsid w:val="00A66742"/>
    <w:rsid w:val="00A669FE"/>
    <w:rsid w:val="00A66A46"/>
    <w:rsid w:val="00A66AB2"/>
    <w:rsid w:val="00A66D25"/>
    <w:rsid w:val="00A67026"/>
    <w:rsid w:val="00A67051"/>
    <w:rsid w:val="00A672DA"/>
    <w:rsid w:val="00A67C9F"/>
    <w:rsid w:val="00A67D07"/>
    <w:rsid w:val="00A67F1D"/>
    <w:rsid w:val="00A7007F"/>
    <w:rsid w:val="00A7008E"/>
    <w:rsid w:val="00A700D4"/>
    <w:rsid w:val="00A706DF"/>
    <w:rsid w:val="00A70996"/>
    <w:rsid w:val="00A709EB"/>
    <w:rsid w:val="00A70BFF"/>
    <w:rsid w:val="00A70E64"/>
    <w:rsid w:val="00A71176"/>
    <w:rsid w:val="00A71270"/>
    <w:rsid w:val="00A71468"/>
    <w:rsid w:val="00A7166D"/>
    <w:rsid w:val="00A717A7"/>
    <w:rsid w:val="00A71953"/>
    <w:rsid w:val="00A7196B"/>
    <w:rsid w:val="00A71B0B"/>
    <w:rsid w:val="00A71F3F"/>
    <w:rsid w:val="00A71F51"/>
    <w:rsid w:val="00A72012"/>
    <w:rsid w:val="00A721B2"/>
    <w:rsid w:val="00A723E1"/>
    <w:rsid w:val="00A7267A"/>
    <w:rsid w:val="00A72692"/>
    <w:rsid w:val="00A73015"/>
    <w:rsid w:val="00A73055"/>
    <w:rsid w:val="00A73118"/>
    <w:rsid w:val="00A731E9"/>
    <w:rsid w:val="00A7331B"/>
    <w:rsid w:val="00A7332B"/>
    <w:rsid w:val="00A7373D"/>
    <w:rsid w:val="00A73C24"/>
    <w:rsid w:val="00A73E1F"/>
    <w:rsid w:val="00A74450"/>
    <w:rsid w:val="00A745DD"/>
    <w:rsid w:val="00A74726"/>
    <w:rsid w:val="00A7475C"/>
    <w:rsid w:val="00A749A1"/>
    <w:rsid w:val="00A74C40"/>
    <w:rsid w:val="00A7512F"/>
    <w:rsid w:val="00A75642"/>
    <w:rsid w:val="00A759C7"/>
    <w:rsid w:val="00A75CAC"/>
    <w:rsid w:val="00A75E8A"/>
    <w:rsid w:val="00A75EAF"/>
    <w:rsid w:val="00A7628A"/>
    <w:rsid w:val="00A764CF"/>
    <w:rsid w:val="00A7686F"/>
    <w:rsid w:val="00A76A7A"/>
    <w:rsid w:val="00A77334"/>
    <w:rsid w:val="00A773CC"/>
    <w:rsid w:val="00A7766C"/>
    <w:rsid w:val="00A77902"/>
    <w:rsid w:val="00A77CD6"/>
    <w:rsid w:val="00A77E27"/>
    <w:rsid w:val="00A80384"/>
    <w:rsid w:val="00A80B87"/>
    <w:rsid w:val="00A80CB8"/>
    <w:rsid w:val="00A80D82"/>
    <w:rsid w:val="00A8152A"/>
    <w:rsid w:val="00A81561"/>
    <w:rsid w:val="00A816F2"/>
    <w:rsid w:val="00A81DC3"/>
    <w:rsid w:val="00A81DDB"/>
    <w:rsid w:val="00A823F9"/>
    <w:rsid w:val="00A82614"/>
    <w:rsid w:val="00A826F3"/>
    <w:rsid w:val="00A82871"/>
    <w:rsid w:val="00A82DA3"/>
    <w:rsid w:val="00A8347A"/>
    <w:rsid w:val="00A838D6"/>
    <w:rsid w:val="00A83B7F"/>
    <w:rsid w:val="00A83EEA"/>
    <w:rsid w:val="00A83FB2"/>
    <w:rsid w:val="00A84390"/>
    <w:rsid w:val="00A845DC"/>
    <w:rsid w:val="00A84714"/>
    <w:rsid w:val="00A84AF0"/>
    <w:rsid w:val="00A850EA"/>
    <w:rsid w:val="00A851B3"/>
    <w:rsid w:val="00A85295"/>
    <w:rsid w:val="00A85477"/>
    <w:rsid w:val="00A856E8"/>
    <w:rsid w:val="00A857C8"/>
    <w:rsid w:val="00A85C39"/>
    <w:rsid w:val="00A86A37"/>
    <w:rsid w:val="00A86BD8"/>
    <w:rsid w:val="00A86BF6"/>
    <w:rsid w:val="00A86E4D"/>
    <w:rsid w:val="00A86F34"/>
    <w:rsid w:val="00A87207"/>
    <w:rsid w:val="00A874F6"/>
    <w:rsid w:val="00A87875"/>
    <w:rsid w:val="00A87AD2"/>
    <w:rsid w:val="00A87E12"/>
    <w:rsid w:val="00A87FBD"/>
    <w:rsid w:val="00A905A7"/>
    <w:rsid w:val="00A9072A"/>
    <w:rsid w:val="00A9083B"/>
    <w:rsid w:val="00A90966"/>
    <w:rsid w:val="00A90B05"/>
    <w:rsid w:val="00A90D22"/>
    <w:rsid w:val="00A90D83"/>
    <w:rsid w:val="00A90D94"/>
    <w:rsid w:val="00A91EA6"/>
    <w:rsid w:val="00A91EEA"/>
    <w:rsid w:val="00A91FD3"/>
    <w:rsid w:val="00A9206F"/>
    <w:rsid w:val="00A920CD"/>
    <w:rsid w:val="00A920FA"/>
    <w:rsid w:val="00A921E0"/>
    <w:rsid w:val="00A9221C"/>
    <w:rsid w:val="00A92AF3"/>
    <w:rsid w:val="00A93753"/>
    <w:rsid w:val="00A937FB"/>
    <w:rsid w:val="00A938C0"/>
    <w:rsid w:val="00A938F9"/>
    <w:rsid w:val="00A939BE"/>
    <w:rsid w:val="00A939CB"/>
    <w:rsid w:val="00A93D1A"/>
    <w:rsid w:val="00A94665"/>
    <w:rsid w:val="00A948B1"/>
    <w:rsid w:val="00A949C5"/>
    <w:rsid w:val="00A94A3C"/>
    <w:rsid w:val="00A94B9F"/>
    <w:rsid w:val="00A95600"/>
    <w:rsid w:val="00A9585C"/>
    <w:rsid w:val="00A95C1C"/>
    <w:rsid w:val="00A95C6B"/>
    <w:rsid w:val="00A95EB6"/>
    <w:rsid w:val="00A95FC8"/>
    <w:rsid w:val="00A96AFC"/>
    <w:rsid w:val="00A96C4A"/>
    <w:rsid w:val="00A96D19"/>
    <w:rsid w:val="00A97087"/>
    <w:rsid w:val="00A97268"/>
    <w:rsid w:val="00A978C6"/>
    <w:rsid w:val="00A97BD5"/>
    <w:rsid w:val="00A97D5F"/>
    <w:rsid w:val="00A97E15"/>
    <w:rsid w:val="00A97EA7"/>
    <w:rsid w:val="00AA00EC"/>
    <w:rsid w:val="00AA02EC"/>
    <w:rsid w:val="00AA06D9"/>
    <w:rsid w:val="00AA09BA"/>
    <w:rsid w:val="00AA0AC9"/>
    <w:rsid w:val="00AA0D4E"/>
    <w:rsid w:val="00AA0E89"/>
    <w:rsid w:val="00AA113F"/>
    <w:rsid w:val="00AA1210"/>
    <w:rsid w:val="00AA1602"/>
    <w:rsid w:val="00AA1A99"/>
    <w:rsid w:val="00AA1C7D"/>
    <w:rsid w:val="00AA21B5"/>
    <w:rsid w:val="00AA2613"/>
    <w:rsid w:val="00AA27FD"/>
    <w:rsid w:val="00AA2CDD"/>
    <w:rsid w:val="00AA2D28"/>
    <w:rsid w:val="00AA2E46"/>
    <w:rsid w:val="00AA2F45"/>
    <w:rsid w:val="00AA32EA"/>
    <w:rsid w:val="00AA32EB"/>
    <w:rsid w:val="00AA3347"/>
    <w:rsid w:val="00AA337C"/>
    <w:rsid w:val="00AA3499"/>
    <w:rsid w:val="00AA3A03"/>
    <w:rsid w:val="00AA3DD9"/>
    <w:rsid w:val="00AA3FE6"/>
    <w:rsid w:val="00AA4095"/>
    <w:rsid w:val="00AA4A2A"/>
    <w:rsid w:val="00AA5182"/>
    <w:rsid w:val="00AA52B5"/>
    <w:rsid w:val="00AA53C6"/>
    <w:rsid w:val="00AA5762"/>
    <w:rsid w:val="00AA5B40"/>
    <w:rsid w:val="00AA5D8A"/>
    <w:rsid w:val="00AA6162"/>
    <w:rsid w:val="00AA61F3"/>
    <w:rsid w:val="00AA6240"/>
    <w:rsid w:val="00AA6473"/>
    <w:rsid w:val="00AA65D1"/>
    <w:rsid w:val="00AA66B5"/>
    <w:rsid w:val="00AA67C7"/>
    <w:rsid w:val="00AA68B8"/>
    <w:rsid w:val="00AA69AE"/>
    <w:rsid w:val="00AA6DDE"/>
    <w:rsid w:val="00AA7071"/>
    <w:rsid w:val="00AA7436"/>
    <w:rsid w:val="00AA7487"/>
    <w:rsid w:val="00AA74EC"/>
    <w:rsid w:val="00AA7566"/>
    <w:rsid w:val="00AA792E"/>
    <w:rsid w:val="00AA7A4B"/>
    <w:rsid w:val="00AA7B21"/>
    <w:rsid w:val="00AA7C79"/>
    <w:rsid w:val="00AA7E9E"/>
    <w:rsid w:val="00AB0495"/>
    <w:rsid w:val="00AB0BA2"/>
    <w:rsid w:val="00AB0CCD"/>
    <w:rsid w:val="00AB0E83"/>
    <w:rsid w:val="00AB1463"/>
    <w:rsid w:val="00AB14E7"/>
    <w:rsid w:val="00AB151B"/>
    <w:rsid w:val="00AB1851"/>
    <w:rsid w:val="00AB1A33"/>
    <w:rsid w:val="00AB1DF8"/>
    <w:rsid w:val="00AB1E6F"/>
    <w:rsid w:val="00AB2030"/>
    <w:rsid w:val="00AB229A"/>
    <w:rsid w:val="00AB243A"/>
    <w:rsid w:val="00AB24CE"/>
    <w:rsid w:val="00AB2871"/>
    <w:rsid w:val="00AB295B"/>
    <w:rsid w:val="00AB2ABB"/>
    <w:rsid w:val="00AB2EB9"/>
    <w:rsid w:val="00AB31EA"/>
    <w:rsid w:val="00AB3753"/>
    <w:rsid w:val="00AB38CE"/>
    <w:rsid w:val="00AB3D18"/>
    <w:rsid w:val="00AB3F0A"/>
    <w:rsid w:val="00AB3F54"/>
    <w:rsid w:val="00AB444A"/>
    <w:rsid w:val="00AB4505"/>
    <w:rsid w:val="00AB4561"/>
    <w:rsid w:val="00AB4951"/>
    <w:rsid w:val="00AB4B87"/>
    <w:rsid w:val="00AB4CA6"/>
    <w:rsid w:val="00AB4DD6"/>
    <w:rsid w:val="00AB4F4D"/>
    <w:rsid w:val="00AB502C"/>
    <w:rsid w:val="00AB512D"/>
    <w:rsid w:val="00AB5362"/>
    <w:rsid w:val="00AB5AF1"/>
    <w:rsid w:val="00AB5C11"/>
    <w:rsid w:val="00AB65DB"/>
    <w:rsid w:val="00AB65EE"/>
    <w:rsid w:val="00AB65F7"/>
    <w:rsid w:val="00AB6918"/>
    <w:rsid w:val="00AB6B11"/>
    <w:rsid w:val="00AB6E5F"/>
    <w:rsid w:val="00AB7300"/>
    <w:rsid w:val="00AB745D"/>
    <w:rsid w:val="00AB7594"/>
    <w:rsid w:val="00AB79CB"/>
    <w:rsid w:val="00AB7C2A"/>
    <w:rsid w:val="00AB7F2A"/>
    <w:rsid w:val="00AC0046"/>
    <w:rsid w:val="00AC00A5"/>
    <w:rsid w:val="00AC00CD"/>
    <w:rsid w:val="00AC0749"/>
    <w:rsid w:val="00AC078A"/>
    <w:rsid w:val="00AC09D3"/>
    <w:rsid w:val="00AC0BAB"/>
    <w:rsid w:val="00AC0E7A"/>
    <w:rsid w:val="00AC112B"/>
    <w:rsid w:val="00AC1143"/>
    <w:rsid w:val="00AC14C3"/>
    <w:rsid w:val="00AC167F"/>
    <w:rsid w:val="00AC16C4"/>
    <w:rsid w:val="00AC16F4"/>
    <w:rsid w:val="00AC184B"/>
    <w:rsid w:val="00AC1A21"/>
    <w:rsid w:val="00AC1D29"/>
    <w:rsid w:val="00AC1FB5"/>
    <w:rsid w:val="00AC2165"/>
    <w:rsid w:val="00AC23BB"/>
    <w:rsid w:val="00AC24CF"/>
    <w:rsid w:val="00AC24FE"/>
    <w:rsid w:val="00AC263B"/>
    <w:rsid w:val="00AC2901"/>
    <w:rsid w:val="00AC2A8E"/>
    <w:rsid w:val="00AC2B70"/>
    <w:rsid w:val="00AC2FB9"/>
    <w:rsid w:val="00AC30BD"/>
    <w:rsid w:val="00AC33EA"/>
    <w:rsid w:val="00AC34FA"/>
    <w:rsid w:val="00AC3665"/>
    <w:rsid w:val="00AC37E7"/>
    <w:rsid w:val="00AC394A"/>
    <w:rsid w:val="00AC3BCD"/>
    <w:rsid w:val="00AC3C83"/>
    <w:rsid w:val="00AC3C9E"/>
    <w:rsid w:val="00AC3F69"/>
    <w:rsid w:val="00AC4093"/>
    <w:rsid w:val="00AC41E0"/>
    <w:rsid w:val="00AC4552"/>
    <w:rsid w:val="00AC4606"/>
    <w:rsid w:val="00AC4845"/>
    <w:rsid w:val="00AC4885"/>
    <w:rsid w:val="00AC5355"/>
    <w:rsid w:val="00AC535C"/>
    <w:rsid w:val="00AC5B54"/>
    <w:rsid w:val="00AC5BAA"/>
    <w:rsid w:val="00AC5C1E"/>
    <w:rsid w:val="00AC5DB8"/>
    <w:rsid w:val="00AC5E04"/>
    <w:rsid w:val="00AC6151"/>
    <w:rsid w:val="00AC63FD"/>
    <w:rsid w:val="00AC6404"/>
    <w:rsid w:val="00AC64F2"/>
    <w:rsid w:val="00AC6B1A"/>
    <w:rsid w:val="00AC6BD8"/>
    <w:rsid w:val="00AC6C29"/>
    <w:rsid w:val="00AC711D"/>
    <w:rsid w:val="00AC7634"/>
    <w:rsid w:val="00AC7733"/>
    <w:rsid w:val="00AC7883"/>
    <w:rsid w:val="00AC78AE"/>
    <w:rsid w:val="00AC7EE7"/>
    <w:rsid w:val="00AD04DA"/>
    <w:rsid w:val="00AD0963"/>
    <w:rsid w:val="00AD0A3D"/>
    <w:rsid w:val="00AD0B1F"/>
    <w:rsid w:val="00AD0C14"/>
    <w:rsid w:val="00AD0D2E"/>
    <w:rsid w:val="00AD17B1"/>
    <w:rsid w:val="00AD19D3"/>
    <w:rsid w:val="00AD28C1"/>
    <w:rsid w:val="00AD293F"/>
    <w:rsid w:val="00AD295C"/>
    <w:rsid w:val="00AD3454"/>
    <w:rsid w:val="00AD39C0"/>
    <w:rsid w:val="00AD3C1B"/>
    <w:rsid w:val="00AD3C24"/>
    <w:rsid w:val="00AD3C5C"/>
    <w:rsid w:val="00AD4372"/>
    <w:rsid w:val="00AD43CE"/>
    <w:rsid w:val="00AD471A"/>
    <w:rsid w:val="00AD4FF9"/>
    <w:rsid w:val="00AD503D"/>
    <w:rsid w:val="00AD52BA"/>
    <w:rsid w:val="00AD5333"/>
    <w:rsid w:val="00AD53A7"/>
    <w:rsid w:val="00AD5447"/>
    <w:rsid w:val="00AD55E5"/>
    <w:rsid w:val="00AD5957"/>
    <w:rsid w:val="00AD5DA9"/>
    <w:rsid w:val="00AD6553"/>
    <w:rsid w:val="00AD659A"/>
    <w:rsid w:val="00AD65CD"/>
    <w:rsid w:val="00AD65FA"/>
    <w:rsid w:val="00AD67F3"/>
    <w:rsid w:val="00AD6879"/>
    <w:rsid w:val="00AD692E"/>
    <w:rsid w:val="00AD6BF4"/>
    <w:rsid w:val="00AD7137"/>
    <w:rsid w:val="00AD7147"/>
    <w:rsid w:val="00AD717D"/>
    <w:rsid w:val="00AD72D5"/>
    <w:rsid w:val="00AD73F1"/>
    <w:rsid w:val="00AD75C0"/>
    <w:rsid w:val="00AD7F76"/>
    <w:rsid w:val="00AE0178"/>
    <w:rsid w:val="00AE04DC"/>
    <w:rsid w:val="00AE05C2"/>
    <w:rsid w:val="00AE09AB"/>
    <w:rsid w:val="00AE09BB"/>
    <w:rsid w:val="00AE0BFF"/>
    <w:rsid w:val="00AE1209"/>
    <w:rsid w:val="00AE1631"/>
    <w:rsid w:val="00AE178D"/>
    <w:rsid w:val="00AE1861"/>
    <w:rsid w:val="00AE1888"/>
    <w:rsid w:val="00AE19F9"/>
    <w:rsid w:val="00AE1B2B"/>
    <w:rsid w:val="00AE1BB4"/>
    <w:rsid w:val="00AE1D2E"/>
    <w:rsid w:val="00AE1F62"/>
    <w:rsid w:val="00AE1FEF"/>
    <w:rsid w:val="00AE20D6"/>
    <w:rsid w:val="00AE2153"/>
    <w:rsid w:val="00AE222C"/>
    <w:rsid w:val="00AE22D4"/>
    <w:rsid w:val="00AE23E2"/>
    <w:rsid w:val="00AE26EA"/>
    <w:rsid w:val="00AE2A45"/>
    <w:rsid w:val="00AE2B3F"/>
    <w:rsid w:val="00AE2D4A"/>
    <w:rsid w:val="00AE2E20"/>
    <w:rsid w:val="00AE31EA"/>
    <w:rsid w:val="00AE348B"/>
    <w:rsid w:val="00AE350E"/>
    <w:rsid w:val="00AE3F10"/>
    <w:rsid w:val="00AE3FB5"/>
    <w:rsid w:val="00AE44B7"/>
    <w:rsid w:val="00AE44DC"/>
    <w:rsid w:val="00AE45A3"/>
    <w:rsid w:val="00AE4629"/>
    <w:rsid w:val="00AE4703"/>
    <w:rsid w:val="00AE48EF"/>
    <w:rsid w:val="00AE4D91"/>
    <w:rsid w:val="00AE4FC0"/>
    <w:rsid w:val="00AE52E9"/>
    <w:rsid w:val="00AE5659"/>
    <w:rsid w:val="00AE56FC"/>
    <w:rsid w:val="00AE579E"/>
    <w:rsid w:val="00AE57F2"/>
    <w:rsid w:val="00AE5862"/>
    <w:rsid w:val="00AE5A3E"/>
    <w:rsid w:val="00AE5BDB"/>
    <w:rsid w:val="00AE5DE3"/>
    <w:rsid w:val="00AE6070"/>
    <w:rsid w:val="00AE609F"/>
    <w:rsid w:val="00AE630F"/>
    <w:rsid w:val="00AE6766"/>
    <w:rsid w:val="00AE698D"/>
    <w:rsid w:val="00AE708E"/>
    <w:rsid w:val="00AE74A2"/>
    <w:rsid w:val="00AE755A"/>
    <w:rsid w:val="00AE7575"/>
    <w:rsid w:val="00AE772B"/>
    <w:rsid w:val="00AE79C6"/>
    <w:rsid w:val="00AE7FA3"/>
    <w:rsid w:val="00AF01AD"/>
    <w:rsid w:val="00AF0300"/>
    <w:rsid w:val="00AF06DB"/>
    <w:rsid w:val="00AF0B83"/>
    <w:rsid w:val="00AF12AA"/>
    <w:rsid w:val="00AF1468"/>
    <w:rsid w:val="00AF1B40"/>
    <w:rsid w:val="00AF1F0B"/>
    <w:rsid w:val="00AF2151"/>
    <w:rsid w:val="00AF241B"/>
    <w:rsid w:val="00AF2D8F"/>
    <w:rsid w:val="00AF3205"/>
    <w:rsid w:val="00AF3227"/>
    <w:rsid w:val="00AF363C"/>
    <w:rsid w:val="00AF3E1A"/>
    <w:rsid w:val="00AF3E7F"/>
    <w:rsid w:val="00AF3F11"/>
    <w:rsid w:val="00AF4059"/>
    <w:rsid w:val="00AF426A"/>
    <w:rsid w:val="00AF444E"/>
    <w:rsid w:val="00AF4523"/>
    <w:rsid w:val="00AF4812"/>
    <w:rsid w:val="00AF4DCC"/>
    <w:rsid w:val="00AF4E66"/>
    <w:rsid w:val="00AF4FA2"/>
    <w:rsid w:val="00AF5736"/>
    <w:rsid w:val="00AF583F"/>
    <w:rsid w:val="00AF58D0"/>
    <w:rsid w:val="00AF5A7A"/>
    <w:rsid w:val="00AF5B37"/>
    <w:rsid w:val="00AF669E"/>
    <w:rsid w:val="00AF6740"/>
    <w:rsid w:val="00AF68D4"/>
    <w:rsid w:val="00AF69D8"/>
    <w:rsid w:val="00AF72A8"/>
    <w:rsid w:val="00AF74A3"/>
    <w:rsid w:val="00AF796A"/>
    <w:rsid w:val="00AF7FF0"/>
    <w:rsid w:val="00B00216"/>
    <w:rsid w:val="00B0057F"/>
    <w:rsid w:val="00B008E3"/>
    <w:rsid w:val="00B009F5"/>
    <w:rsid w:val="00B0119C"/>
    <w:rsid w:val="00B01281"/>
    <w:rsid w:val="00B022A6"/>
    <w:rsid w:val="00B022C7"/>
    <w:rsid w:val="00B0298F"/>
    <w:rsid w:val="00B02AED"/>
    <w:rsid w:val="00B02ED6"/>
    <w:rsid w:val="00B032C2"/>
    <w:rsid w:val="00B03459"/>
    <w:rsid w:val="00B034F0"/>
    <w:rsid w:val="00B03956"/>
    <w:rsid w:val="00B03A3A"/>
    <w:rsid w:val="00B03F0F"/>
    <w:rsid w:val="00B042FE"/>
    <w:rsid w:val="00B04490"/>
    <w:rsid w:val="00B04731"/>
    <w:rsid w:val="00B0494C"/>
    <w:rsid w:val="00B04BFC"/>
    <w:rsid w:val="00B0500C"/>
    <w:rsid w:val="00B052D3"/>
    <w:rsid w:val="00B0580D"/>
    <w:rsid w:val="00B05946"/>
    <w:rsid w:val="00B05C46"/>
    <w:rsid w:val="00B05D71"/>
    <w:rsid w:val="00B06137"/>
    <w:rsid w:val="00B06598"/>
    <w:rsid w:val="00B065CC"/>
    <w:rsid w:val="00B068FC"/>
    <w:rsid w:val="00B069DC"/>
    <w:rsid w:val="00B07872"/>
    <w:rsid w:val="00B07B7E"/>
    <w:rsid w:val="00B07EA2"/>
    <w:rsid w:val="00B07F7D"/>
    <w:rsid w:val="00B10118"/>
    <w:rsid w:val="00B102B8"/>
    <w:rsid w:val="00B105C7"/>
    <w:rsid w:val="00B10768"/>
    <w:rsid w:val="00B1095C"/>
    <w:rsid w:val="00B10D65"/>
    <w:rsid w:val="00B10DA7"/>
    <w:rsid w:val="00B10EA3"/>
    <w:rsid w:val="00B11419"/>
    <w:rsid w:val="00B1147E"/>
    <w:rsid w:val="00B115D1"/>
    <w:rsid w:val="00B118EA"/>
    <w:rsid w:val="00B1198B"/>
    <w:rsid w:val="00B11B1E"/>
    <w:rsid w:val="00B11C39"/>
    <w:rsid w:val="00B120D7"/>
    <w:rsid w:val="00B121F3"/>
    <w:rsid w:val="00B12713"/>
    <w:rsid w:val="00B12AF6"/>
    <w:rsid w:val="00B12DD2"/>
    <w:rsid w:val="00B12E47"/>
    <w:rsid w:val="00B12E75"/>
    <w:rsid w:val="00B135ED"/>
    <w:rsid w:val="00B138FD"/>
    <w:rsid w:val="00B13F0A"/>
    <w:rsid w:val="00B14292"/>
    <w:rsid w:val="00B14333"/>
    <w:rsid w:val="00B14A7F"/>
    <w:rsid w:val="00B14BF2"/>
    <w:rsid w:val="00B14CD8"/>
    <w:rsid w:val="00B14D55"/>
    <w:rsid w:val="00B14F53"/>
    <w:rsid w:val="00B1542B"/>
    <w:rsid w:val="00B15556"/>
    <w:rsid w:val="00B156A0"/>
    <w:rsid w:val="00B156D6"/>
    <w:rsid w:val="00B15A64"/>
    <w:rsid w:val="00B15C39"/>
    <w:rsid w:val="00B15C3E"/>
    <w:rsid w:val="00B15D0F"/>
    <w:rsid w:val="00B164FD"/>
    <w:rsid w:val="00B16D51"/>
    <w:rsid w:val="00B16E1F"/>
    <w:rsid w:val="00B177E0"/>
    <w:rsid w:val="00B17A7A"/>
    <w:rsid w:val="00B17D8B"/>
    <w:rsid w:val="00B17DE7"/>
    <w:rsid w:val="00B2018D"/>
    <w:rsid w:val="00B2039A"/>
    <w:rsid w:val="00B204C4"/>
    <w:rsid w:val="00B206AD"/>
    <w:rsid w:val="00B20798"/>
    <w:rsid w:val="00B207D8"/>
    <w:rsid w:val="00B20D1E"/>
    <w:rsid w:val="00B20F5E"/>
    <w:rsid w:val="00B20FF1"/>
    <w:rsid w:val="00B211A9"/>
    <w:rsid w:val="00B2126E"/>
    <w:rsid w:val="00B21439"/>
    <w:rsid w:val="00B21E04"/>
    <w:rsid w:val="00B21FED"/>
    <w:rsid w:val="00B224B3"/>
    <w:rsid w:val="00B22AD6"/>
    <w:rsid w:val="00B22B11"/>
    <w:rsid w:val="00B22F2B"/>
    <w:rsid w:val="00B23740"/>
    <w:rsid w:val="00B2387B"/>
    <w:rsid w:val="00B239B2"/>
    <w:rsid w:val="00B24015"/>
    <w:rsid w:val="00B24293"/>
    <w:rsid w:val="00B24E57"/>
    <w:rsid w:val="00B24EBD"/>
    <w:rsid w:val="00B250D9"/>
    <w:rsid w:val="00B2520C"/>
    <w:rsid w:val="00B255CD"/>
    <w:rsid w:val="00B255EF"/>
    <w:rsid w:val="00B25860"/>
    <w:rsid w:val="00B259C8"/>
    <w:rsid w:val="00B25EE9"/>
    <w:rsid w:val="00B265FC"/>
    <w:rsid w:val="00B26772"/>
    <w:rsid w:val="00B269A0"/>
    <w:rsid w:val="00B26C0C"/>
    <w:rsid w:val="00B26C4A"/>
    <w:rsid w:val="00B26E79"/>
    <w:rsid w:val="00B270E1"/>
    <w:rsid w:val="00B27142"/>
    <w:rsid w:val="00B276E4"/>
    <w:rsid w:val="00B27A4F"/>
    <w:rsid w:val="00B27F1B"/>
    <w:rsid w:val="00B3025D"/>
    <w:rsid w:val="00B30810"/>
    <w:rsid w:val="00B31066"/>
    <w:rsid w:val="00B311F0"/>
    <w:rsid w:val="00B31422"/>
    <w:rsid w:val="00B31498"/>
    <w:rsid w:val="00B315D2"/>
    <w:rsid w:val="00B31677"/>
    <w:rsid w:val="00B320E2"/>
    <w:rsid w:val="00B32361"/>
    <w:rsid w:val="00B3286E"/>
    <w:rsid w:val="00B32AED"/>
    <w:rsid w:val="00B32B5B"/>
    <w:rsid w:val="00B32C4C"/>
    <w:rsid w:val="00B32CF7"/>
    <w:rsid w:val="00B32E0D"/>
    <w:rsid w:val="00B3354D"/>
    <w:rsid w:val="00B3357A"/>
    <w:rsid w:val="00B33727"/>
    <w:rsid w:val="00B33728"/>
    <w:rsid w:val="00B33834"/>
    <w:rsid w:val="00B33AE7"/>
    <w:rsid w:val="00B33B67"/>
    <w:rsid w:val="00B33C7D"/>
    <w:rsid w:val="00B33CA0"/>
    <w:rsid w:val="00B34070"/>
    <w:rsid w:val="00B34577"/>
    <w:rsid w:val="00B34638"/>
    <w:rsid w:val="00B3465F"/>
    <w:rsid w:val="00B3467C"/>
    <w:rsid w:val="00B34A57"/>
    <w:rsid w:val="00B34C57"/>
    <w:rsid w:val="00B34CDD"/>
    <w:rsid w:val="00B34D3F"/>
    <w:rsid w:val="00B34E21"/>
    <w:rsid w:val="00B34FC7"/>
    <w:rsid w:val="00B3513C"/>
    <w:rsid w:val="00B351C5"/>
    <w:rsid w:val="00B354BE"/>
    <w:rsid w:val="00B35511"/>
    <w:rsid w:val="00B35555"/>
    <w:rsid w:val="00B356C1"/>
    <w:rsid w:val="00B35BAF"/>
    <w:rsid w:val="00B36501"/>
    <w:rsid w:val="00B36783"/>
    <w:rsid w:val="00B36A35"/>
    <w:rsid w:val="00B36EDE"/>
    <w:rsid w:val="00B37186"/>
    <w:rsid w:val="00B372B1"/>
    <w:rsid w:val="00B374CF"/>
    <w:rsid w:val="00B374E6"/>
    <w:rsid w:val="00B37575"/>
    <w:rsid w:val="00B375C2"/>
    <w:rsid w:val="00B379E9"/>
    <w:rsid w:val="00B37A99"/>
    <w:rsid w:val="00B37BA2"/>
    <w:rsid w:val="00B402A5"/>
    <w:rsid w:val="00B402F2"/>
    <w:rsid w:val="00B40484"/>
    <w:rsid w:val="00B4050F"/>
    <w:rsid w:val="00B4056B"/>
    <w:rsid w:val="00B4129A"/>
    <w:rsid w:val="00B41569"/>
    <w:rsid w:val="00B415A3"/>
    <w:rsid w:val="00B41D53"/>
    <w:rsid w:val="00B42620"/>
    <w:rsid w:val="00B42EE7"/>
    <w:rsid w:val="00B43172"/>
    <w:rsid w:val="00B4331A"/>
    <w:rsid w:val="00B4367E"/>
    <w:rsid w:val="00B4396F"/>
    <w:rsid w:val="00B43D54"/>
    <w:rsid w:val="00B43F10"/>
    <w:rsid w:val="00B43FAF"/>
    <w:rsid w:val="00B44CB6"/>
    <w:rsid w:val="00B44F50"/>
    <w:rsid w:val="00B4530A"/>
    <w:rsid w:val="00B4608A"/>
    <w:rsid w:val="00B46108"/>
    <w:rsid w:val="00B4667B"/>
    <w:rsid w:val="00B46783"/>
    <w:rsid w:val="00B47358"/>
    <w:rsid w:val="00B47B41"/>
    <w:rsid w:val="00B47D4E"/>
    <w:rsid w:val="00B47FAF"/>
    <w:rsid w:val="00B50059"/>
    <w:rsid w:val="00B50473"/>
    <w:rsid w:val="00B504F9"/>
    <w:rsid w:val="00B50A85"/>
    <w:rsid w:val="00B50AED"/>
    <w:rsid w:val="00B50CF7"/>
    <w:rsid w:val="00B51113"/>
    <w:rsid w:val="00B515CC"/>
    <w:rsid w:val="00B517E5"/>
    <w:rsid w:val="00B5182C"/>
    <w:rsid w:val="00B5183E"/>
    <w:rsid w:val="00B51B13"/>
    <w:rsid w:val="00B51BBB"/>
    <w:rsid w:val="00B51C2A"/>
    <w:rsid w:val="00B51C54"/>
    <w:rsid w:val="00B52698"/>
    <w:rsid w:val="00B528DC"/>
    <w:rsid w:val="00B52C4C"/>
    <w:rsid w:val="00B52C8A"/>
    <w:rsid w:val="00B531E8"/>
    <w:rsid w:val="00B533CF"/>
    <w:rsid w:val="00B53D85"/>
    <w:rsid w:val="00B53E00"/>
    <w:rsid w:val="00B54088"/>
    <w:rsid w:val="00B54315"/>
    <w:rsid w:val="00B548C5"/>
    <w:rsid w:val="00B5498C"/>
    <w:rsid w:val="00B54B82"/>
    <w:rsid w:val="00B54BF9"/>
    <w:rsid w:val="00B54D04"/>
    <w:rsid w:val="00B555E7"/>
    <w:rsid w:val="00B557BC"/>
    <w:rsid w:val="00B557F8"/>
    <w:rsid w:val="00B55BED"/>
    <w:rsid w:val="00B55D80"/>
    <w:rsid w:val="00B5655C"/>
    <w:rsid w:val="00B567CA"/>
    <w:rsid w:val="00B56C36"/>
    <w:rsid w:val="00B56D78"/>
    <w:rsid w:val="00B571CA"/>
    <w:rsid w:val="00B57429"/>
    <w:rsid w:val="00B5742D"/>
    <w:rsid w:val="00B57455"/>
    <w:rsid w:val="00B5750B"/>
    <w:rsid w:val="00B57AC0"/>
    <w:rsid w:val="00B57B63"/>
    <w:rsid w:val="00B57C43"/>
    <w:rsid w:val="00B601BE"/>
    <w:rsid w:val="00B603B9"/>
    <w:rsid w:val="00B6043F"/>
    <w:rsid w:val="00B6049A"/>
    <w:rsid w:val="00B60852"/>
    <w:rsid w:val="00B60E9E"/>
    <w:rsid w:val="00B60FE9"/>
    <w:rsid w:val="00B613FE"/>
    <w:rsid w:val="00B61795"/>
    <w:rsid w:val="00B61A64"/>
    <w:rsid w:val="00B61C5F"/>
    <w:rsid w:val="00B62221"/>
    <w:rsid w:val="00B62449"/>
    <w:rsid w:val="00B624E0"/>
    <w:rsid w:val="00B626E0"/>
    <w:rsid w:val="00B632C6"/>
    <w:rsid w:val="00B63A81"/>
    <w:rsid w:val="00B63D16"/>
    <w:rsid w:val="00B6414F"/>
    <w:rsid w:val="00B641DC"/>
    <w:rsid w:val="00B64296"/>
    <w:rsid w:val="00B64327"/>
    <w:rsid w:val="00B64342"/>
    <w:rsid w:val="00B647FC"/>
    <w:rsid w:val="00B6495B"/>
    <w:rsid w:val="00B64DC5"/>
    <w:rsid w:val="00B65742"/>
    <w:rsid w:val="00B65C44"/>
    <w:rsid w:val="00B65D08"/>
    <w:rsid w:val="00B65EF9"/>
    <w:rsid w:val="00B65F7A"/>
    <w:rsid w:val="00B65FF2"/>
    <w:rsid w:val="00B66272"/>
    <w:rsid w:val="00B663BA"/>
    <w:rsid w:val="00B66647"/>
    <w:rsid w:val="00B668D0"/>
    <w:rsid w:val="00B66EE8"/>
    <w:rsid w:val="00B67143"/>
    <w:rsid w:val="00B67149"/>
    <w:rsid w:val="00B67592"/>
    <w:rsid w:val="00B67BB5"/>
    <w:rsid w:val="00B67C80"/>
    <w:rsid w:val="00B7030E"/>
    <w:rsid w:val="00B70839"/>
    <w:rsid w:val="00B70918"/>
    <w:rsid w:val="00B70A25"/>
    <w:rsid w:val="00B70A81"/>
    <w:rsid w:val="00B70B53"/>
    <w:rsid w:val="00B70BA3"/>
    <w:rsid w:val="00B71108"/>
    <w:rsid w:val="00B71244"/>
    <w:rsid w:val="00B7136C"/>
    <w:rsid w:val="00B71425"/>
    <w:rsid w:val="00B71840"/>
    <w:rsid w:val="00B71DD2"/>
    <w:rsid w:val="00B7200A"/>
    <w:rsid w:val="00B722B8"/>
    <w:rsid w:val="00B72683"/>
    <w:rsid w:val="00B72A70"/>
    <w:rsid w:val="00B7303D"/>
    <w:rsid w:val="00B7315E"/>
    <w:rsid w:val="00B731A1"/>
    <w:rsid w:val="00B73706"/>
    <w:rsid w:val="00B73EB1"/>
    <w:rsid w:val="00B7404E"/>
    <w:rsid w:val="00B7421C"/>
    <w:rsid w:val="00B744B8"/>
    <w:rsid w:val="00B745DD"/>
    <w:rsid w:val="00B747CE"/>
    <w:rsid w:val="00B749B5"/>
    <w:rsid w:val="00B749D4"/>
    <w:rsid w:val="00B74A93"/>
    <w:rsid w:val="00B74BA4"/>
    <w:rsid w:val="00B74D3F"/>
    <w:rsid w:val="00B75061"/>
    <w:rsid w:val="00B75357"/>
    <w:rsid w:val="00B75419"/>
    <w:rsid w:val="00B7595A"/>
    <w:rsid w:val="00B76106"/>
    <w:rsid w:val="00B76440"/>
    <w:rsid w:val="00B766F2"/>
    <w:rsid w:val="00B76816"/>
    <w:rsid w:val="00B77257"/>
    <w:rsid w:val="00B77725"/>
    <w:rsid w:val="00B77850"/>
    <w:rsid w:val="00B77CA7"/>
    <w:rsid w:val="00B77FE9"/>
    <w:rsid w:val="00B80060"/>
    <w:rsid w:val="00B80337"/>
    <w:rsid w:val="00B804EA"/>
    <w:rsid w:val="00B805AF"/>
    <w:rsid w:val="00B80CE9"/>
    <w:rsid w:val="00B80D8C"/>
    <w:rsid w:val="00B8128F"/>
    <w:rsid w:val="00B8137B"/>
    <w:rsid w:val="00B8144E"/>
    <w:rsid w:val="00B81760"/>
    <w:rsid w:val="00B81771"/>
    <w:rsid w:val="00B81F85"/>
    <w:rsid w:val="00B823A1"/>
    <w:rsid w:val="00B82638"/>
    <w:rsid w:val="00B82955"/>
    <w:rsid w:val="00B82C98"/>
    <w:rsid w:val="00B82CAA"/>
    <w:rsid w:val="00B82FF8"/>
    <w:rsid w:val="00B8316E"/>
    <w:rsid w:val="00B8358B"/>
    <w:rsid w:val="00B83674"/>
    <w:rsid w:val="00B83A4E"/>
    <w:rsid w:val="00B83A5F"/>
    <w:rsid w:val="00B83B99"/>
    <w:rsid w:val="00B83C6D"/>
    <w:rsid w:val="00B83E9D"/>
    <w:rsid w:val="00B8424D"/>
    <w:rsid w:val="00B8450E"/>
    <w:rsid w:val="00B846B2"/>
    <w:rsid w:val="00B84A6C"/>
    <w:rsid w:val="00B84AE6"/>
    <w:rsid w:val="00B84CEE"/>
    <w:rsid w:val="00B85172"/>
    <w:rsid w:val="00B85346"/>
    <w:rsid w:val="00B85570"/>
    <w:rsid w:val="00B8593F"/>
    <w:rsid w:val="00B85A3F"/>
    <w:rsid w:val="00B85A9E"/>
    <w:rsid w:val="00B85B1C"/>
    <w:rsid w:val="00B85C12"/>
    <w:rsid w:val="00B85C91"/>
    <w:rsid w:val="00B86762"/>
    <w:rsid w:val="00B86B20"/>
    <w:rsid w:val="00B86BB7"/>
    <w:rsid w:val="00B86F6B"/>
    <w:rsid w:val="00B87244"/>
    <w:rsid w:val="00B875BF"/>
    <w:rsid w:val="00B878DA"/>
    <w:rsid w:val="00B87989"/>
    <w:rsid w:val="00B87A64"/>
    <w:rsid w:val="00B87D48"/>
    <w:rsid w:val="00B9077A"/>
    <w:rsid w:val="00B9088A"/>
    <w:rsid w:val="00B908BC"/>
    <w:rsid w:val="00B90E43"/>
    <w:rsid w:val="00B91054"/>
    <w:rsid w:val="00B91E88"/>
    <w:rsid w:val="00B92203"/>
    <w:rsid w:val="00B9249D"/>
    <w:rsid w:val="00B92624"/>
    <w:rsid w:val="00B92E42"/>
    <w:rsid w:val="00B92FA2"/>
    <w:rsid w:val="00B93C18"/>
    <w:rsid w:val="00B9419F"/>
    <w:rsid w:val="00B943AB"/>
    <w:rsid w:val="00B945E1"/>
    <w:rsid w:val="00B94720"/>
    <w:rsid w:val="00B947AC"/>
    <w:rsid w:val="00B94BB1"/>
    <w:rsid w:val="00B94BBD"/>
    <w:rsid w:val="00B94C95"/>
    <w:rsid w:val="00B94E34"/>
    <w:rsid w:val="00B9515D"/>
    <w:rsid w:val="00B953C0"/>
    <w:rsid w:val="00B95731"/>
    <w:rsid w:val="00B9589F"/>
    <w:rsid w:val="00B959AB"/>
    <w:rsid w:val="00B95AC3"/>
    <w:rsid w:val="00B95CC2"/>
    <w:rsid w:val="00B95D4A"/>
    <w:rsid w:val="00B95DE4"/>
    <w:rsid w:val="00B95F30"/>
    <w:rsid w:val="00B96042"/>
    <w:rsid w:val="00B9621C"/>
    <w:rsid w:val="00B9636A"/>
    <w:rsid w:val="00B9646B"/>
    <w:rsid w:val="00B967E0"/>
    <w:rsid w:val="00B967E6"/>
    <w:rsid w:val="00B96A43"/>
    <w:rsid w:val="00B97847"/>
    <w:rsid w:val="00BA008E"/>
    <w:rsid w:val="00BA04F0"/>
    <w:rsid w:val="00BA0669"/>
    <w:rsid w:val="00BA07B0"/>
    <w:rsid w:val="00BA085F"/>
    <w:rsid w:val="00BA091C"/>
    <w:rsid w:val="00BA0CDE"/>
    <w:rsid w:val="00BA1088"/>
    <w:rsid w:val="00BA11F7"/>
    <w:rsid w:val="00BA1828"/>
    <w:rsid w:val="00BA186B"/>
    <w:rsid w:val="00BA1A23"/>
    <w:rsid w:val="00BA1F34"/>
    <w:rsid w:val="00BA2A43"/>
    <w:rsid w:val="00BA2CE8"/>
    <w:rsid w:val="00BA2E32"/>
    <w:rsid w:val="00BA2EB6"/>
    <w:rsid w:val="00BA3287"/>
    <w:rsid w:val="00BA3344"/>
    <w:rsid w:val="00BA33E1"/>
    <w:rsid w:val="00BA3599"/>
    <w:rsid w:val="00BA365D"/>
    <w:rsid w:val="00BA3A9D"/>
    <w:rsid w:val="00BA3C1A"/>
    <w:rsid w:val="00BA46D4"/>
    <w:rsid w:val="00BA4A0A"/>
    <w:rsid w:val="00BA4A26"/>
    <w:rsid w:val="00BA51C5"/>
    <w:rsid w:val="00BA51C7"/>
    <w:rsid w:val="00BA558C"/>
    <w:rsid w:val="00BA558E"/>
    <w:rsid w:val="00BA59D4"/>
    <w:rsid w:val="00BA5A4D"/>
    <w:rsid w:val="00BA5E3B"/>
    <w:rsid w:val="00BA66ED"/>
    <w:rsid w:val="00BA712A"/>
    <w:rsid w:val="00BA71FE"/>
    <w:rsid w:val="00BA7238"/>
    <w:rsid w:val="00BA7758"/>
    <w:rsid w:val="00BA7D9D"/>
    <w:rsid w:val="00BA7DE2"/>
    <w:rsid w:val="00BA7F45"/>
    <w:rsid w:val="00BB0036"/>
    <w:rsid w:val="00BB0A97"/>
    <w:rsid w:val="00BB12F2"/>
    <w:rsid w:val="00BB1DAB"/>
    <w:rsid w:val="00BB1F20"/>
    <w:rsid w:val="00BB20B2"/>
    <w:rsid w:val="00BB2187"/>
    <w:rsid w:val="00BB249A"/>
    <w:rsid w:val="00BB2548"/>
    <w:rsid w:val="00BB2827"/>
    <w:rsid w:val="00BB283D"/>
    <w:rsid w:val="00BB2A3E"/>
    <w:rsid w:val="00BB2B4E"/>
    <w:rsid w:val="00BB2DDC"/>
    <w:rsid w:val="00BB2EEA"/>
    <w:rsid w:val="00BB34EE"/>
    <w:rsid w:val="00BB36B3"/>
    <w:rsid w:val="00BB374A"/>
    <w:rsid w:val="00BB3B09"/>
    <w:rsid w:val="00BB3B7D"/>
    <w:rsid w:val="00BB4063"/>
    <w:rsid w:val="00BB4364"/>
    <w:rsid w:val="00BB4518"/>
    <w:rsid w:val="00BB46BB"/>
    <w:rsid w:val="00BB46DA"/>
    <w:rsid w:val="00BB4A5A"/>
    <w:rsid w:val="00BB4B45"/>
    <w:rsid w:val="00BB511B"/>
    <w:rsid w:val="00BB5459"/>
    <w:rsid w:val="00BB545E"/>
    <w:rsid w:val="00BB5593"/>
    <w:rsid w:val="00BB5882"/>
    <w:rsid w:val="00BB598A"/>
    <w:rsid w:val="00BB62B6"/>
    <w:rsid w:val="00BB6E86"/>
    <w:rsid w:val="00BB6FCE"/>
    <w:rsid w:val="00BB7082"/>
    <w:rsid w:val="00BB70CE"/>
    <w:rsid w:val="00BB7670"/>
    <w:rsid w:val="00BB79AC"/>
    <w:rsid w:val="00BB79B0"/>
    <w:rsid w:val="00BB7FA0"/>
    <w:rsid w:val="00BC0209"/>
    <w:rsid w:val="00BC0475"/>
    <w:rsid w:val="00BC06EC"/>
    <w:rsid w:val="00BC0BF9"/>
    <w:rsid w:val="00BC0F03"/>
    <w:rsid w:val="00BC162C"/>
    <w:rsid w:val="00BC1828"/>
    <w:rsid w:val="00BC19B8"/>
    <w:rsid w:val="00BC1A9D"/>
    <w:rsid w:val="00BC1F01"/>
    <w:rsid w:val="00BC1FCC"/>
    <w:rsid w:val="00BC22CD"/>
    <w:rsid w:val="00BC2311"/>
    <w:rsid w:val="00BC23EC"/>
    <w:rsid w:val="00BC279E"/>
    <w:rsid w:val="00BC283B"/>
    <w:rsid w:val="00BC29BE"/>
    <w:rsid w:val="00BC2A91"/>
    <w:rsid w:val="00BC2B23"/>
    <w:rsid w:val="00BC2FA9"/>
    <w:rsid w:val="00BC333B"/>
    <w:rsid w:val="00BC42A1"/>
    <w:rsid w:val="00BC4312"/>
    <w:rsid w:val="00BC4329"/>
    <w:rsid w:val="00BC4953"/>
    <w:rsid w:val="00BC4BD4"/>
    <w:rsid w:val="00BC5438"/>
    <w:rsid w:val="00BC550F"/>
    <w:rsid w:val="00BC55C6"/>
    <w:rsid w:val="00BC5677"/>
    <w:rsid w:val="00BC58FF"/>
    <w:rsid w:val="00BC5E02"/>
    <w:rsid w:val="00BC5E63"/>
    <w:rsid w:val="00BC6473"/>
    <w:rsid w:val="00BC6627"/>
    <w:rsid w:val="00BC6A2E"/>
    <w:rsid w:val="00BC6DC2"/>
    <w:rsid w:val="00BC704F"/>
    <w:rsid w:val="00BC72A4"/>
    <w:rsid w:val="00BC7457"/>
    <w:rsid w:val="00BC74D3"/>
    <w:rsid w:val="00BC7711"/>
    <w:rsid w:val="00BC7B7C"/>
    <w:rsid w:val="00BC7B86"/>
    <w:rsid w:val="00BC7CD1"/>
    <w:rsid w:val="00BC7EF2"/>
    <w:rsid w:val="00BC7FA1"/>
    <w:rsid w:val="00BD0127"/>
    <w:rsid w:val="00BD0283"/>
    <w:rsid w:val="00BD0748"/>
    <w:rsid w:val="00BD0792"/>
    <w:rsid w:val="00BD092D"/>
    <w:rsid w:val="00BD0E4D"/>
    <w:rsid w:val="00BD127D"/>
    <w:rsid w:val="00BD1329"/>
    <w:rsid w:val="00BD199A"/>
    <w:rsid w:val="00BD1E90"/>
    <w:rsid w:val="00BD2650"/>
    <w:rsid w:val="00BD2AB2"/>
    <w:rsid w:val="00BD2E55"/>
    <w:rsid w:val="00BD3068"/>
    <w:rsid w:val="00BD339F"/>
    <w:rsid w:val="00BD3A1D"/>
    <w:rsid w:val="00BD3C6A"/>
    <w:rsid w:val="00BD4386"/>
    <w:rsid w:val="00BD43CF"/>
    <w:rsid w:val="00BD44A2"/>
    <w:rsid w:val="00BD45CF"/>
    <w:rsid w:val="00BD479C"/>
    <w:rsid w:val="00BD483C"/>
    <w:rsid w:val="00BD48DE"/>
    <w:rsid w:val="00BD4B09"/>
    <w:rsid w:val="00BD5237"/>
    <w:rsid w:val="00BD5391"/>
    <w:rsid w:val="00BD54F6"/>
    <w:rsid w:val="00BD5511"/>
    <w:rsid w:val="00BD577F"/>
    <w:rsid w:val="00BD5F7A"/>
    <w:rsid w:val="00BD60CD"/>
    <w:rsid w:val="00BD6485"/>
    <w:rsid w:val="00BD663D"/>
    <w:rsid w:val="00BD66BC"/>
    <w:rsid w:val="00BD6887"/>
    <w:rsid w:val="00BD690D"/>
    <w:rsid w:val="00BD6AB6"/>
    <w:rsid w:val="00BD70B6"/>
    <w:rsid w:val="00BD76A6"/>
    <w:rsid w:val="00BD7CA3"/>
    <w:rsid w:val="00BD7E14"/>
    <w:rsid w:val="00BD7E58"/>
    <w:rsid w:val="00BE0146"/>
    <w:rsid w:val="00BE06FE"/>
    <w:rsid w:val="00BE0791"/>
    <w:rsid w:val="00BE0CEF"/>
    <w:rsid w:val="00BE0CF6"/>
    <w:rsid w:val="00BE0F13"/>
    <w:rsid w:val="00BE1673"/>
    <w:rsid w:val="00BE1D3B"/>
    <w:rsid w:val="00BE2189"/>
    <w:rsid w:val="00BE23A2"/>
    <w:rsid w:val="00BE253F"/>
    <w:rsid w:val="00BE27CD"/>
    <w:rsid w:val="00BE2DB6"/>
    <w:rsid w:val="00BE2EEE"/>
    <w:rsid w:val="00BE3122"/>
    <w:rsid w:val="00BE3679"/>
    <w:rsid w:val="00BE3963"/>
    <w:rsid w:val="00BE3BE9"/>
    <w:rsid w:val="00BE47BA"/>
    <w:rsid w:val="00BE4B99"/>
    <w:rsid w:val="00BE4CFE"/>
    <w:rsid w:val="00BE4E3A"/>
    <w:rsid w:val="00BE4F11"/>
    <w:rsid w:val="00BE4FFA"/>
    <w:rsid w:val="00BE50F2"/>
    <w:rsid w:val="00BE5166"/>
    <w:rsid w:val="00BE539A"/>
    <w:rsid w:val="00BE53DA"/>
    <w:rsid w:val="00BE5989"/>
    <w:rsid w:val="00BE5F5D"/>
    <w:rsid w:val="00BE5F81"/>
    <w:rsid w:val="00BE685B"/>
    <w:rsid w:val="00BE6AB6"/>
    <w:rsid w:val="00BE6C2C"/>
    <w:rsid w:val="00BE6E85"/>
    <w:rsid w:val="00BE716D"/>
    <w:rsid w:val="00BE7365"/>
    <w:rsid w:val="00BE73A4"/>
    <w:rsid w:val="00BE75CF"/>
    <w:rsid w:val="00BE75E6"/>
    <w:rsid w:val="00BE785E"/>
    <w:rsid w:val="00BE7A64"/>
    <w:rsid w:val="00BE7BC4"/>
    <w:rsid w:val="00BE7CFA"/>
    <w:rsid w:val="00BF014F"/>
    <w:rsid w:val="00BF0226"/>
    <w:rsid w:val="00BF029D"/>
    <w:rsid w:val="00BF05EE"/>
    <w:rsid w:val="00BF0CE9"/>
    <w:rsid w:val="00BF105D"/>
    <w:rsid w:val="00BF11DC"/>
    <w:rsid w:val="00BF1389"/>
    <w:rsid w:val="00BF1982"/>
    <w:rsid w:val="00BF253D"/>
    <w:rsid w:val="00BF2A61"/>
    <w:rsid w:val="00BF2A6A"/>
    <w:rsid w:val="00BF2BAF"/>
    <w:rsid w:val="00BF2E56"/>
    <w:rsid w:val="00BF2FA9"/>
    <w:rsid w:val="00BF2FEA"/>
    <w:rsid w:val="00BF313B"/>
    <w:rsid w:val="00BF38B7"/>
    <w:rsid w:val="00BF38ED"/>
    <w:rsid w:val="00BF3BD1"/>
    <w:rsid w:val="00BF43F9"/>
    <w:rsid w:val="00BF4692"/>
    <w:rsid w:val="00BF474E"/>
    <w:rsid w:val="00BF4997"/>
    <w:rsid w:val="00BF4A52"/>
    <w:rsid w:val="00BF4BA6"/>
    <w:rsid w:val="00BF4EFF"/>
    <w:rsid w:val="00BF5019"/>
    <w:rsid w:val="00BF5194"/>
    <w:rsid w:val="00BF51E0"/>
    <w:rsid w:val="00BF5768"/>
    <w:rsid w:val="00BF5C90"/>
    <w:rsid w:val="00BF5E75"/>
    <w:rsid w:val="00BF5E91"/>
    <w:rsid w:val="00BF5F8F"/>
    <w:rsid w:val="00BF673D"/>
    <w:rsid w:val="00BF694D"/>
    <w:rsid w:val="00BF6D35"/>
    <w:rsid w:val="00BF6E01"/>
    <w:rsid w:val="00BF6FE8"/>
    <w:rsid w:val="00BF7418"/>
    <w:rsid w:val="00BF7493"/>
    <w:rsid w:val="00BF76E1"/>
    <w:rsid w:val="00BF78CC"/>
    <w:rsid w:val="00BF791B"/>
    <w:rsid w:val="00BF7B9B"/>
    <w:rsid w:val="00BF7CC6"/>
    <w:rsid w:val="00BF7F01"/>
    <w:rsid w:val="00BF7FB5"/>
    <w:rsid w:val="00C00DF6"/>
    <w:rsid w:val="00C01098"/>
    <w:rsid w:val="00C011A9"/>
    <w:rsid w:val="00C0137F"/>
    <w:rsid w:val="00C014C9"/>
    <w:rsid w:val="00C017AA"/>
    <w:rsid w:val="00C02094"/>
    <w:rsid w:val="00C02205"/>
    <w:rsid w:val="00C0273B"/>
    <w:rsid w:val="00C03085"/>
    <w:rsid w:val="00C031ED"/>
    <w:rsid w:val="00C0361D"/>
    <w:rsid w:val="00C03A74"/>
    <w:rsid w:val="00C03A9D"/>
    <w:rsid w:val="00C03C75"/>
    <w:rsid w:val="00C03DD0"/>
    <w:rsid w:val="00C03F6A"/>
    <w:rsid w:val="00C0423C"/>
    <w:rsid w:val="00C0469C"/>
    <w:rsid w:val="00C04C3E"/>
    <w:rsid w:val="00C04D97"/>
    <w:rsid w:val="00C04DEA"/>
    <w:rsid w:val="00C04FCF"/>
    <w:rsid w:val="00C050E0"/>
    <w:rsid w:val="00C052E0"/>
    <w:rsid w:val="00C0556F"/>
    <w:rsid w:val="00C05B63"/>
    <w:rsid w:val="00C05E2F"/>
    <w:rsid w:val="00C05F33"/>
    <w:rsid w:val="00C06027"/>
    <w:rsid w:val="00C060D9"/>
    <w:rsid w:val="00C06F23"/>
    <w:rsid w:val="00C06FA4"/>
    <w:rsid w:val="00C071C5"/>
    <w:rsid w:val="00C072E0"/>
    <w:rsid w:val="00C07388"/>
    <w:rsid w:val="00C07C17"/>
    <w:rsid w:val="00C07DBA"/>
    <w:rsid w:val="00C10058"/>
    <w:rsid w:val="00C100B2"/>
    <w:rsid w:val="00C107F5"/>
    <w:rsid w:val="00C10EE7"/>
    <w:rsid w:val="00C10FBD"/>
    <w:rsid w:val="00C11027"/>
    <w:rsid w:val="00C11038"/>
    <w:rsid w:val="00C1107B"/>
    <w:rsid w:val="00C111B2"/>
    <w:rsid w:val="00C11526"/>
    <w:rsid w:val="00C1182B"/>
    <w:rsid w:val="00C119E1"/>
    <w:rsid w:val="00C11A11"/>
    <w:rsid w:val="00C11A13"/>
    <w:rsid w:val="00C11CD9"/>
    <w:rsid w:val="00C11ED1"/>
    <w:rsid w:val="00C12070"/>
    <w:rsid w:val="00C12114"/>
    <w:rsid w:val="00C123DF"/>
    <w:rsid w:val="00C1240C"/>
    <w:rsid w:val="00C12623"/>
    <w:rsid w:val="00C126DC"/>
    <w:rsid w:val="00C126DE"/>
    <w:rsid w:val="00C126EA"/>
    <w:rsid w:val="00C128B6"/>
    <w:rsid w:val="00C129A0"/>
    <w:rsid w:val="00C134E4"/>
    <w:rsid w:val="00C13672"/>
    <w:rsid w:val="00C13B45"/>
    <w:rsid w:val="00C13D3B"/>
    <w:rsid w:val="00C13F92"/>
    <w:rsid w:val="00C14170"/>
    <w:rsid w:val="00C141B9"/>
    <w:rsid w:val="00C14332"/>
    <w:rsid w:val="00C14663"/>
    <w:rsid w:val="00C14664"/>
    <w:rsid w:val="00C14826"/>
    <w:rsid w:val="00C15072"/>
    <w:rsid w:val="00C15111"/>
    <w:rsid w:val="00C152C7"/>
    <w:rsid w:val="00C155BD"/>
    <w:rsid w:val="00C1596C"/>
    <w:rsid w:val="00C15B84"/>
    <w:rsid w:val="00C15C86"/>
    <w:rsid w:val="00C16045"/>
    <w:rsid w:val="00C1636C"/>
    <w:rsid w:val="00C165E2"/>
    <w:rsid w:val="00C16627"/>
    <w:rsid w:val="00C16C8B"/>
    <w:rsid w:val="00C16E10"/>
    <w:rsid w:val="00C16E7B"/>
    <w:rsid w:val="00C16E99"/>
    <w:rsid w:val="00C17AF0"/>
    <w:rsid w:val="00C17B10"/>
    <w:rsid w:val="00C17B15"/>
    <w:rsid w:val="00C17CD3"/>
    <w:rsid w:val="00C17F5E"/>
    <w:rsid w:val="00C203A5"/>
    <w:rsid w:val="00C20751"/>
    <w:rsid w:val="00C207CF"/>
    <w:rsid w:val="00C21058"/>
    <w:rsid w:val="00C21089"/>
    <w:rsid w:val="00C213A7"/>
    <w:rsid w:val="00C2159E"/>
    <w:rsid w:val="00C215A5"/>
    <w:rsid w:val="00C2186B"/>
    <w:rsid w:val="00C2187D"/>
    <w:rsid w:val="00C220EB"/>
    <w:rsid w:val="00C22213"/>
    <w:rsid w:val="00C222CE"/>
    <w:rsid w:val="00C226FD"/>
    <w:rsid w:val="00C2293C"/>
    <w:rsid w:val="00C22E39"/>
    <w:rsid w:val="00C23479"/>
    <w:rsid w:val="00C234E0"/>
    <w:rsid w:val="00C237BB"/>
    <w:rsid w:val="00C238C6"/>
    <w:rsid w:val="00C23934"/>
    <w:rsid w:val="00C23B37"/>
    <w:rsid w:val="00C23BF1"/>
    <w:rsid w:val="00C23C7C"/>
    <w:rsid w:val="00C23DA7"/>
    <w:rsid w:val="00C2405F"/>
    <w:rsid w:val="00C242CE"/>
    <w:rsid w:val="00C24418"/>
    <w:rsid w:val="00C24702"/>
    <w:rsid w:val="00C24C68"/>
    <w:rsid w:val="00C25204"/>
    <w:rsid w:val="00C2544D"/>
    <w:rsid w:val="00C25A51"/>
    <w:rsid w:val="00C25E0D"/>
    <w:rsid w:val="00C25E41"/>
    <w:rsid w:val="00C25F81"/>
    <w:rsid w:val="00C264EA"/>
    <w:rsid w:val="00C26660"/>
    <w:rsid w:val="00C26D02"/>
    <w:rsid w:val="00C26E24"/>
    <w:rsid w:val="00C26E55"/>
    <w:rsid w:val="00C26FAE"/>
    <w:rsid w:val="00C27345"/>
    <w:rsid w:val="00C27402"/>
    <w:rsid w:val="00C276B4"/>
    <w:rsid w:val="00C276C3"/>
    <w:rsid w:val="00C27A0D"/>
    <w:rsid w:val="00C27A16"/>
    <w:rsid w:val="00C27D9C"/>
    <w:rsid w:val="00C27DF3"/>
    <w:rsid w:val="00C27E0C"/>
    <w:rsid w:val="00C302E5"/>
    <w:rsid w:val="00C30598"/>
    <w:rsid w:val="00C308E4"/>
    <w:rsid w:val="00C30A1F"/>
    <w:rsid w:val="00C30D63"/>
    <w:rsid w:val="00C3143D"/>
    <w:rsid w:val="00C31C97"/>
    <w:rsid w:val="00C31D2B"/>
    <w:rsid w:val="00C320F3"/>
    <w:rsid w:val="00C3229B"/>
    <w:rsid w:val="00C32931"/>
    <w:rsid w:val="00C333B9"/>
    <w:rsid w:val="00C33578"/>
    <w:rsid w:val="00C335F4"/>
    <w:rsid w:val="00C33846"/>
    <w:rsid w:val="00C33872"/>
    <w:rsid w:val="00C33880"/>
    <w:rsid w:val="00C3388A"/>
    <w:rsid w:val="00C33A7D"/>
    <w:rsid w:val="00C33B52"/>
    <w:rsid w:val="00C346B6"/>
    <w:rsid w:val="00C35473"/>
    <w:rsid w:val="00C35779"/>
    <w:rsid w:val="00C35972"/>
    <w:rsid w:val="00C35A35"/>
    <w:rsid w:val="00C35FA2"/>
    <w:rsid w:val="00C35FC6"/>
    <w:rsid w:val="00C36017"/>
    <w:rsid w:val="00C362E0"/>
    <w:rsid w:val="00C362FD"/>
    <w:rsid w:val="00C369B3"/>
    <w:rsid w:val="00C36A1D"/>
    <w:rsid w:val="00C36B32"/>
    <w:rsid w:val="00C3761C"/>
    <w:rsid w:val="00C3777C"/>
    <w:rsid w:val="00C378CD"/>
    <w:rsid w:val="00C40121"/>
    <w:rsid w:val="00C40A42"/>
    <w:rsid w:val="00C40C35"/>
    <w:rsid w:val="00C40C55"/>
    <w:rsid w:val="00C40F6E"/>
    <w:rsid w:val="00C4107C"/>
    <w:rsid w:val="00C41097"/>
    <w:rsid w:val="00C411A1"/>
    <w:rsid w:val="00C413A2"/>
    <w:rsid w:val="00C4192E"/>
    <w:rsid w:val="00C420F2"/>
    <w:rsid w:val="00C42383"/>
    <w:rsid w:val="00C42700"/>
    <w:rsid w:val="00C4290A"/>
    <w:rsid w:val="00C429D7"/>
    <w:rsid w:val="00C42DEB"/>
    <w:rsid w:val="00C42FF0"/>
    <w:rsid w:val="00C43100"/>
    <w:rsid w:val="00C43472"/>
    <w:rsid w:val="00C43699"/>
    <w:rsid w:val="00C4376A"/>
    <w:rsid w:val="00C437B0"/>
    <w:rsid w:val="00C43C74"/>
    <w:rsid w:val="00C43DD2"/>
    <w:rsid w:val="00C4415B"/>
    <w:rsid w:val="00C44262"/>
    <w:rsid w:val="00C44422"/>
    <w:rsid w:val="00C445B4"/>
    <w:rsid w:val="00C445F5"/>
    <w:rsid w:val="00C44A5E"/>
    <w:rsid w:val="00C45391"/>
    <w:rsid w:val="00C45517"/>
    <w:rsid w:val="00C45522"/>
    <w:rsid w:val="00C45D47"/>
    <w:rsid w:val="00C45F5D"/>
    <w:rsid w:val="00C46176"/>
    <w:rsid w:val="00C4628E"/>
    <w:rsid w:val="00C46675"/>
    <w:rsid w:val="00C468DC"/>
    <w:rsid w:val="00C46966"/>
    <w:rsid w:val="00C470BE"/>
    <w:rsid w:val="00C4754E"/>
    <w:rsid w:val="00C47933"/>
    <w:rsid w:val="00C47A16"/>
    <w:rsid w:val="00C47AE8"/>
    <w:rsid w:val="00C47B06"/>
    <w:rsid w:val="00C47B6D"/>
    <w:rsid w:val="00C47D55"/>
    <w:rsid w:val="00C47E0D"/>
    <w:rsid w:val="00C47E25"/>
    <w:rsid w:val="00C50417"/>
    <w:rsid w:val="00C50CE3"/>
    <w:rsid w:val="00C5108D"/>
    <w:rsid w:val="00C51324"/>
    <w:rsid w:val="00C513C5"/>
    <w:rsid w:val="00C5171E"/>
    <w:rsid w:val="00C51828"/>
    <w:rsid w:val="00C5192B"/>
    <w:rsid w:val="00C51B85"/>
    <w:rsid w:val="00C52345"/>
    <w:rsid w:val="00C52806"/>
    <w:rsid w:val="00C52D8A"/>
    <w:rsid w:val="00C52F79"/>
    <w:rsid w:val="00C53015"/>
    <w:rsid w:val="00C53049"/>
    <w:rsid w:val="00C533DD"/>
    <w:rsid w:val="00C534D7"/>
    <w:rsid w:val="00C53635"/>
    <w:rsid w:val="00C53C5D"/>
    <w:rsid w:val="00C53F32"/>
    <w:rsid w:val="00C54613"/>
    <w:rsid w:val="00C5461E"/>
    <w:rsid w:val="00C5498A"/>
    <w:rsid w:val="00C54AF4"/>
    <w:rsid w:val="00C55013"/>
    <w:rsid w:val="00C55096"/>
    <w:rsid w:val="00C5666C"/>
    <w:rsid w:val="00C56809"/>
    <w:rsid w:val="00C56A9D"/>
    <w:rsid w:val="00C56FE6"/>
    <w:rsid w:val="00C5725F"/>
    <w:rsid w:val="00C5751A"/>
    <w:rsid w:val="00C576DF"/>
    <w:rsid w:val="00C57CE5"/>
    <w:rsid w:val="00C57D81"/>
    <w:rsid w:val="00C6007D"/>
    <w:rsid w:val="00C6055C"/>
    <w:rsid w:val="00C60584"/>
    <w:rsid w:val="00C605B2"/>
    <w:rsid w:val="00C605EC"/>
    <w:rsid w:val="00C606D5"/>
    <w:rsid w:val="00C6094A"/>
    <w:rsid w:val="00C609C6"/>
    <w:rsid w:val="00C60DB5"/>
    <w:rsid w:val="00C60ECA"/>
    <w:rsid w:val="00C6115D"/>
    <w:rsid w:val="00C6162E"/>
    <w:rsid w:val="00C617CC"/>
    <w:rsid w:val="00C61844"/>
    <w:rsid w:val="00C619D6"/>
    <w:rsid w:val="00C61F2A"/>
    <w:rsid w:val="00C6225E"/>
    <w:rsid w:val="00C626AA"/>
    <w:rsid w:val="00C6296F"/>
    <w:rsid w:val="00C62E85"/>
    <w:rsid w:val="00C62F20"/>
    <w:rsid w:val="00C63056"/>
    <w:rsid w:val="00C631BA"/>
    <w:rsid w:val="00C632A9"/>
    <w:rsid w:val="00C63320"/>
    <w:rsid w:val="00C6350E"/>
    <w:rsid w:val="00C63905"/>
    <w:rsid w:val="00C63947"/>
    <w:rsid w:val="00C639EA"/>
    <w:rsid w:val="00C63AC3"/>
    <w:rsid w:val="00C63D98"/>
    <w:rsid w:val="00C63E5B"/>
    <w:rsid w:val="00C63F0A"/>
    <w:rsid w:val="00C643FA"/>
    <w:rsid w:val="00C64FC9"/>
    <w:rsid w:val="00C65021"/>
    <w:rsid w:val="00C651D0"/>
    <w:rsid w:val="00C653AF"/>
    <w:rsid w:val="00C6565C"/>
    <w:rsid w:val="00C6579C"/>
    <w:rsid w:val="00C659DB"/>
    <w:rsid w:val="00C65A52"/>
    <w:rsid w:val="00C65CFF"/>
    <w:rsid w:val="00C6636E"/>
    <w:rsid w:val="00C66BF5"/>
    <w:rsid w:val="00C66DC5"/>
    <w:rsid w:val="00C670AF"/>
    <w:rsid w:val="00C6716E"/>
    <w:rsid w:val="00C6742C"/>
    <w:rsid w:val="00C67735"/>
    <w:rsid w:val="00C67A18"/>
    <w:rsid w:val="00C67BA7"/>
    <w:rsid w:val="00C67D78"/>
    <w:rsid w:val="00C70096"/>
    <w:rsid w:val="00C700FC"/>
    <w:rsid w:val="00C70324"/>
    <w:rsid w:val="00C705F3"/>
    <w:rsid w:val="00C70AA5"/>
    <w:rsid w:val="00C70B0A"/>
    <w:rsid w:val="00C70D40"/>
    <w:rsid w:val="00C712B0"/>
    <w:rsid w:val="00C712D4"/>
    <w:rsid w:val="00C71414"/>
    <w:rsid w:val="00C71534"/>
    <w:rsid w:val="00C72005"/>
    <w:rsid w:val="00C720E6"/>
    <w:rsid w:val="00C72A00"/>
    <w:rsid w:val="00C72E87"/>
    <w:rsid w:val="00C73915"/>
    <w:rsid w:val="00C73933"/>
    <w:rsid w:val="00C73A8B"/>
    <w:rsid w:val="00C73AD5"/>
    <w:rsid w:val="00C73B2C"/>
    <w:rsid w:val="00C73B62"/>
    <w:rsid w:val="00C74110"/>
    <w:rsid w:val="00C7436F"/>
    <w:rsid w:val="00C743E2"/>
    <w:rsid w:val="00C7495A"/>
    <w:rsid w:val="00C74A1C"/>
    <w:rsid w:val="00C74A88"/>
    <w:rsid w:val="00C74BAB"/>
    <w:rsid w:val="00C74CA6"/>
    <w:rsid w:val="00C74CAA"/>
    <w:rsid w:val="00C74CC2"/>
    <w:rsid w:val="00C74DBA"/>
    <w:rsid w:val="00C75169"/>
    <w:rsid w:val="00C752BA"/>
    <w:rsid w:val="00C7532A"/>
    <w:rsid w:val="00C7581B"/>
    <w:rsid w:val="00C7586D"/>
    <w:rsid w:val="00C75CF4"/>
    <w:rsid w:val="00C75E5B"/>
    <w:rsid w:val="00C7601D"/>
    <w:rsid w:val="00C76423"/>
    <w:rsid w:val="00C76457"/>
    <w:rsid w:val="00C7648B"/>
    <w:rsid w:val="00C77049"/>
    <w:rsid w:val="00C773B5"/>
    <w:rsid w:val="00C77CA0"/>
    <w:rsid w:val="00C77E16"/>
    <w:rsid w:val="00C77F49"/>
    <w:rsid w:val="00C808EB"/>
    <w:rsid w:val="00C80A75"/>
    <w:rsid w:val="00C80A79"/>
    <w:rsid w:val="00C80CC0"/>
    <w:rsid w:val="00C81122"/>
    <w:rsid w:val="00C811AA"/>
    <w:rsid w:val="00C81843"/>
    <w:rsid w:val="00C818B4"/>
    <w:rsid w:val="00C8214D"/>
    <w:rsid w:val="00C821C9"/>
    <w:rsid w:val="00C82219"/>
    <w:rsid w:val="00C82310"/>
    <w:rsid w:val="00C82ABC"/>
    <w:rsid w:val="00C82CA1"/>
    <w:rsid w:val="00C82E5E"/>
    <w:rsid w:val="00C82EDD"/>
    <w:rsid w:val="00C82F17"/>
    <w:rsid w:val="00C83346"/>
    <w:rsid w:val="00C833F5"/>
    <w:rsid w:val="00C838F6"/>
    <w:rsid w:val="00C839B8"/>
    <w:rsid w:val="00C84664"/>
    <w:rsid w:val="00C84706"/>
    <w:rsid w:val="00C849AE"/>
    <w:rsid w:val="00C84BAA"/>
    <w:rsid w:val="00C84C7A"/>
    <w:rsid w:val="00C84D14"/>
    <w:rsid w:val="00C851D9"/>
    <w:rsid w:val="00C85227"/>
    <w:rsid w:val="00C861EC"/>
    <w:rsid w:val="00C864C2"/>
    <w:rsid w:val="00C8696C"/>
    <w:rsid w:val="00C87182"/>
    <w:rsid w:val="00C873AD"/>
    <w:rsid w:val="00C876E8"/>
    <w:rsid w:val="00C87753"/>
    <w:rsid w:val="00C877AD"/>
    <w:rsid w:val="00C8794B"/>
    <w:rsid w:val="00C87D45"/>
    <w:rsid w:val="00C87DDB"/>
    <w:rsid w:val="00C87E55"/>
    <w:rsid w:val="00C87E94"/>
    <w:rsid w:val="00C90154"/>
    <w:rsid w:val="00C904BD"/>
    <w:rsid w:val="00C90643"/>
    <w:rsid w:val="00C9083F"/>
    <w:rsid w:val="00C90CBB"/>
    <w:rsid w:val="00C90CE3"/>
    <w:rsid w:val="00C90E3F"/>
    <w:rsid w:val="00C91338"/>
    <w:rsid w:val="00C91384"/>
    <w:rsid w:val="00C915D4"/>
    <w:rsid w:val="00C9169D"/>
    <w:rsid w:val="00C9186E"/>
    <w:rsid w:val="00C919D3"/>
    <w:rsid w:val="00C91B5B"/>
    <w:rsid w:val="00C91CD6"/>
    <w:rsid w:val="00C91DDF"/>
    <w:rsid w:val="00C91E4E"/>
    <w:rsid w:val="00C920B8"/>
    <w:rsid w:val="00C92271"/>
    <w:rsid w:val="00C923E8"/>
    <w:rsid w:val="00C92CBF"/>
    <w:rsid w:val="00C92F0F"/>
    <w:rsid w:val="00C93118"/>
    <w:rsid w:val="00C93132"/>
    <w:rsid w:val="00C93140"/>
    <w:rsid w:val="00C93372"/>
    <w:rsid w:val="00C93497"/>
    <w:rsid w:val="00C9363B"/>
    <w:rsid w:val="00C93DCF"/>
    <w:rsid w:val="00C9405D"/>
    <w:rsid w:val="00C9406B"/>
    <w:rsid w:val="00C9410C"/>
    <w:rsid w:val="00C9449A"/>
    <w:rsid w:val="00C946F7"/>
    <w:rsid w:val="00C94C9C"/>
    <w:rsid w:val="00C95025"/>
    <w:rsid w:val="00C951DF"/>
    <w:rsid w:val="00C9551D"/>
    <w:rsid w:val="00C95539"/>
    <w:rsid w:val="00C95637"/>
    <w:rsid w:val="00C957B9"/>
    <w:rsid w:val="00C9587A"/>
    <w:rsid w:val="00C95A31"/>
    <w:rsid w:val="00C95EC5"/>
    <w:rsid w:val="00C96184"/>
    <w:rsid w:val="00C9628D"/>
    <w:rsid w:val="00C96509"/>
    <w:rsid w:val="00C96BC3"/>
    <w:rsid w:val="00C96E1E"/>
    <w:rsid w:val="00C96EA5"/>
    <w:rsid w:val="00C97C7A"/>
    <w:rsid w:val="00C97DF3"/>
    <w:rsid w:val="00CA0047"/>
    <w:rsid w:val="00CA01DA"/>
    <w:rsid w:val="00CA0266"/>
    <w:rsid w:val="00CA0356"/>
    <w:rsid w:val="00CA03CE"/>
    <w:rsid w:val="00CA05B7"/>
    <w:rsid w:val="00CA0668"/>
    <w:rsid w:val="00CA0A6B"/>
    <w:rsid w:val="00CA108F"/>
    <w:rsid w:val="00CA120E"/>
    <w:rsid w:val="00CA13D9"/>
    <w:rsid w:val="00CA1864"/>
    <w:rsid w:val="00CA1BD9"/>
    <w:rsid w:val="00CA1E84"/>
    <w:rsid w:val="00CA1EDD"/>
    <w:rsid w:val="00CA2716"/>
    <w:rsid w:val="00CA29E6"/>
    <w:rsid w:val="00CA30F5"/>
    <w:rsid w:val="00CA3107"/>
    <w:rsid w:val="00CA3C21"/>
    <w:rsid w:val="00CA42B9"/>
    <w:rsid w:val="00CA42DC"/>
    <w:rsid w:val="00CA4484"/>
    <w:rsid w:val="00CA4507"/>
    <w:rsid w:val="00CA45D9"/>
    <w:rsid w:val="00CA4876"/>
    <w:rsid w:val="00CA5424"/>
    <w:rsid w:val="00CA55E8"/>
    <w:rsid w:val="00CA58E6"/>
    <w:rsid w:val="00CA5EBD"/>
    <w:rsid w:val="00CA5EF5"/>
    <w:rsid w:val="00CA5FB3"/>
    <w:rsid w:val="00CA60A8"/>
    <w:rsid w:val="00CA62AA"/>
    <w:rsid w:val="00CA62CD"/>
    <w:rsid w:val="00CA62CE"/>
    <w:rsid w:val="00CA63A4"/>
    <w:rsid w:val="00CA6C44"/>
    <w:rsid w:val="00CA6F9F"/>
    <w:rsid w:val="00CA703F"/>
    <w:rsid w:val="00CA7957"/>
    <w:rsid w:val="00CA7A5B"/>
    <w:rsid w:val="00CA7AB5"/>
    <w:rsid w:val="00CA7F69"/>
    <w:rsid w:val="00CB01D9"/>
    <w:rsid w:val="00CB022D"/>
    <w:rsid w:val="00CB0A84"/>
    <w:rsid w:val="00CB0BF0"/>
    <w:rsid w:val="00CB0CCC"/>
    <w:rsid w:val="00CB0D15"/>
    <w:rsid w:val="00CB0F69"/>
    <w:rsid w:val="00CB0FD3"/>
    <w:rsid w:val="00CB102B"/>
    <w:rsid w:val="00CB141F"/>
    <w:rsid w:val="00CB15DE"/>
    <w:rsid w:val="00CB15F6"/>
    <w:rsid w:val="00CB1708"/>
    <w:rsid w:val="00CB175D"/>
    <w:rsid w:val="00CB1AAC"/>
    <w:rsid w:val="00CB22C4"/>
    <w:rsid w:val="00CB23A2"/>
    <w:rsid w:val="00CB260F"/>
    <w:rsid w:val="00CB2DB9"/>
    <w:rsid w:val="00CB2DBA"/>
    <w:rsid w:val="00CB30E7"/>
    <w:rsid w:val="00CB3634"/>
    <w:rsid w:val="00CB39B7"/>
    <w:rsid w:val="00CB3F88"/>
    <w:rsid w:val="00CB4598"/>
    <w:rsid w:val="00CB47DC"/>
    <w:rsid w:val="00CB49C7"/>
    <w:rsid w:val="00CB4B4E"/>
    <w:rsid w:val="00CB4DC3"/>
    <w:rsid w:val="00CB5123"/>
    <w:rsid w:val="00CB51D8"/>
    <w:rsid w:val="00CB52C4"/>
    <w:rsid w:val="00CB538E"/>
    <w:rsid w:val="00CB5585"/>
    <w:rsid w:val="00CB59EC"/>
    <w:rsid w:val="00CB5A38"/>
    <w:rsid w:val="00CB5CBB"/>
    <w:rsid w:val="00CB61E2"/>
    <w:rsid w:val="00CB61E7"/>
    <w:rsid w:val="00CB637A"/>
    <w:rsid w:val="00CB6454"/>
    <w:rsid w:val="00CB6599"/>
    <w:rsid w:val="00CB67F6"/>
    <w:rsid w:val="00CB68FD"/>
    <w:rsid w:val="00CB6980"/>
    <w:rsid w:val="00CB6995"/>
    <w:rsid w:val="00CB6C45"/>
    <w:rsid w:val="00CB6E75"/>
    <w:rsid w:val="00CB7030"/>
    <w:rsid w:val="00CB7278"/>
    <w:rsid w:val="00CB7CA0"/>
    <w:rsid w:val="00CB7E4C"/>
    <w:rsid w:val="00CC0273"/>
    <w:rsid w:val="00CC02DF"/>
    <w:rsid w:val="00CC03D8"/>
    <w:rsid w:val="00CC049C"/>
    <w:rsid w:val="00CC06AF"/>
    <w:rsid w:val="00CC08F4"/>
    <w:rsid w:val="00CC0BE2"/>
    <w:rsid w:val="00CC0F5D"/>
    <w:rsid w:val="00CC1299"/>
    <w:rsid w:val="00CC13EB"/>
    <w:rsid w:val="00CC1673"/>
    <w:rsid w:val="00CC16A2"/>
    <w:rsid w:val="00CC17CB"/>
    <w:rsid w:val="00CC18C2"/>
    <w:rsid w:val="00CC1923"/>
    <w:rsid w:val="00CC1BD2"/>
    <w:rsid w:val="00CC1CEA"/>
    <w:rsid w:val="00CC202C"/>
    <w:rsid w:val="00CC23E4"/>
    <w:rsid w:val="00CC25B8"/>
    <w:rsid w:val="00CC2E81"/>
    <w:rsid w:val="00CC2EFD"/>
    <w:rsid w:val="00CC328F"/>
    <w:rsid w:val="00CC33B7"/>
    <w:rsid w:val="00CC35A7"/>
    <w:rsid w:val="00CC362A"/>
    <w:rsid w:val="00CC3958"/>
    <w:rsid w:val="00CC3A77"/>
    <w:rsid w:val="00CC3B0E"/>
    <w:rsid w:val="00CC3B40"/>
    <w:rsid w:val="00CC3C20"/>
    <w:rsid w:val="00CC3EAD"/>
    <w:rsid w:val="00CC40C2"/>
    <w:rsid w:val="00CC40F7"/>
    <w:rsid w:val="00CC425B"/>
    <w:rsid w:val="00CC445E"/>
    <w:rsid w:val="00CC446E"/>
    <w:rsid w:val="00CC44F6"/>
    <w:rsid w:val="00CC461C"/>
    <w:rsid w:val="00CC4D16"/>
    <w:rsid w:val="00CC4D47"/>
    <w:rsid w:val="00CC4DA7"/>
    <w:rsid w:val="00CC5011"/>
    <w:rsid w:val="00CC5A8A"/>
    <w:rsid w:val="00CC5F8D"/>
    <w:rsid w:val="00CC6018"/>
    <w:rsid w:val="00CC69D6"/>
    <w:rsid w:val="00CC6BD1"/>
    <w:rsid w:val="00CC6EAE"/>
    <w:rsid w:val="00CC6F34"/>
    <w:rsid w:val="00CC713C"/>
    <w:rsid w:val="00CC7263"/>
    <w:rsid w:val="00CC76FC"/>
    <w:rsid w:val="00CC7901"/>
    <w:rsid w:val="00CC79EC"/>
    <w:rsid w:val="00CC7A28"/>
    <w:rsid w:val="00CD00BB"/>
    <w:rsid w:val="00CD03BD"/>
    <w:rsid w:val="00CD079E"/>
    <w:rsid w:val="00CD0873"/>
    <w:rsid w:val="00CD0F40"/>
    <w:rsid w:val="00CD11F5"/>
    <w:rsid w:val="00CD1208"/>
    <w:rsid w:val="00CD1272"/>
    <w:rsid w:val="00CD13A5"/>
    <w:rsid w:val="00CD1964"/>
    <w:rsid w:val="00CD1C88"/>
    <w:rsid w:val="00CD2352"/>
    <w:rsid w:val="00CD263F"/>
    <w:rsid w:val="00CD29BF"/>
    <w:rsid w:val="00CD2C70"/>
    <w:rsid w:val="00CD2DFF"/>
    <w:rsid w:val="00CD327E"/>
    <w:rsid w:val="00CD357E"/>
    <w:rsid w:val="00CD39F2"/>
    <w:rsid w:val="00CD3F59"/>
    <w:rsid w:val="00CD3F99"/>
    <w:rsid w:val="00CD43D4"/>
    <w:rsid w:val="00CD44B7"/>
    <w:rsid w:val="00CD4CB5"/>
    <w:rsid w:val="00CD4FDD"/>
    <w:rsid w:val="00CD5A7C"/>
    <w:rsid w:val="00CD6A20"/>
    <w:rsid w:val="00CD6B04"/>
    <w:rsid w:val="00CD6B1B"/>
    <w:rsid w:val="00CD6BE6"/>
    <w:rsid w:val="00CD6D00"/>
    <w:rsid w:val="00CD6E80"/>
    <w:rsid w:val="00CD706C"/>
    <w:rsid w:val="00CD740E"/>
    <w:rsid w:val="00CD7909"/>
    <w:rsid w:val="00CD7AEF"/>
    <w:rsid w:val="00CD7BD0"/>
    <w:rsid w:val="00CD7DE6"/>
    <w:rsid w:val="00CE001A"/>
    <w:rsid w:val="00CE0085"/>
    <w:rsid w:val="00CE00B2"/>
    <w:rsid w:val="00CE06EC"/>
    <w:rsid w:val="00CE080F"/>
    <w:rsid w:val="00CE0C83"/>
    <w:rsid w:val="00CE13B0"/>
    <w:rsid w:val="00CE15B6"/>
    <w:rsid w:val="00CE1976"/>
    <w:rsid w:val="00CE1B70"/>
    <w:rsid w:val="00CE1CE6"/>
    <w:rsid w:val="00CE1CEB"/>
    <w:rsid w:val="00CE1DD2"/>
    <w:rsid w:val="00CE1E8F"/>
    <w:rsid w:val="00CE2172"/>
    <w:rsid w:val="00CE2646"/>
    <w:rsid w:val="00CE26D6"/>
    <w:rsid w:val="00CE2ADF"/>
    <w:rsid w:val="00CE2F53"/>
    <w:rsid w:val="00CE3103"/>
    <w:rsid w:val="00CE34B1"/>
    <w:rsid w:val="00CE3572"/>
    <w:rsid w:val="00CE35B0"/>
    <w:rsid w:val="00CE3616"/>
    <w:rsid w:val="00CE378A"/>
    <w:rsid w:val="00CE37E3"/>
    <w:rsid w:val="00CE38D9"/>
    <w:rsid w:val="00CE3C66"/>
    <w:rsid w:val="00CE3E3E"/>
    <w:rsid w:val="00CE41EE"/>
    <w:rsid w:val="00CE4757"/>
    <w:rsid w:val="00CE4786"/>
    <w:rsid w:val="00CE484C"/>
    <w:rsid w:val="00CE4F5F"/>
    <w:rsid w:val="00CE516A"/>
    <w:rsid w:val="00CE526E"/>
    <w:rsid w:val="00CE58B3"/>
    <w:rsid w:val="00CE5D16"/>
    <w:rsid w:val="00CE5DC4"/>
    <w:rsid w:val="00CE62F5"/>
    <w:rsid w:val="00CE636E"/>
    <w:rsid w:val="00CE6914"/>
    <w:rsid w:val="00CE6A0C"/>
    <w:rsid w:val="00CE6E90"/>
    <w:rsid w:val="00CE712B"/>
    <w:rsid w:val="00CE742C"/>
    <w:rsid w:val="00CE783B"/>
    <w:rsid w:val="00CE794C"/>
    <w:rsid w:val="00CE796C"/>
    <w:rsid w:val="00CE7AC1"/>
    <w:rsid w:val="00CE7D17"/>
    <w:rsid w:val="00CF016C"/>
    <w:rsid w:val="00CF061C"/>
    <w:rsid w:val="00CF063E"/>
    <w:rsid w:val="00CF0815"/>
    <w:rsid w:val="00CF0B23"/>
    <w:rsid w:val="00CF0DDD"/>
    <w:rsid w:val="00CF0F82"/>
    <w:rsid w:val="00CF11BE"/>
    <w:rsid w:val="00CF139E"/>
    <w:rsid w:val="00CF1EA4"/>
    <w:rsid w:val="00CF1F27"/>
    <w:rsid w:val="00CF206A"/>
    <w:rsid w:val="00CF28DC"/>
    <w:rsid w:val="00CF2A44"/>
    <w:rsid w:val="00CF2A62"/>
    <w:rsid w:val="00CF3209"/>
    <w:rsid w:val="00CF331B"/>
    <w:rsid w:val="00CF3C50"/>
    <w:rsid w:val="00CF3F9D"/>
    <w:rsid w:val="00CF424D"/>
    <w:rsid w:val="00CF43C4"/>
    <w:rsid w:val="00CF465A"/>
    <w:rsid w:val="00CF4AC2"/>
    <w:rsid w:val="00CF4BC3"/>
    <w:rsid w:val="00CF4C70"/>
    <w:rsid w:val="00CF5D3B"/>
    <w:rsid w:val="00CF5F41"/>
    <w:rsid w:val="00CF66F4"/>
    <w:rsid w:val="00CF6F40"/>
    <w:rsid w:val="00CF73F4"/>
    <w:rsid w:val="00CF753A"/>
    <w:rsid w:val="00CF774D"/>
    <w:rsid w:val="00CF7945"/>
    <w:rsid w:val="00CF7DC3"/>
    <w:rsid w:val="00D0038F"/>
    <w:rsid w:val="00D00564"/>
    <w:rsid w:val="00D00AA5"/>
    <w:rsid w:val="00D00B9D"/>
    <w:rsid w:val="00D00D45"/>
    <w:rsid w:val="00D00DDE"/>
    <w:rsid w:val="00D011A8"/>
    <w:rsid w:val="00D012B2"/>
    <w:rsid w:val="00D012CD"/>
    <w:rsid w:val="00D012E7"/>
    <w:rsid w:val="00D016D7"/>
    <w:rsid w:val="00D019F4"/>
    <w:rsid w:val="00D01A0C"/>
    <w:rsid w:val="00D01B7F"/>
    <w:rsid w:val="00D01ECF"/>
    <w:rsid w:val="00D02021"/>
    <w:rsid w:val="00D02299"/>
    <w:rsid w:val="00D02341"/>
    <w:rsid w:val="00D02374"/>
    <w:rsid w:val="00D02429"/>
    <w:rsid w:val="00D0250D"/>
    <w:rsid w:val="00D02F91"/>
    <w:rsid w:val="00D03337"/>
    <w:rsid w:val="00D03559"/>
    <w:rsid w:val="00D03D8C"/>
    <w:rsid w:val="00D03E09"/>
    <w:rsid w:val="00D040EA"/>
    <w:rsid w:val="00D04127"/>
    <w:rsid w:val="00D045D6"/>
    <w:rsid w:val="00D04700"/>
    <w:rsid w:val="00D04DE9"/>
    <w:rsid w:val="00D04E35"/>
    <w:rsid w:val="00D050A7"/>
    <w:rsid w:val="00D051D8"/>
    <w:rsid w:val="00D05314"/>
    <w:rsid w:val="00D0552D"/>
    <w:rsid w:val="00D065E8"/>
    <w:rsid w:val="00D0674F"/>
    <w:rsid w:val="00D068AF"/>
    <w:rsid w:val="00D06B2E"/>
    <w:rsid w:val="00D06D61"/>
    <w:rsid w:val="00D06FF9"/>
    <w:rsid w:val="00D07148"/>
    <w:rsid w:val="00D0714D"/>
    <w:rsid w:val="00D07494"/>
    <w:rsid w:val="00D07777"/>
    <w:rsid w:val="00D0780E"/>
    <w:rsid w:val="00D07912"/>
    <w:rsid w:val="00D07A1F"/>
    <w:rsid w:val="00D07CFD"/>
    <w:rsid w:val="00D07DC3"/>
    <w:rsid w:val="00D105E8"/>
    <w:rsid w:val="00D1097A"/>
    <w:rsid w:val="00D10AEA"/>
    <w:rsid w:val="00D10E3B"/>
    <w:rsid w:val="00D11317"/>
    <w:rsid w:val="00D1149B"/>
    <w:rsid w:val="00D1150D"/>
    <w:rsid w:val="00D115DB"/>
    <w:rsid w:val="00D11831"/>
    <w:rsid w:val="00D12488"/>
    <w:rsid w:val="00D12576"/>
    <w:rsid w:val="00D12715"/>
    <w:rsid w:val="00D128E3"/>
    <w:rsid w:val="00D1294E"/>
    <w:rsid w:val="00D12B60"/>
    <w:rsid w:val="00D130F6"/>
    <w:rsid w:val="00D139EA"/>
    <w:rsid w:val="00D13A4B"/>
    <w:rsid w:val="00D13A68"/>
    <w:rsid w:val="00D13CF1"/>
    <w:rsid w:val="00D13E06"/>
    <w:rsid w:val="00D13F7A"/>
    <w:rsid w:val="00D14167"/>
    <w:rsid w:val="00D14226"/>
    <w:rsid w:val="00D14591"/>
    <w:rsid w:val="00D149DE"/>
    <w:rsid w:val="00D14C18"/>
    <w:rsid w:val="00D14D3C"/>
    <w:rsid w:val="00D15405"/>
    <w:rsid w:val="00D155C3"/>
    <w:rsid w:val="00D1569A"/>
    <w:rsid w:val="00D15F10"/>
    <w:rsid w:val="00D15F5C"/>
    <w:rsid w:val="00D16974"/>
    <w:rsid w:val="00D16980"/>
    <w:rsid w:val="00D16A6B"/>
    <w:rsid w:val="00D16E2B"/>
    <w:rsid w:val="00D16ECE"/>
    <w:rsid w:val="00D1701D"/>
    <w:rsid w:val="00D172ED"/>
    <w:rsid w:val="00D175C8"/>
    <w:rsid w:val="00D1779D"/>
    <w:rsid w:val="00D17CC5"/>
    <w:rsid w:val="00D17E06"/>
    <w:rsid w:val="00D17EB7"/>
    <w:rsid w:val="00D203A5"/>
    <w:rsid w:val="00D20894"/>
    <w:rsid w:val="00D20C91"/>
    <w:rsid w:val="00D2162C"/>
    <w:rsid w:val="00D218A3"/>
    <w:rsid w:val="00D218AA"/>
    <w:rsid w:val="00D21A28"/>
    <w:rsid w:val="00D21F31"/>
    <w:rsid w:val="00D220E6"/>
    <w:rsid w:val="00D2290C"/>
    <w:rsid w:val="00D22B17"/>
    <w:rsid w:val="00D22BCE"/>
    <w:rsid w:val="00D22D53"/>
    <w:rsid w:val="00D22E07"/>
    <w:rsid w:val="00D23F78"/>
    <w:rsid w:val="00D2428C"/>
    <w:rsid w:val="00D243C4"/>
    <w:rsid w:val="00D247B7"/>
    <w:rsid w:val="00D24B55"/>
    <w:rsid w:val="00D24F66"/>
    <w:rsid w:val="00D250E7"/>
    <w:rsid w:val="00D252AD"/>
    <w:rsid w:val="00D254F2"/>
    <w:rsid w:val="00D25C6C"/>
    <w:rsid w:val="00D25CFB"/>
    <w:rsid w:val="00D2609F"/>
    <w:rsid w:val="00D26131"/>
    <w:rsid w:val="00D264F5"/>
    <w:rsid w:val="00D26614"/>
    <w:rsid w:val="00D267F8"/>
    <w:rsid w:val="00D26BCA"/>
    <w:rsid w:val="00D26C0C"/>
    <w:rsid w:val="00D26C1A"/>
    <w:rsid w:val="00D26C2A"/>
    <w:rsid w:val="00D26C7E"/>
    <w:rsid w:val="00D26FE6"/>
    <w:rsid w:val="00D27060"/>
    <w:rsid w:val="00D271FD"/>
    <w:rsid w:val="00D27431"/>
    <w:rsid w:val="00D2760E"/>
    <w:rsid w:val="00D30155"/>
    <w:rsid w:val="00D3029C"/>
    <w:rsid w:val="00D3035D"/>
    <w:rsid w:val="00D30A20"/>
    <w:rsid w:val="00D30C4C"/>
    <w:rsid w:val="00D30C72"/>
    <w:rsid w:val="00D318AC"/>
    <w:rsid w:val="00D31937"/>
    <w:rsid w:val="00D31A12"/>
    <w:rsid w:val="00D31A8B"/>
    <w:rsid w:val="00D31B1D"/>
    <w:rsid w:val="00D31B81"/>
    <w:rsid w:val="00D31D20"/>
    <w:rsid w:val="00D31E17"/>
    <w:rsid w:val="00D328DB"/>
    <w:rsid w:val="00D33001"/>
    <w:rsid w:val="00D3317E"/>
    <w:rsid w:val="00D331EA"/>
    <w:rsid w:val="00D33243"/>
    <w:rsid w:val="00D3330D"/>
    <w:rsid w:val="00D33349"/>
    <w:rsid w:val="00D33763"/>
    <w:rsid w:val="00D337DB"/>
    <w:rsid w:val="00D339B9"/>
    <w:rsid w:val="00D33B6A"/>
    <w:rsid w:val="00D33C19"/>
    <w:rsid w:val="00D33D68"/>
    <w:rsid w:val="00D33D96"/>
    <w:rsid w:val="00D343F9"/>
    <w:rsid w:val="00D34660"/>
    <w:rsid w:val="00D346F8"/>
    <w:rsid w:val="00D35059"/>
    <w:rsid w:val="00D350E4"/>
    <w:rsid w:val="00D3533C"/>
    <w:rsid w:val="00D3595A"/>
    <w:rsid w:val="00D35CA1"/>
    <w:rsid w:val="00D35D64"/>
    <w:rsid w:val="00D36746"/>
    <w:rsid w:val="00D36834"/>
    <w:rsid w:val="00D36A8F"/>
    <w:rsid w:val="00D36CBA"/>
    <w:rsid w:val="00D36E90"/>
    <w:rsid w:val="00D36F9F"/>
    <w:rsid w:val="00D37702"/>
    <w:rsid w:val="00D406EE"/>
    <w:rsid w:val="00D40AAE"/>
    <w:rsid w:val="00D4105A"/>
    <w:rsid w:val="00D410DD"/>
    <w:rsid w:val="00D41361"/>
    <w:rsid w:val="00D4137E"/>
    <w:rsid w:val="00D41551"/>
    <w:rsid w:val="00D41AAF"/>
    <w:rsid w:val="00D4225F"/>
    <w:rsid w:val="00D42385"/>
    <w:rsid w:val="00D428AC"/>
    <w:rsid w:val="00D428E6"/>
    <w:rsid w:val="00D4293D"/>
    <w:rsid w:val="00D42B71"/>
    <w:rsid w:val="00D42BD7"/>
    <w:rsid w:val="00D42CCC"/>
    <w:rsid w:val="00D43193"/>
    <w:rsid w:val="00D43366"/>
    <w:rsid w:val="00D43421"/>
    <w:rsid w:val="00D4405B"/>
    <w:rsid w:val="00D4413F"/>
    <w:rsid w:val="00D4422E"/>
    <w:rsid w:val="00D442BC"/>
    <w:rsid w:val="00D44539"/>
    <w:rsid w:val="00D4463E"/>
    <w:rsid w:val="00D44674"/>
    <w:rsid w:val="00D44793"/>
    <w:rsid w:val="00D44B9C"/>
    <w:rsid w:val="00D44DE2"/>
    <w:rsid w:val="00D44DE9"/>
    <w:rsid w:val="00D45284"/>
    <w:rsid w:val="00D45635"/>
    <w:rsid w:val="00D4587A"/>
    <w:rsid w:val="00D45C6D"/>
    <w:rsid w:val="00D45F88"/>
    <w:rsid w:val="00D46366"/>
    <w:rsid w:val="00D4660C"/>
    <w:rsid w:val="00D46688"/>
    <w:rsid w:val="00D4670C"/>
    <w:rsid w:val="00D46885"/>
    <w:rsid w:val="00D46B11"/>
    <w:rsid w:val="00D4706F"/>
    <w:rsid w:val="00D474EE"/>
    <w:rsid w:val="00D47AD8"/>
    <w:rsid w:val="00D47C0C"/>
    <w:rsid w:val="00D47C6B"/>
    <w:rsid w:val="00D50091"/>
    <w:rsid w:val="00D5018A"/>
    <w:rsid w:val="00D50263"/>
    <w:rsid w:val="00D5029C"/>
    <w:rsid w:val="00D5061D"/>
    <w:rsid w:val="00D50819"/>
    <w:rsid w:val="00D50870"/>
    <w:rsid w:val="00D5111C"/>
    <w:rsid w:val="00D513E2"/>
    <w:rsid w:val="00D5149A"/>
    <w:rsid w:val="00D51568"/>
    <w:rsid w:val="00D51597"/>
    <w:rsid w:val="00D515C2"/>
    <w:rsid w:val="00D51999"/>
    <w:rsid w:val="00D524DE"/>
    <w:rsid w:val="00D52D05"/>
    <w:rsid w:val="00D53630"/>
    <w:rsid w:val="00D541F9"/>
    <w:rsid w:val="00D54265"/>
    <w:rsid w:val="00D543DF"/>
    <w:rsid w:val="00D5448C"/>
    <w:rsid w:val="00D544EF"/>
    <w:rsid w:val="00D548DB"/>
    <w:rsid w:val="00D54C1D"/>
    <w:rsid w:val="00D54F48"/>
    <w:rsid w:val="00D55634"/>
    <w:rsid w:val="00D556DA"/>
    <w:rsid w:val="00D55F6B"/>
    <w:rsid w:val="00D5606E"/>
    <w:rsid w:val="00D560D5"/>
    <w:rsid w:val="00D566D7"/>
    <w:rsid w:val="00D567E0"/>
    <w:rsid w:val="00D5684E"/>
    <w:rsid w:val="00D5691A"/>
    <w:rsid w:val="00D56EB3"/>
    <w:rsid w:val="00D572C5"/>
    <w:rsid w:val="00D57A19"/>
    <w:rsid w:val="00D57BAF"/>
    <w:rsid w:val="00D57D08"/>
    <w:rsid w:val="00D600B8"/>
    <w:rsid w:val="00D60402"/>
    <w:rsid w:val="00D6046F"/>
    <w:rsid w:val="00D60606"/>
    <w:rsid w:val="00D608F9"/>
    <w:rsid w:val="00D60C5C"/>
    <w:rsid w:val="00D60D82"/>
    <w:rsid w:val="00D60FE8"/>
    <w:rsid w:val="00D617AA"/>
    <w:rsid w:val="00D61FE2"/>
    <w:rsid w:val="00D62022"/>
    <w:rsid w:val="00D6202B"/>
    <w:rsid w:val="00D6230F"/>
    <w:rsid w:val="00D628A7"/>
    <w:rsid w:val="00D62DC6"/>
    <w:rsid w:val="00D62F19"/>
    <w:rsid w:val="00D630BC"/>
    <w:rsid w:val="00D632A2"/>
    <w:rsid w:val="00D632EA"/>
    <w:rsid w:val="00D634E9"/>
    <w:rsid w:val="00D635DF"/>
    <w:rsid w:val="00D637D5"/>
    <w:rsid w:val="00D637D6"/>
    <w:rsid w:val="00D63A1D"/>
    <w:rsid w:val="00D63C07"/>
    <w:rsid w:val="00D63D6C"/>
    <w:rsid w:val="00D63FE4"/>
    <w:rsid w:val="00D64A3B"/>
    <w:rsid w:val="00D64CFE"/>
    <w:rsid w:val="00D64E2D"/>
    <w:rsid w:val="00D6548D"/>
    <w:rsid w:val="00D65999"/>
    <w:rsid w:val="00D659D5"/>
    <w:rsid w:val="00D65EDB"/>
    <w:rsid w:val="00D65F28"/>
    <w:rsid w:val="00D65F53"/>
    <w:rsid w:val="00D660AE"/>
    <w:rsid w:val="00D6623A"/>
    <w:rsid w:val="00D66249"/>
    <w:rsid w:val="00D66576"/>
    <w:rsid w:val="00D6665B"/>
    <w:rsid w:val="00D66694"/>
    <w:rsid w:val="00D666BC"/>
    <w:rsid w:val="00D669CD"/>
    <w:rsid w:val="00D6730C"/>
    <w:rsid w:val="00D67A50"/>
    <w:rsid w:val="00D67CE9"/>
    <w:rsid w:val="00D67E30"/>
    <w:rsid w:val="00D67ED7"/>
    <w:rsid w:val="00D70110"/>
    <w:rsid w:val="00D7061B"/>
    <w:rsid w:val="00D70753"/>
    <w:rsid w:val="00D70FBB"/>
    <w:rsid w:val="00D71479"/>
    <w:rsid w:val="00D71865"/>
    <w:rsid w:val="00D71A10"/>
    <w:rsid w:val="00D71B71"/>
    <w:rsid w:val="00D7203C"/>
    <w:rsid w:val="00D722FB"/>
    <w:rsid w:val="00D728A7"/>
    <w:rsid w:val="00D72A2E"/>
    <w:rsid w:val="00D72A48"/>
    <w:rsid w:val="00D72DD5"/>
    <w:rsid w:val="00D7307E"/>
    <w:rsid w:val="00D730F1"/>
    <w:rsid w:val="00D736BD"/>
    <w:rsid w:val="00D7386F"/>
    <w:rsid w:val="00D73C26"/>
    <w:rsid w:val="00D73CFB"/>
    <w:rsid w:val="00D73DDD"/>
    <w:rsid w:val="00D7414F"/>
    <w:rsid w:val="00D7465E"/>
    <w:rsid w:val="00D7471D"/>
    <w:rsid w:val="00D7475A"/>
    <w:rsid w:val="00D74811"/>
    <w:rsid w:val="00D74953"/>
    <w:rsid w:val="00D74F34"/>
    <w:rsid w:val="00D752CF"/>
    <w:rsid w:val="00D757AD"/>
    <w:rsid w:val="00D757E4"/>
    <w:rsid w:val="00D7582A"/>
    <w:rsid w:val="00D75B98"/>
    <w:rsid w:val="00D75F5F"/>
    <w:rsid w:val="00D7606E"/>
    <w:rsid w:val="00D761A1"/>
    <w:rsid w:val="00D7673E"/>
    <w:rsid w:val="00D7691C"/>
    <w:rsid w:val="00D76ABB"/>
    <w:rsid w:val="00D77454"/>
    <w:rsid w:val="00D7763C"/>
    <w:rsid w:val="00D77AFE"/>
    <w:rsid w:val="00D77D30"/>
    <w:rsid w:val="00D80454"/>
    <w:rsid w:val="00D813A5"/>
    <w:rsid w:val="00D813EB"/>
    <w:rsid w:val="00D8162D"/>
    <w:rsid w:val="00D81755"/>
    <w:rsid w:val="00D8178D"/>
    <w:rsid w:val="00D8178E"/>
    <w:rsid w:val="00D81871"/>
    <w:rsid w:val="00D81F76"/>
    <w:rsid w:val="00D822CF"/>
    <w:rsid w:val="00D8235F"/>
    <w:rsid w:val="00D82765"/>
    <w:rsid w:val="00D8277E"/>
    <w:rsid w:val="00D82AA9"/>
    <w:rsid w:val="00D830A4"/>
    <w:rsid w:val="00D8325D"/>
    <w:rsid w:val="00D8341F"/>
    <w:rsid w:val="00D83525"/>
    <w:rsid w:val="00D8377B"/>
    <w:rsid w:val="00D83DEE"/>
    <w:rsid w:val="00D85049"/>
    <w:rsid w:val="00D85235"/>
    <w:rsid w:val="00D85494"/>
    <w:rsid w:val="00D856CF"/>
    <w:rsid w:val="00D856E2"/>
    <w:rsid w:val="00D858AC"/>
    <w:rsid w:val="00D85D55"/>
    <w:rsid w:val="00D85EF7"/>
    <w:rsid w:val="00D86608"/>
    <w:rsid w:val="00D8682C"/>
    <w:rsid w:val="00D86DBE"/>
    <w:rsid w:val="00D86E37"/>
    <w:rsid w:val="00D87448"/>
    <w:rsid w:val="00D87807"/>
    <w:rsid w:val="00D87A98"/>
    <w:rsid w:val="00D87BDC"/>
    <w:rsid w:val="00D87C3F"/>
    <w:rsid w:val="00D87E2F"/>
    <w:rsid w:val="00D87FB9"/>
    <w:rsid w:val="00D9020D"/>
    <w:rsid w:val="00D90737"/>
    <w:rsid w:val="00D9099C"/>
    <w:rsid w:val="00D90CE3"/>
    <w:rsid w:val="00D90D6F"/>
    <w:rsid w:val="00D90F49"/>
    <w:rsid w:val="00D910B7"/>
    <w:rsid w:val="00D911FE"/>
    <w:rsid w:val="00D91369"/>
    <w:rsid w:val="00D9169E"/>
    <w:rsid w:val="00D919EF"/>
    <w:rsid w:val="00D91ADC"/>
    <w:rsid w:val="00D92097"/>
    <w:rsid w:val="00D921D1"/>
    <w:rsid w:val="00D924EB"/>
    <w:rsid w:val="00D92584"/>
    <w:rsid w:val="00D9295B"/>
    <w:rsid w:val="00D92F5B"/>
    <w:rsid w:val="00D9320F"/>
    <w:rsid w:val="00D93256"/>
    <w:rsid w:val="00D932CE"/>
    <w:rsid w:val="00D9349E"/>
    <w:rsid w:val="00D93764"/>
    <w:rsid w:val="00D9405D"/>
    <w:rsid w:val="00D944B7"/>
    <w:rsid w:val="00D944DC"/>
    <w:rsid w:val="00D949D4"/>
    <w:rsid w:val="00D94A9F"/>
    <w:rsid w:val="00D94E73"/>
    <w:rsid w:val="00D94FD3"/>
    <w:rsid w:val="00D9502B"/>
    <w:rsid w:val="00D95236"/>
    <w:rsid w:val="00D95394"/>
    <w:rsid w:val="00D959DB"/>
    <w:rsid w:val="00D95C5E"/>
    <w:rsid w:val="00D95E0D"/>
    <w:rsid w:val="00D95E61"/>
    <w:rsid w:val="00D95EE1"/>
    <w:rsid w:val="00D96115"/>
    <w:rsid w:val="00D961B2"/>
    <w:rsid w:val="00D9665E"/>
    <w:rsid w:val="00D96821"/>
    <w:rsid w:val="00D9682A"/>
    <w:rsid w:val="00D96AA6"/>
    <w:rsid w:val="00D96AED"/>
    <w:rsid w:val="00D96C3E"/>
    <w:rsid w:val="00D971A8"/>
    <w:rsid w:val="00D97657"/>
    <w:rsid w:val="00D978A4"/>
    <w:rsid w:val="00DA01A8"/>
    <w:rsid w:val="00DA04DA"/>
    <w:rsid w:val="00DA04E0"/>
    <w:rsid w:val="00DA081F"/>
    <w:rsid w:val="00DA0B09"/>
    <w:rsid w:val="00DA0D76"/>
    <w:rsid w:val="00DA106D"/>
    <w:rsid w:val="00DA13CB"/>
    <w:rsid w:val="00DA17D0"/>
    <w:rsid w:val="00DA1B4D"/>
    <w:rsid w:val="00DA1C7B"/>
    <w:rsid w:val="00DA1ED1"/>
    <w:rsid w:val="00DA217E"/>
    <w:rsid w:val="00DA223E"/>
    <w:rsid w:val="00DA2ABD"/>
    <w:rsid w:val="00DA2F38"/>
    <w:rsid w:val="00DA3762"/>
    <w:rsid w:val="00DA376E"/>
    <w:rsid w:val="00DA3E0B"/>
    <w:rsid w:val="00DA3FFA"/>
    <w:rsid w:val="00DA445F"/>
    <w:rsid w:val="00DA4974"/>
    <w:rsid w:val="00DA4C74"/>
    <w:rsid w:val="00DA4F46"/>
    <w:rsid w:val="00DA5193"/>
    <w:rsid w:val="00DA5404"/>
    <w:rsid w:val="00DA55E1"/>
    <w:rsid w:val="00DA5C58"/>
    <w:rsid w:val="00DA5D17"/>
    <w:rsid w:val="00DA5F17"/>
    <w:rsid w:val="00DA5F8B"/>
    <w:rsid w:val="00DA621A"/>
    <w:rsid w:val="00DA6552"/>
    <w:rsid w:val="00DA65B1"/>
    <w:rsid w:val="00DA697D"/>
    <w:rsid w:val="00DA698A"/>
    <w:rsid w:val="00DA6D1A"/>
    <w:rsid w:val="00DA6FFA"/>
    <w:rsid w:val="00DA714B"/>
    <w:rsid w:val="00DA7764"/>
    <w:rsid w:val="00DA7A10"/>
    <w:rsid w:val="00DB002E"/>
    <w:rsid w:val="00DB0255"/>
    <w:rsid w:val="00DB0275"/>
    <w:rsid w:val="00DB031E"/>
    <w:rsid w:val="00DB0378"/>
    <w:rsid w:val="00DB075C"/>
    <w:rsid w:val="00DB0AB9"/>
    <w:rsid w:val="00DB0BBB"/>
    <w:rsid w:val="00DB0C88"/>
    <w:rsid w:val="00DB0CE1"/>
    <w:rsid w:val="00DB0EEE"/>
    <w:rsid w:val="00DB0EFC"/>
    <w:rsid w:val="00DB19CD"/>
    <w:rsid w:val="00DB1A73"/>
    <w:rsid w:val="00DB1E52"/>
    <w:rsid w:val="00DB1EA0"/>
    <w:rsid w:val="00DB21A1"/>
    <w:rsid w:val="00DB2211"/>
    <w:rsid w:val="00DB2239"/>
    <w:rsid w:val="00DB23EB"/>
    <w:rsid w:val="00DB263A"/>
    <w:rsid w:val="00DB2834"/>
    <w:rsid w:val="00DB2C0D"/>
    <w:rsid w:val="00DB3054"/>
    <w:rsid w:val="00DB3136"/>
    <w:rsid w:val="00DB31E1"/>
    <w:rsid w:val="00DB32F2"/>
    <w:rsid w:val="00DB3469"/>
    <w:rsid w:val="00DB3488"/>
    <w:rsid w:val="00DB3A18"/>
    <w:rsid w:val="00DB3A54"/>
    <w:rsid w:val="00DB3DA8"/>
    <w:rsid w:val="00DB3F1D"/>
    <w:rsid w:val="00DB3F62"/>
    <w:rsid w:val="00DB4396"/>
    <w:rsid w:val="00DB439A"/>
    <w:rsid w:val="00DB464E"/>
    <w:rsid w:val="00DB501A"/>
    <w:rsid w:val="00DB51FD"/>
    <w:rsid w:val="00DB53B5"/>
    <w:rsid w:val="00DB55ED"/>
    <w:rsid w:val="00DB56AA"/>
    <w:rsid w:val="00DB5728"/>
    <w:rsid w:val="00DB5762"/>
    <w:rsid w:val="00DB5892"/>
    <w:rsid w:val="00DB5893"/>
    <w:rsid w:val="00DB596B"/>
    <w:rsid w:val="00DB599A"/>
    <w:rsid w:val="00DB5C36"/>
    <w:rsid w:val="00DB5F9A"/>
    <w:rsid w:val="00DB6D62"/>
    <w:rsid w:val="00DB6E0B"/>
    <w:rsid w:val="00DB6E9B"/>
    <w:rsid w:val="00DB6EDC"/>
    <w:rsid w:val="00DB6F05"/>
    <w:rsid w:val="00DB6F78"/>
    <w:rsid w:val="00DB7254"/>
    <w:rsid w:val="00DB726B"/>
    <w:rsid w:val="00DB764A"/>
    <w:rsid w:val="00DB790C"/>
    <w:rsid w:val="00DB796A"/>
    <w:rsid w:val="00DB79F3"/>
    <w:rsid w:val="00DC01D4"/>
    <w:rsid w:val="00DC0441"/>
    <w:rsid w:val="00DC0A25"/>
    <w:rsid w:val="00DC0B22"/>
    <w:rsid w:val="00DC0C57"/>
    <w:rsid w:val="00DC0FF7"/>
    <w:rsid w:val="00DC11EC"/>
    <w:rsid w:val="00DC15D7"/>
    <w:rsid w:val="00DC17CA"/>
    <w:rsid w:val="00DC1866"/>
    <w:rsid w:val="00DC1BBE"/>
    <w:rsid w:val="00DC1C97"/>
    <w:rsid w:val="00DC1D00"/>
    <w:rsid w:val="00DC1F0D"/>
    <w:rsid w:val="00DC2028"/>
    <w:rsid w:val="00DC20A7"/>
    <w:rsid w:val="00DC24A3"/>
    <w:rsid w:val="00DC25F5"/>
    <w:rsid w:val="00DC3161"/>
    <w:rsid w:val="00DC3454"/>
    <w:rsid w:val="00DC34E1"/>
    <w:rsid w:val="00DC36CB"/>
    <w:rsid w:val="00DC3B00"/>
    <w:rsid w:val="00DC3D16"/>
    <w:rsid w:val="00DC3F28"/>
    <w:rsid w:val="00DC42F8"/>
    <w:rsid w:val="00DC5227"/>
    <w:rsid w:val="00DC53F7"/>
    <w:rsid w:val="00DC5A85"/>
    <w:rsid w:val="00DC5AE4"/>
    <w:rsid w:val="00DC6577"/>
    <w:rsid w:val="00DC6677"/>
    <w:rsid w:val="00DC679D"/>
    <w:rsid w:val="00DC6D5A"/>
    <w:rsid w:val="00DC7362"/>
    <w:rsid w:val="00DC76DA"/>
    <w:rsid w:val="00DD04E1"/>
    <w:rsid w:val="00DD0634"/>
    <w:rsid w:val="00DD06A3"/>
    <w:rsid w:val="00DD0D54"/>
    <w:rsid w:val="00DD0E06"/>
    <w:rsid w:val="00DD1430"/>
    <w:rsid w:val="00DD172A"/>
    <w:rsid w:val="00DD1A27"/>
    <w:rsid w:val="00DD1A91"/>
    <w:rsid w:val="00DD1CD3"/>
    <w:rsid w:val="00DD1D5F"/>
    <w:rsid w:val="00DD2007"/>
    <w:rsid w:val="00DD203E"/>
    <w:rsid w:val="00DD2201"/>
    <w:rsid w:val="00DD244C"/>
    <w:rsid w:val="00DD2749"/>
    <w:rsid w:val="00DD280E"/>
    <w:rsid w:val="00DD2C27"/>
    <w:rsid w:val="00DD2FE3"/>
    <w:rsid w:val="00DD3033"/>
    <w:rsid w:val="00DD3728"/>
    <w:rsid w:val="00DD3977"/>
    <w:rsid w:val="00DD3BBA"/>
    <w:rsid w:val="00DD3EF3"/>
    <w:rsid w:val="00DD3FE5"/>
    <w:rsid w:val="00DD429B"/>
    <w:rsid w:val="00DD44DB"/>
    <w:rsid w:val="00DD45EB"/>
    <w:rsid w:val="00DD4655"/>
    <w:rsid w:val="00DD4B23"/>
    <w:rsid w:val="00DD4C02"/>
    <w:rsid w:val="00DD4F9E"/>
    <w:rsid w:val="00DD533E"/>
    <w:rsid w:val="00DD53E1"/>
    <w:rsid w:val="00DD53ED"/>
    <w:rsid w:val="00DD5921"/>
    <w:rsid w:val="00DD5975"/>
    <w:rsid w:val="00DD599E"/>
    <w:rsid w:val="00DD59C4"/>
    <w:rsid w:val="00DD5FCF"/>
    <w:rsid w:val="00DD60D0"/>
    <w:rsid w:val="00DD6280"/>
    <w:rsid w:val="00DD6555"/>
    <w:rsid w:val="00DD6664"/>
    <w:rsid w:val="00DD673B"/>
    <w:rsid w:val="00DD6903"/>
    <w:rsid w:val="00DD6A81"/>
    <w:rsid w:val="00DD6B4C"/>
    <w:rsid w:val="00DD6B78"/>
    <w:rsid w:val="00DD6E38"/>
    <w:rsid w:val="00DD6F03"/>
    <w:rsid w:val="00DD6FAC"/>
    <w:rsid w:val="00DD78E3"/>
    <w:rsid w:val="00DD7CA3"/>
    <w:rsid w:val="00DD7D2B"/>
    <w:rsid w:val="00DD7EAB"/>
    <w:rsid w:val="00DE02E6"/>
    <w:rsid w:val="00DE064F"/>
    <w:rsid w:val="00DE0759"/>
    <w:rsid w:val="00DE113F"/>
    <w:rsid w:val="00DE18D6"/>
    <w:rsid w:val="00DE19F7"/>
    <w:rsid w:val="00DE1FF0"/>
    <w:rsid w:val="00DE24FA"/>
    <w:rsid w:val="00DE2A1E"/>
    <w:rsid w:val="00DE2D8C"/>
    <w:rsid w:val="00DE32EF"/>
    <w:rsid w:val="00DE3404"/>
    <w:rsid w:val="00DE3D55"/>
    <w:rsid w:val="00DE41FA"/>
    <w:rsid w:val="00DE4ABA"/>
    <w:rsid w:val="00DE4B5D"/>
    <w:rsid w:val="00DE526F"/>
    <w:rsid w:val="00DE5294"/>
    <w:rsid w:val="00DE52BD"/>
    <w:rsid w:val="00DE5406"/>
    <w:rsid w:val="00DE5437"/>
    <w:rsid w:val="00DE545F"/>
    <w:rsid w:val="00DE5461"/>
    <w:rsid w:val="00DE5590"/>
    <w:rsid w:val="00DE590A"/>
    <w:rsid w:val="00DE5918"/>
    <w:rsid w:val="00DE5CFC"/>
    <w:rsid w:val="00DE5E4E"/>
    <w:rsid w:val="00DE6E6D"/>
    <w:rsid w:val="00DE731C"/>
    <w:rsid w:val="00DE738B"/>
    <w:rsid w:val="00DE73C5"/>
    <w:rsid w:val="00DE73D8"/>
    <w:rsid w:val="00DE79DA"/>
    <w:rsid w:val="00DF024A"/>
    <w:rsid w:val="00DF036E"/>
    <w:rsid w:val="00DF03CC"/>
    <w:rsid w:val="00DF05F7"/>
    <w:rsid w:val="00DF072D"/>
    <w:rsid w:val="00DF07FD"/>
    <w:rsid w:val="00DF0902"/>
    <w:rsid w:val="00DF098C"/>
    <w:rsid w:val="00DF09D7"/>
    <w:rsid w:val="00DF1007"/>
    <w:rsid w:val="00DF1173"/>
    <w:rsid w:val="00DF1192"/>
    <w:rsid w:val="00DF1317"/>
    <w:rsid w:val="00DF17E0"/>
    <w:rsid w:val="00DF1C17"/>
    <w:rsid w:val="00DF2405"/>
    <w:rsid w:val="00DF2616"/>
    <w:rsid w:val="00DF2B54"/>
    <w:rsid w:val="00DF2C95"/>
    <w:rsid w:val="00DF2E64"/>
    <w:rsid w:val="00DF2F5C"/>
    <w:rsid w:val="00DF2F83"/>
    <w:rsid w:val="00DF3077"/>
    <w:rsid w:val="00DF34F2"/>
    <w:rsid w:val="00DF3C03"/>
    <w:rsid w:val="00DF3E61"/>
    <w:rsid w:val="00DF3FE6"/>
    <w:rsid w:val="00DF4174"/>
    <w:rsid w:val="00DF4856"/>
    <w:rsid w:val="00DF4B57"/>
    <w:rsid w:val="00DF4C05"/>
    <w:rsid w:val="00DF4E2C"/>
    <w:rsid w:val="00DF50F9"/>
    <w:rsid w:val="00DF5115"/>
    <w:rsid w:val="00DF514B"/>
    <w:rsid w:val="00DF52FB"/>
    <w:rsid w:val="00DF544C"/>
    <w:rsid w:val="00DF5789"/>
    <w:rsid w:val="00DF59E2"/>
    <w:rsid w:val="00DF5FF2"/>
    <w:rsid w:val="00DF6770"/>
    <w:rsid w:val="00DF6842"/>
    <w:rsid w:val="00DF69F5"/>
    <w:rsid w:val="00DF70F3"/>
    <w:rsid w:val="00DF7122"/>
    <w:rsid w:val="00DF7D8D"/>
    <w:rsid w:val="00DF7DA2"/>
    <w:rsid w:val="00DF7F62"/>
    <w:rsid w:val="00E00035"/>
    <w:rsid w:val="00E002F8"/>
    <w:rsid w:val="00E0038A"/>
    <w:rsid w:val="00E00585"/>
    <w:rsid w:val="00E005AC"/>
    <w:rsid w:val="00E00739"/>
    <w:rsid w:val="00E00832"/>
    <w:rsid w:val="00E008CA"/>
    <w:rsid w:val="00E0136E"/>
    <w:rsid w:val="00E0137B"/>
    <w:rsid w:val="00E01440"/>
    <w:rsid w:val="00E014EA"/>
    <w:rsid w:val="00E01690"/>
    <w:rsid w:val="00E01763"/>
    <w:rsid w:val="00E019E4"/>
    <w:rsid w:val="00E01A57"/>
    <w:rsid w:val="00E01D46"/>
    <w:rsid w:val="00E01F65"/>
    <w:rsid w:val="00E020FC"/>
    <w:rsid w:val="00E025C1"/>
    <w:rsid w:val="00E027C1"/>
    <w:rsid w:val="00E029E7"/>
    <w:rsid w:val="00E02E76"/>
    <w:rsid w:val="00E031E7"/>
    <w:rsid w:val="00E04405"/>
    <w:rsid w:val="00E0472D"/>
    <w:rsid w:val="00E04895"/>
    <w:rsid w:val="00E04B55"/>
    <w:rsid w:val="00E04C54"/>
    <w:rsid w:val="00E04C66"/>
    <w:rsid w:val="00E051DC"/>
    <w:rsid w:val="00E05775"/>
    <w:rsid w:val="00E057DD"/>
    <w:rsid w:val="00E057F2"/>
    <w:rsid w:val="00E05952"/>
    <w:rsid w:val="00E05985"/>
    <w:rsid w:val="00E05B32"/>
    <w:rsid w:val="00E05E83"/>
    <w:rsid w:val="00E0618A"/>
    <w:rsid w:val="00E06701"/>
    <w:rsid w:val="00E06738"/>
    <w:rsid w:val="00E067CB"/>
    <w:rsid w:val="00E06AA9"/>
    <w:rsid w:val="00E07123"/>
    <w:rsid w:val="00E071C9"/>
    <w:rsid w:val="00E071E0"/>
    <w:rsid w:val="00E072D2"/>
    <w:rsid w:val="00E074A6"/>
    <w:rsid w:val="00E0751B"/>
    <w:rsid w:val="00E076E4"/>
    <w:rsid w:val="00E07A23"/>
    <w:rsid w:val="00E07B0D"/>
    <w:rsid w:val="00E07CFF"/>
    <w:rsid w:val="00E07F18"/>
    <w:rsid w:val="00E103F0"/>
    <w:rsid w:val="00E10885"/>
    <w:rsid w:val="00E10AB5"/>
    <w:rsid w:val="00E10B85"/>
    <w:rsid w:val="00E10CCC"/>
    <w:rsid w:val="00E10F78"/>
    <w:rsid w:val="00E10FB1"/>
    <w:rsid w:val="00E1123B"/>
    <w:rsid w:val="00E1163B"/>
    <w:rsid w:val="00E11908"/>
    <w:rsid w:val="00E123B5"/>
    <w:rsid w:val="00E12719"/>
    <w:rsid w:val="00E1280E"/>
    <w:rsid w:val="00E12BDA"/>
    <w:rsid w:val="00E12D64"/>
    <w:rsid w:val="00E12DAB"/>
    <w:rsid w:val="00E12FA3"/>
    <w:rsid w:val="00E12FC2"/>
    <w:rsid w:val="00E134DF"/>
    <w:rsid w:val="00E13744"/>
    <w:rsid w:val="00E13B7B"/>
    <w:rsid w:val="00E13C07"/>
    <w:rsid w:val="00E13E2C"/>
    <w:rsid w:val="00E1423D"/>
    <w:rsid w:val="00E1436D"/>
    <w:rsid w:val="00E144F4"/>
    <w:rsid w:val="00E145BA"/>
    <w:rsid w:val="00E1470D"/>
    <w:rsid w:val="00E148D3"/>
    <w:rsid w:val="00E149FE"/>
    <w:rsid w:val="00E14AFB"/>
    <w:rsid w:val="00E1505C"/>
    <w:rsid w:val="00E15153"/>
    <w:rsid w:val="00E151BB"/>
    <w:rsid w:val="00E151FF"/>
    <w:rsid w:val="00E15412"/>
    <w:rsid w:val="00E155D2"/>
    <w:rsid w:val="00E1578E"/>
    <w:rsid w:val="00E15A30"/>
    <w:rsid w:val="00E15E1E"/>
    <w:rsid w:val="00E15E43"/>
    <w:rsid w:val="00E15FA7"/>
    <w:rsid w:val="00E161E9"/>
    <w:rsid w:val="00E1695C"/>
    <w:rsid w:val="00E16E55"/>
    <w:rsid w:val="00E17171"/>
    <w:rsid w:val="00E1728C"/>
    <w:rsid w:val="00E17379"/>
    <w:rsid w:val="00E1744F"/>
    <w:rsid w:val="00E1787F"/>
    <w:rsid w:val="00E17BB8"/>
    <w:rsid w:val="00E17D2A"/>
    <w:rsid w:val="00E20319"/>
    <w:rsid w:val="00E203BE"/>
    <w:rsid w:val="00E20441"/>
    <w:rsid w:val="00E209F8"/>
    <w:rsid w:val="00E20FC7"/>
    <w:rsid w:val="00E20FE6"/>
    <w:rsid w:val="00E210AC"/>
    <w:rsid w:val="00E21187"/>
    <w:rsid w:val="00E216C1"/>
    <w:rsid w:val="00E21992"/>
    <w:rsid w:val="00E21A87"/>
    <w:rsid w:val="00E21D96"/>
    <w:rsid w:val="00E21F06"/>
    <w:rsid w:val="00E220B9"/>
    <w:rsid w:val="00E22B4C"/>
    <w:rsid w:val="00E22BE8"/>
    <w:rsid w:val="00E233A5"/>
    <w:rsid w:val="00E236C1"/>
    <w:rsid w:val="00E23726"/>
    <w:rsid w:val="00E23B7D"/>
    <w:rsid w:val="00E23FEE"/>
    <w:rsid w:val="00E2415C"/>
    <w:rsid w:val="00E2415D"/>
    <w:rsid w:val="00E24330"/>
    <w:rsid w:val="00E2439B"/>
    <w:rsid w:val="00E24942"/>
    <w:rsid w:val="00E25048"/>
    <w:rsid w:val="00E250AB"/>
    <w:rsid w:val="00E250D5"/>
    <w:rsid w:val="00E251A4"/>
    <w:rsid w:val="00E25807"/>
    <w:rsid w:val="00E259E6"/>
    <w:rsid w:val="00E25C6D"/>
    <w:rsid w:val="00E25DCC"/>
    <w:rsid w:val="00E25F3C"/>
    <w:rsid w:val="00E2602B"/>
    <w:rsid w:val="00E260BE"/>
    <w:rsid w:val="00E26239"/>
    <w:rsid w:val="00E263D6"/>
    <w:rsid w:val="00E26491"/>
    <w:rsid w:val="00E266BD"/>
    <w:rsid w:val="00E269A9"/>
    <w:rsid w:val="00E27695"/>
    <w:rsid w:val="00E27731"/>
    <w:rsid w:val="00E278DB"/>
    <w:rsid w:val="00E27D2E"/>
    <w:rsid w:val="00E27E91"/>
    <w:rsid w:val="00E27FC7"/>
    <w:rsid w:val="00E30140"/>
    <w:rsid w:val="00E30184"/>
    <w:rsid w:val="00E30836"/>
    <w:rsid w:val="00E30B07"/>
    <w:rsid w:val="00E30C44"/>
    <w:rsid w:val="00E30CB3"/>
    <w:rsid w:val="00E30D13"/>
    <w:rsid w:val="00E30D90"/>
    <w:rsid w:val="00E311CF"/>
    <w:rsid w:val="00E312E0"/>
    <w:rsid w:val="00E313A3"/>
    <w:rsid w:val="00E3143D"/>
    <w:rsid w:val="00E31813"/>
    <w:rsid w:val="00E32164"/>
    <w:rsid w:val="00E322F7"/>
    <w:rsid w:val="00E325FA"/>
    <w:rsid w:val="00E3274F"/>
    <w:rsid w:val="00E328FE"/>
    <w:rsid w:val="00E32A55"/>
    <w:rsid w:val="00E32AB5"/>
    <w:rsid w:val="00E32ED6"/>
    <w:rsid w:val="00E3379A"/>
    <w:rsid w:val="00E337B0"/>
    <w:rsid w:val="00E33AFF"/>
    <w:rsid w:val="00E33B3B"/>
    <w:rsid w:val="00E33BB0"/>
    <w:rsid w:val="00E33D61"/>
    <w:rsid w:val="00E341D0"/>
    <w:rsid w:val="00E342BC"/>
    <w:rsid w:val="00E343ED"/>
    <w:rsid w:val="00E3442D"/>
    <w:rsid w:val="00E3456F"/>
    <w:rsid w:val="00E34B1A"/>
    <w:rsid w:val="00E3500A"/>
    <w:rsid w:val="00E35573"/>
    <w:rsid w:val="00E358EF"/>
    <w:rsid w:val="00E35909"/>
    <w:rsid w:val="00E35B99"/>
    <w:rsid w:val="00E35D98"/>
    <w:rsid w:val="00E35EA6"/>
    <w:rsid w:val="00E35F65"/>
    <w:rsid w:val="00E35F90"/>
    <w:rsid w:val="00E36303"/>
    <w:rsid w:val="00E3640D"/>
    <w:rsid w:val="00E3653E"/>
    <w:rsid w:val="00E365E9"/>
    <w:rsid w:val="00E36614"/>
    <w:rsid w:val="00E367DB"/>
    <w:rsid w:val="00E3696B"/>
    <w:rsid w:val="00E369E4"/>
    <w:rsid w:val="00E36B9E"/>
    <w:rsid w:val="00E36EE7"/>
    <w:rsid w:val="00E3717B"/>
    <w:rsid w:val="00E37769"/>
    <w:rsid w:val="00E3778D"/>
    <w:rsid w:val="00E379A0"/>
    <w:rsid w:val="00E379BD"/>
    <w:rsid w:val="00E37B9D"/>
    <w:rsid w:val="00E37C11"/>
    <w:rsid w:val="00E40813"/>
    <w:rsid w:val="00E40943"/>
    <w:rsid w:val="00E40DD5"/>
    <w:rsid w:val="00E40F0B"/>
    <w:rsid w:val="00E4118B"/>
    <w:rsid w:val="00E411AB"/>
    <w:rsid w:val="00E4134D"/>
    <w:rsid w:val="00E418D3"/>
    <w:rsid w:val="00E41B1F"/>
    <w:rsid w:val="00E41E73"/>
    <w:rsid w:val="00E420CD"/>
    <w:rsid w:val="00E4235C"/>
    <w:rsid w:val="00E427DF"/>
    <w:rsid w:val="00E42B88"/>
    <w:rsid w:val="00E42CE8"/>
    <w:rsid w:val="00E43304"/>
    <w:rsid w:val="00E43344"/>
    <w:rsid w:val="00E4398D"/>
    <w:rsid w:val="00E43AF3"/>
    <w:rsid w:val="00E442CD"/>
    <w:rsid w:val="00E4432B"/>
    <w:rsid w:val="00E448BE"/>
    <w:rsid w:val="00E448F7"/>
    <w:rsid w:val="00E4491D"/>
    <w:rsid w:val="00E44990"/>
    <w:rsid w:val="00E44A06"/>
    <w:rsid w:val="00E45094"/>
    <w:rsid w:val="00E454D7"/>
    <w:rsid w:val="00E45738"/>
    <w:rsid w:val="00E457A3"/>
    <w:rsid w:val="00E45937"/>
    <w:rsid w:val="00E45D31"/>
    <w:rsid w:val="00E45E18"/>
    <w:rsid w:val="00E45FAF"/>
    <w:rsid w:val="00E4637C"/>
    <w:rsid w:val="00E464A5"/>
    <w:rsid w:val="00E467FF"/>
    <w:rsid w:val="00E46838"/>
    <w:rsid w:val="00E46996"/>
    <w:rsid w:val="00E46FB0"/>
    <w:rsid w:val="00E470BB"/>
    <w:rsid w:val="00E476D0"/>
    <w:rsid w:val="00E47915"/>
    <w:rsid w:val="00E47D5D"/>
    <w:rsid w:val="00E50481"/>
    <w:rsid w:val="00E50729"/>
    <w:rsid w:val="00E50E00"/>
    <w:rsid w:val="00E51393"/>
    <w:rsid w:val="00E513E6"/>
    <w:rsid w:val="00E5167A"/>
    <w:rsid w:val="00E51A40"/>
    <w:rsid w:val="00E51C32"/>
    <w:rsid w:val="00E51E59"/>
    <w:rsid w:val="00E5271B"/>
    <w:rsid w:val="00E52BB3"/>
    <w:rsid w:val="00E52BB9"/>
    <w:rsid w:val="00E52CCC"/>
    <w:rsid w:val="00E52DCB"/>
    <w:rsid w:val="00E536EE"/>
    <w:rsid w:val="00E5371F"/>
    <w:rsid w:val="00E53783"/>
    <w:rsid w:val="00E5383C"/>
    <w:rsid w:val="00E5399D"/>
    <w:rsid w:val="00E53A43"/>
    <w:rsid w:val="00E53FCD"/>
    <w:rsid w:val="00E53FF6"/>
    <w:rsid w:val="00E5435C"/>
    <w:rsid w:val="00E5438A"/>
    <w:rsid w:val="00E5450E"/>
    <w:rsid w:val="00E54F49"/>
    <w:rsid w:val="00E55718"/>
    <w:rsid w:val="00E562BA"/>
    <w:rsid w:val="00E56479"/>
    <w:rsid w:val="00E564FD"/>
    <w:rsid w:val="00E56645"/>
    <w:rsid w:val="00E567BF"/>
    <w:rsid w:val="00E567CD"/>
    <w:rsid w:val="00E56B9C"/>
    <w:rsid w:val="00E56BA1"/>
    <w:rsid w:val="00E56F44"/>
    <w:rsid w:val="00E56FEE"/>
    <w:rsid w:val="00E5730E"/>
    <w:rsid w:val="00E5760C"/>
    <w:rsid w:val="00E57EC3"/>
    <w:rsid w:val="00E6002C"/>
    <w:rsid w:val="00E604C3"/>
    <w:rsid w:val="00E6063F"/>
    <w:rsid w:val="00E608AE"/>
    <w:rsid w:val="00E60B8D"/>
    <w:rsid w:val="00E61023"/>
    <w:rsid w:val="00E61286"/>
    <w:rsid w:val="00E6130B"/>
    <w:rsid w:val="00E61867"/>
    <w:rsid w:val="00E61AE9"/>
    <w:rsid w:val="00E61C40"/>
    <w:rsid w:val="00E61E65"/>
    <w:rsid w:val="00E62168"/>
    <w:rsid w:val="00E62533"/>
    <w:rsid w:val="00E62560"/>
    <w:rsid w:val="00E625DA"/>
    <w:rsid w:val="00E62A2C"/>
    <w:rsid w:val="00E62DBD"/>
    <w:rsid w:val="00E62E94"/>
    <w:rsid w:val="00E62F8B"/>
    <w:rsid w:val="00E63384"/>
    <w:rsid w:val="00E63390"/>
    <w:rsid w:val="00E634DF"/>
    <w:rsid w:val="00E63960"/>
    <w:rsid w:val="00E63BE1"/>
    <w:rsid w:val="00E641C9"/>
    <w:rsid w:val="00E6444E"/>
    <w:rsid w:val="00E644AA"/>
    <w:rsid w:val="00E64ADF"/>
    <w:rsid w:val="00E64B8C"/>
    <w:rsid w:val="00E64D75"/>
    <w:rsid w:val="00E64EEF"/>
    <w:rsid w:val="00E64F8C"/>
    <w:rsid w:val="00E65223"/>
    <w:rsid w:val="00E65764"/>
    <w:rsid w:val="00E65A63"/>
    <w:rsid w:val="00E66038"/>
    <w:rsid w:val="00E66079"/>
    <w:rsid w:val="00E6625F"/>
    <w:rsid w:val="00E66307"/>
    <w:rsid w:val="00E6645F"/>
    <w:rsid w:val="00E66510"/>
    <w:rsid w:val="00E6672F"/>
    <w:rsid w:val="00E667F9"/>
    <w:rsid w:val="00E66B13"/>
    <w:rsid w:val="00E66CC9"/>
    <w:rsid w:val="00E66EBD"/>
    <w:rsid w:val="00E673A3"/>
    <w:rsid w:val="00E67421"/>
    <w:rsid w:val="00E6765D"/>
    <w:rsid w:val="00E679D1"/>
    <w:rsid w:val="00E67A14"/>
    <w:rsid w:val="00E67ADB"/>
    <w:rsid w:val="00E67DFE"/>
    <w:rsid w:val="00E70690"/>
    <w:rsid w:val="00E70791"/>
    <w:rsid w:val="00E708D5"/>
    <w:rsid w:val="00E70AC0"/>
    <w:rsid w:val="00E70B9E"/>
    <w:rsid w:val="00E70EC7"/>
    <w:rsid w:val="00E71044"/>
    <w:rsid w:val="00E710ED"/>
    <w:rsid w:val="00E713D0"/>
    <w:rsid w:val="00E714F1"/>
    <w:rsid w:val="00E7151D"/>
    <w:rsid w:val="00E71A7F"/>
    <w:rsid w:val="00E71EA9"/>
    <w:rsid w:val="00E720D7"/>
    <w:rsid w:val="00E727A0"/>
    <w:rsid w:val="00E727AD"/>
    <w:rsid w:val="00E72F5D"/>
    <w:rsid w:val="00E7316C"/>
    <w:rsid w:val="00E73324"/>
    <w:rsid w:val="00E73439"/>
    <w:rsid w:val="00E73577"/>
    <w:rsid w:val="00E735C4"/>
    <w:rsid w:val="00E73B82"/>
    <w:rsid w:val="00E73CE2"/>
    <w:rsid w:val="00E7407A"/>
    <w:rsid w:val="00E7420E"/>
    <w:rsid w:val="00E742F2"/>
    <w:rsid w:val="00E74301"/>
    <w:rsid w:val="00E744A5"/>
    <w:rsid w:val="00E74A86"/>
    <w:rsid w:val="00E74CFE"/>
    <w:rsid w:val="00E74DA2"/>
    <w:rsid w:val="00E74E86"/>
    <w:rsid w:val="00E7559F"/>
    <w:rsid w:val="00E75951"/>
    <w:rsid w:val="00E75987"/>
    <w:rsid w:val="00E75BCE"/>
    <w:rsid w:val="00E76379"/>
    <w:rsid w:val="00E76E13"/>
    <w:rsid w:val="00E77194"/>
    <w:rsid w:val="00E77248"/>
    <w:rsid w:val="00E802B8"/>
    <w:rsid w:val="00E803B8"/>
    <w:rsid w:val="00E80448"/>
    <w:rsid w:val="00E806C5"/>
    <w:rsid w:val="00E807A1"/>
    <w:rsid w:val="00E809A0"/>
    <w:rsid w:val="00E80A4F"/>
    <w:rsid w:val="00E80B0C"/>
    <w:rsid w:val="00E80FD1"/>
    <w:rsid w:val="00E817A3"/>
    <w:rsid w:val="00E81AF9"/>
    <w:rsid w:val="00E81AFB"/>
    <w:rsid w:val="00E82132"/>
    <w:rsid w:val="00E826C4"/>
    <w:rsid w:val="00E82AEC"/>
    <w:rsid w:val="00E82B86"/>
    <w:rsid w:val="00E82D89"/>
    <w:rsid w:val="00E8303A"/>
    <w:rsid w:val="00E83684"/>
    <w:rsid w:val="00E83BE5"/>
    <w:rsid w:val="00E83F76"/>
    <w:rsid w:val="00E84492"/>
    <w:rsid w:val="00E84564"/>
    <w:rsid w:val="00E84744"/>
    <w:rsid w:val="00E84A23"/>
    <w:rsid w:val="00E84BFD"/>
    <w:rsid w:val="00E84F5E"/>
    <w:rsid w:val="00E8532E"/>
    <w:rsid w:val="00E85789"/>
    <w:rsid w:val="00E85E76"/>
    <w:rsid w:val="00E86309"/>
    <w:rsid w:val="00E867F6"/>
    <w:rsid w:val="00E86A93"/>
    <w:rsid w:val="00E86D2A"/>
    <w:rsid w:val="00E872CA"/>
    <w:rsid w:val="00E872CC"/>
    <w:rsid w:val="00E87679"/>
    <w:rsid w:val="00E879DD"/>
    <w:rsid w:val="00E87E97"/>
    <w:rsid w:val="00E87F4C"/>
    <w:rsid w:val="00E90022"/>
    <w:rsid w:val="00E9029E"/>
    <w:rsid w:val="00E902F6"/>
    <w:rsid w:val="00E90396"/>
    <w:rsid w:val="00E90AAE"/>
    <w:rsid w:val="00E90AD2"/>
    <w:rsid w:val="00E90E9C"/>
    <w:rsid w:val="00E90EB9"/>
    <w:rsid w:val="00E916EA"/>
    <w:rsid w:val="00E9184D"/>
    <w:rsid w:val="00E91FB6"/>
    <w:rsid w:val="00E92021"/>
    <w:rsid w:val="00E92028"/>
    <w:rsid w:val="00E92030"/>
    <w:rsid w:val="00E92099"/>
    <w:rsid w:val="00E9215D"/>
    <w:rsid w:val="00E9281C"/>
    <w:rsid w:val="00E92B0A"/>
    <w:rsid w:val="00E92BAA"/>
    <w:rsid w:val="00E93400"/>
    <w:rsid w:val="00E93563"/>
    <w:rsid w:val="00E939EE"/>
    <w:rsid w:val="00E94389"/>
    <w:rsid w:val="00E94413"/>
    <w:rsid w:val="00E94791"/>
    <w:rsid w:val="00E94A4C"/>
    <w:rsid w:val="00E94C25"/>
    <w:rsid w:val="00E94DC0"/>
    <w:rsid w:val="00E94F55"/>
    <w:rsid w:val="00E94FEA"/>
    <w:rsid w:val="00E950FA"/>
    <w:rsid w:val="00E95553"/>
    <w:rsid w:val="00E958E2"/>
    <w:rsid w:val="00E95963"/>
    <w:rsid w:val="00E95980"/>
    <w:rsid w:val="00E95C46"/>
    <w:rsid w:val="00E95E3B"/>
    <w:rsid w:val="00E961BC"/>
    <w:rsid w:val="00E9646C"/>
    <w:rsid w:val="00E9647B"/>
    <w:rsid w:val="00E96627"/>
    <w:rsid w:val="00E96700"/>
    <w:rsid w:val="00E9672E"/>
    <w:rsid w:val="00E967A4"/>
    <w:rsid w:val="00E96ECB"/>
    <w:rsid w:val="00E971FE"/>
    <w:rsid w:val="00E973D0"/>
    <w:rsid w:val="00E976AE"/>
    <w:rsid w:val="00E978FF"/>
    <w:rsid w:val="00E97BB0"/>
    <w:rsid w:val="00E97DB7"/>
    <w:rsid w:val="00E97F60"/>
    <w:rsid w:val="00EA0059"/>
    <w:rsid w:val="00EA025B"/>
    <w:rsid w:val="00EA036C"/>
    <w:rsid w:val="00EA0AF2"/>
    <w:rsid w:val="00EA0DC6"/>
    <w:rsid w:val="00EA0DF6"/>
    <w:rsid w:val="00EA18E0"/>
    <w:rsid w:val="00EA1AD0"/>
    <w:rsid w:val="00EA1AD4"/>
    <w:rsid w:val="00EA27C5"/>
    <w:rsid w:val="00EA2809"/>
    <w:rsid w:val="00EA283C"/>
    <w:rsid w:val="00EA29DF"/>
    <w:rsid w:val="00EA2B5E"/>
    <w:rsid w:val="00EA2CB6"/>
    <w:rsid w:val="00EA2CC0"/>
    <w:rsid w:val="00EA2DEF"/>
    <w:rsid w:val="00EA3674"/>
    <w:rsid w:val="00EA3A6B"/>
    <w:rsid w:val="00EA4242"/>
    <w:rsid w:val="00EA4421"/>
    <w:rsid w:val="00EA44C9"/>
    <w:rsid w:val="00EA4965"/>
    <w:rsid w:val="00EA4D25"/>
    <w:rsid w:val="00EA4ECE"/>
    <w:rsid w:val="00EA4FBA"/>
    <w:rsid w:val="00EA5289"/>
    <w:rsid w:val="00EA571F"/>
    <w:rsid w:val="00EA5AC5"/>
    <w:rsid w:val="00EA5CDE"/>
    <w:rsid w:val="00EA6152"/>
    <w:rsid w:val="00EA6176"/>
    <w:rsid w:val="00EA62F2"/>
    <w:rsid w:val="00EA6374"/>
    <w:rsid w:val="00EA66AC"/>
    <w:rsid w:val="00EA6A5D"/>
    <w:rsid w:val="00EA6C02"/>
    <w:rsid w:val="00EA7057"/>
    <w:rsid w:val="00EA773B"/>
    <w:rsid w:val="00EA790E"/>
    <w:rsid w:val="00EB00AF"/>
    <w:rsid w:val="00EB0AFD"/>
    <w:rsid w:val="00EB0D14"/>
    <w:rsid w:val="00EB0DB2"/>
    <w:rsid w:val="00EB11C3"/>
    <w:rsid w:val="00EB128B"/>
    <w:rsid w:val="00EB1396"/>
    <w:rsid w:val="00EB1596"/>
    <w:rsid w:val="00EB159D"/>
    <w:rsid w:val="00EB15D4"/>
    <w:rsid w:val="00EB1C82"/>
    <w:rsid w:val="00EB1D84"/>
    <w:rsid w:val="00EB1F4E"/>
    <w:rsid w:val="00EB2A45"/>
    <w:rsid w:val="00EB3057"/>
    <w:rsid w:val="00EB3090"/>
    <w:rsid w:val="00EB309A"/>
    <w:rsid w:val="00EB32D1"/>
    <w:rsid w:val="00EB33AE"/>
    <w:rsid w:val="00EB35BF"/>
    <w:rsid w:val="00EB3848"/>
    <w:rsid w:val="00EB3EB4"/>
    <w:rsid w:val="00EB4604"/>
    <w:rsid w:val="00EB48B5"/>
    <w:rsid w:val="00EB4A11"/>
    <w:rsid w:val="00EB4E60"/>
    <w:rsid w:val="00EB4ED1"/>
    <w:rsid w:val="00EB4EEE"/>
    <w:rsid w:val="00EB4F65"/>
    <w:rsid w:val="00EB5153"/>
    <w:rsid w:val="00EB53D6"/>
    <w:rsid w:val="00EB5689"/>
    <w:rsid w:val="00EB571E"/>
    <w:rsid w:val="00EB5D60"/>
    <w:rsid w:val="00EB5ED0"/>
    <w:rsid w:val="00EB6402"/>
    <w:rsid w:val="00EB6479"/>
    <w:rsid w:val="00EB6506"/>
    <w:rsid w:val="00EB6B14"/>
    <w:rsid w:val="00EB6BDB"/>
    <w:rsid w:val="00EB6C14"/>
    <w:rsid w:val="00EB6C79"/>
    <w:rsid w:val="00EB6C85"/>
    <w:rsid w:val="00EB6CF3"/>
    <w:rsid w:val="00EB713B"/>
    <w:rsid w:val="00EB72A3"/>
    <w:rsid w:val="00EB7AAB"/>
    <w:rsid w:val="00EB7BE8"/>
    <w:rsid w:val="00EB7D89"/>
    <w:rsid w:val="00EC0114"/>
    <w:rsid w:val="00EC02EB"/>
    <w:rsid w:val="00EC0B22"/>
    <w:rsid w:val="00EC0C71"/>
    <w:rsid w:val="00EC0F2A"/>
    <w:rsid w:val="00EC12D7"/>
    <w:rsid w:val="00EC12EC"/>
    <w:rsid w:val="00EC1356"/>
    <w:rsid w:val="00EC1371"/>
    <w:rsid w:val="00EC170B"/>
    <w:rsid w:val="00EC18C4"/>
    <w:rsid w:val="00EC1B10"/>
    <w:rsid w:val="00EC1B50"/>
    <w:rsid w:val="00EC1D51"/>
    <w:rsid w:val="00EC20A5"/>
    <w:rsid w:val="00EC2A1E"/>
    <w:rsid w:val="00EC2CAC"/>
    <w:rsid w:val="00EC2EE1"/>
    <w:rsid w:val="00EC2FE4"/>
    <w:rsid w:val="00EC316D"/>
    <w:rsid w:val="00EC355C"/>
    <w:rsid w:val="00EC359D"/>
    <w:rsid w:val="00EC38B3"/>
    <w:rsid w:val="00EC4250"/>
    <w:rsid w:val="00EC42A7"/>
    <w:rsid w:val="00EC4376"/>
    <w:rsid w:val="00EC467E"/>
    <w:rsid w:val="00EC50B8"/>
    <w:rsid w:val="00EC525D"/>
    <w:rsid w:val="00EC52D7"/>
    <w:rsid w:val="00EC53F5"/>
    <w:rsid w:val="00EC5719"/>
    <w:rsid w:val="00EC5983"/>
    <w:rsid w:val="00EC5E65"/>
    <w:rsid w:val="00EC6333"/>
    <w:rsid w:val="00EC6647"/>
    <w:rsid w:val="00EC6666"/>
    <w:rsid w:val="00EC6C39"/>
    <w:rsid w:val="00EC6DC5"/>
    <w:rsid w:val="00EC6E88"/>
    <w:rsid w:val="00EC70C9"/>
    <w:rsid w:val="00EC744A"/>
    <w:rsid w:val="00EC76BA"/>
    <w:rsid w:val="00EC7898"/>
    <w:rsid w:val="00EC7ADE"/>
    <w:rsid w:val="00ED024F"/>
    <w:rsid w:val="00ED08F6"/>
    <w:rsid w:val="00ED0A44"/>
    <w:rsid w:val="00ED0B76"/>
    <w:rsid w:val="00ED14D1"/>
    <w:rsid w:val="00ED1A93"/>
    <w:rsid w:val="00ED1B3F"/>
    <w:rsid w:val="00ED2279"/>
    <w:rsid w:val="00ED291E"/>
    <w:rsid w:val="00ED2A9A"/>
    <w:rsid w:val="00ED2D10"/>
    <w:rsid w:val="00ED2F68"/>
    <w:rsid w:val="00ED2FB7"/>
    <w:rsid w:val="00ED30A4"/>
    <w:rsid w:val="00ED31B4"/>
    <w:rsid w:val="00ED3574"/>
    <w:rsid w:val="00ED37E0"/>
    <w:rsid w:val="00ED3BCF"/>
    <w:rsid w:val="00ED3C1A"/>
    <w:rsid w:val="00ED3C3A"/>
    <w:rsid w:val="00ED3FC8"/>
    <w:rsid w:val="00ED3FF7"/>
    <w:rsid w:val="00ED4177"/>
    <w:rsid w:val="00ED48B0"/>
    <w:rsid w:val="00ED4A32"/>
    <w:rsid w:val="00ED5690"/>
    <w:rsid w:val="00ED5C95"/>
    <w:rsid w:val="00ED5DA7"/>
    <w:rsid w:val="00ED5EE7"/>
    <w:rsid w:val="00ED6039"/>
    <w:rsid w:val="00ED6154"/>
    <w:rsid w:val="00ED6176"/>
    <w:rsid w:val="00ED62EE"/>
    <w:rsid w:val="00ED6701"/>
    <w:rsid w:val="00ED6849"/>
    <w:rsid w:val="00ED6A42"/>
    <w:rsid w:val="00ED6FBD"/>
    <w:rsid w:val="00ED748E"/>
    <w:rsid w:val="00ED7953"/>
    <w:rsid w:val="00ED7C54"/>
    <w:rsid w:val="00ED7E81"/>
    <w:rsid w:val="00ED7F65"/>
    <w:rsid w:val="00EE04D7"/>
    <w:rsid w:val="00EE0616"/>
    <w:rsid w:val="00EE06D6"/>
    <w:rsid w:val="00EE0C7A"/>
    <w:rsid w:val="00EE10AC"/>
    <w:rsid w:val="00EE1BB4"/>
    <w:rsid w:val="00EE1C02"/>
    <w:rsid w:val="00EE1C7B"/>
    <w:rsid w:val="00EE1C88"/>
    <w:rsid w:val="00EE1D33"/>
    <w:rsid w:val="00EE251B"/>
    <w:rsid w:val="00EE2911"/>
    <w:rsid w:val="00EE33CC"/>
    <w:rsid w:val="00EE3832"/>
    <w:rsid w:val="00EE3B0A"/>
    <w:rsid w:val="00EE4241"/>
    <w:rsid w:val="00EE4410"/>
    <w:rsid w:val="00EE4543"/>
    <w:rsid w:val="00EE46DD"/>
    <w:rsid w:val="00EE4CE1"/>
    <w:rsid w:val="00EE4DFA"/>
    <w:rsid w:val="00EE4DFD"/>
    <w:rsid w:val="00EE4E2A"/>
    <w:rsid w:val="00EE5087"/>
    <w:rsid w:val="00EE5779"/>
    <w:rsid w:val="00EE57A4"/>
    <w:rsid w:val="00EE60CC"/>
    <w:rsid w:val="00EE618D"/>
    <w:rsid w:val="00EE6422"/>
    <w:rsid w:val="00EE685D"/>
    <w:rsid w:val="00EE6B9C"/>
    <w:rsid w:val="00EE6BE3"/>
    <w:rsid w:val="00EE6E65"/>
    <w:rsid w:val="00EE6FE3"/>
    <w:rsid w:val="00EE7314"/>
    <w:rsid w:val="00EE7343"/>
    <w:rsid w:val="00EE76A0"/>
    <w:rsid w:val="00EE7A03"/>
    <w:rsid w:val="00EE7A05"/>
    <w:rsid w:val="00EE7D7C"/>
    <w:rsid w:val="00EF00F0"/>
    <w:rsid w:val="00EF011B"/>
    <w:rsid w:val="00EF0320"/>
    <w:rsid w:val="00EF03EB"/>
    <w:rsid w:val="00EF0455"/>
    <w:rsid w:val="00EF08FD"/>
    <w:rsid w:val="00EF0B8B"/>
    <w:rsid w:val="00EF10DF"/>
    <w:rsid w:val="00EF13C0"/>
    <w:rsid w:val="00EF1464"/>
    <w:rsid w:val="00EF19FB"/>
    <w:rsid w:val="00EF1A5D"/>
    <w:rsid w:val="00EF1CEB"/>
    <w:rsid w:val="00EF1DE4"/>
    <w:rsid w:val="00EF1F19"/>
    <w:rsid w:val="00EF2190"/>
    <w:rsid w:val="00EF2733"/>
    <w:rsid w:val="00EF2A0C"/>
    <w:rsid w:val="00EF2BAB"/>
    <w:rsid w:val="00EF2BF9"/>
    <w:rsid w:val="00EF30B0"/>
    <w:rsid w:val="00EF326D"/>
    <w:rsid w:val="00EF36C6"/>
    <w:rsid w:val="00EF38B0"/>
    <w:rsid w:val="00EF3DE8"/>
    <w:rsid w:val="00EF3F81"/>
    <w:rsid w:val="00EF3FA2"/>
    <w:rsid w:val="00EF4850"/>
    <w:rsid w:val="00EF48E2"/>
    <w:rsid w:val="00EF492E"/>
    <w:rsid w:val="00EF4979"/>
    <w:rsid w:val="00EF4F4D"/>
    <w:rsid w:val="00EF513F"/>
    <w:rsid w:val="00EF52F0"/>
    <w:rsid w:val="00EF56B4"/>
    <w:rsid w:val="00EF59EB"/>
    <w:rsid w:val="00EF5F4A"/>
    <w:rsid w:val="00EF5FBB"/>
    <w:rsid w:val="00EF5FF3"/>
    <w:rsid w:val="00EF60D1"/>
    <w:rsid w:val="00EF618B"/>
    <w:rsid w:val="00EF643E"/>
    <w:rsid w:val="00EF6731"/>
    <w:rsid w:val="00EF6826"/>
    <w:rsid w:val="00EF731E"/>
    <w:rsid w:val="00EF7551"/>
    <w:rsid w:val="00EF7846"/>
    <w:rsid w:val="00EF7923"/>
    <w:rsid w:val="00F0017C"/>
    <w:rsid w:val="00F00183"/>
    <w:rsid w:val="00F0027A"/>
    <w:rsid w:val="00F002ED"/>
    <w:rsid w:val="00F0042A"/>
    <w:rsid w:val="00F00776"/>
    <w:rsid w:val="00F007D0"/>
    <w:rsid w:val="00F00A01"/>
    <w:rsid w:val="00F00A09"/>
    <w:rsid w:val="00F00B58"/>
    <w:rsid w:val="00F01010"/>
    <w:rsid w:val="00F01235"/>
    <w:rsid w:val="00F01484"/>
    <w:rsid w:val="00F016D8"/>
    <w:rsid w:val="00F016FB"/>
    <w:rsid w:val="00F0184F"/>
    <w:rsid w:val="00F019D5"/>
    <w:rsid w:val="00F01A0E"/>
    <w:rsid w:val="00F01B37"/>
    <w:rsid w:val="00F01B6A"/>
    <w:rsid w:val="00F01EAA"/>
    <w:rsid w:val="00F01EB5"/>
    <w:rsid w:val="00F02074"/>
    <w:rsid w:val="00F0252B"/>
    <w:rsid w:val="00F03E2F"/>
    <w:rsid w:val="00F0401D"/>
    <w:rsid w:val="00F0416D"/>
    <w:rsid w:val="00F047D3"/>
    <w:rsid w:val="00F048E2"/>
    <w:rsid w:val="00F04AC0"/>
    <w:rsid w:val="00F04CCF"/>
    <w:rsid w:val="00F051BF"/>
    <w:rsid w:val="00F0562A"/>
    <w:rsid w:val="00F056C8"/>
    <w:rsid w:val="00F057D4"/>
    <w:rsid w:val="00F05884"/>
    <w:rsid w:val="00F05E31"/>
    <w:rsid w:val="00F061B7"/>
    <w:rsid w:val="00F0626D"/>
    <w:rsid w:val="00F0639B"/>
    <w:rsid w:val="00F067BA"/>
    <w:rsid w:val="00F06BB3"/>
    <w:rsid w:val="00F06E18"/>
    <w:rsid w:val="00F07368"/>
    <w:rsid w:val="00F078E6"/>
    <w:rsid w:val="00F07C22"/>
    <w:rsid w:val="00F07C6C"/>
    <w:rsid w:val="00F07D72"/>
    <w:rsid w:val="00F10062"/>
    <w:rsid w:val="00F10875"/>
    <w:rsid w:val="00F108CF"/>
    <w:rsid w:val="00F10A40"/>
    <w:rsid w:val="00F10BA3"/>
    <w:rsid w:val="00F10DCC"/>
    <w:rsid w:val="00F11151"/>
    <w:rsid w:val="00F1128D"/>
    <w:rsid w:val="00F113F4"/>
    <w:rsid w:val="00F116EA"/>
    <w:rsid w:val="00F117C7"/>
    <w:rsid w:val="00F11BFE"/>
    <w:rsid w:val="00F11CBF"/>
    <w:rsid w:val="00F12027"/>
    <w:rsid w:val="00F126FE"/>
    <w:rsid w:val="00F12702"/>
    <w:rsid w:val="00F12A13"/>
    <w:rsid w:val="00F12DAB"/>
    <w:rsid w:val="00F12DFF"/>
    <w:rsid w:val="00F13010"/>
    <w:rsid w:val="00F130DA"/>
    <w:rsid w:val="00F1337B"/>
    <w:rsid w:val="00F133D1"/>
    <w:rsid w:val="00F134F1"/>
    <w:rsid w:val="00F139F6"/>
    <w:rsid w:val="00F13C16"/>
    <w:rsid w:val="00F13E03"/>
    <w:rsid w:val="00F13EBE"/>
    <w:rsid w:val="00F1418F"/>
    <w:rsid w:val="00F147A7"/>
    <w:rsid w:val="00F14D90"/>
    <w:rsid w:val="00F14F26"/>
    <w:rsid w:val="00F155C4"/>
    <w:rsid w:val="00F15616"/>
    <w:rsid w:val="00F1591E"/>
    <w:rsid w:val="00F15C86"/>
    <w:rsid w:val="00F15CBD"/>
    <w:rsid w:val="00F15CE9"/>
    <w:rsid w:val="00F161F9"/>
    <w:rsid w:val="00F16217"/>
    <w:rsid w:val="00F16589"/>
    <w:rsid w:val="00F16EAC"/>
    <w:rsid w:val="00F16EF4"/>
    <w:rsid w:val="00F16F5E"/>
    <w:rsid w:val="00F16FD1"/>
    <w:rsid w:val="00F16FD2"/>
    <w:rsid w:val="00F16FDF"/>
    <w:rsid w:val="00F170DA"/>
    <w:rsid w:val="00F17D50"/>
    <w:rsid w:val="00F20370"/>
    <w:rsid w:val="00F21023"/>
    <w:rsid w:val="00F2103E"/>
    <w:rsid w:val="00F21042"/>
    <w:rsid w:val="00F210E4"/>
    <w:rsid w:val="00F21284"/>
    <w:rsid w:val="00F21394"/>
    <w:rsid w:val="00F213DC"/>
    <w:rsid w:val="00F21597"/>
    <w:rsid w:val="00F21706"/>
    <w:rsid w:val="00F2183F"/>
    <w:rsid w:val="00F21B60"/>
    <w:rsid w:val="00F220B2"/>
    <w:rsid w:val="00F2265C"/>
    <w:rsid w:val="00F2276E"/>
    <w:rsid w:val="00F22955"/>
    <w:rsid w:val="00F22B91"/>
    <w:rsid w:val="00F22C0F"/>
    <w:rsid w:val="00F22DC0"/>
    <w:rsid w:val="00F230DB"/>
    <w:rsid w:val="00F232B5"/>
    <w:rsid w:val="00F23349"/>
    <w:rsid w:val="00F2354F"/>
    <w:rsid w:val="00F23686"/>
    <w:rsid w:val="00F2386B"/>
    <w:rsid w:val="00F23ADE"/>
    <w:rsid w:val="00F23D87"/>
    <w:rsid w:val="00F251E5"/>
    <w:rsid w:val="00F26062"/>
    <w:rsid w:val="00F2627A"/>
    <w:rsid w:val="00F26282"/>
    <w:rsid w:val="00F26373"/>
    <w:rsid w:val="00F26399"/>
    <w:rsid w:val="00F26462"/>
    <w:rsid w:val="00F264BB"/>
    <w:rsid w:val="00F264E3"/>
    <w:rsid w:val="00F26814"/>
    <w:rsid w:val="00F26DCD"/>
    <w:rsid w:val="00F26DEF"/>
    <w:rsid w:val="00F27241"/>
    <w:rsid w:val="00F273CD"/>
    <w:rsid w:val="00F27425"/>
    <w:rsid w:val="00F27814"/>
    <w:rsid w:val="00F279AD"/>
    <w:rsid w:val="00F279BF"/>
    <w:rsid w:val="00F27AC5"/>
    <w:rsid w:val="00F30298"/>
    <w:rsid w:val="00F3063A"/>
    <w:rsid w:val="00F30846"/>
    <w:rsid w:val="00F3091E"/>
    <w:rsid w:val="00F30FF7"/>
    <w:rsid w:val="00F312FB"/>
    <w:rsid w:val="00F314B9"/>
    <w:rsid w:val="00F31518"/>
    <w:rsid w:val="00F31784"/>
    <w:rsid w:val="00F317C4"/>
    <w:rsid w:val="00F317D1"/>
    <w:rsid w:val="00F31887"/>
    <w:rsid w:val="00F31970"/>
    <w:rsid w:val="00F31A70"/>
    <w:rsid w:val="00F3223B"/>
    <w:rsid w:val="00F323BD"/>
    <w:rsid w:val="00F32922"/>
    <w:rsid w:val="00F32D0F"/>
    <w:rsid w:val="00F32FEB"/>
    <w:rsid w:val="00F33137"/>
    <w:rsid w:val="00F33613"/>
    <w:rsid w:val="00F338C8"/>
    <w:rsid w:val="00F3393F"/>
    <w:rsid w:val="00F33F62"/>
    <w:rsid w:val="00F34191"/>
    <w:rsid w:val="00F34214"/>
    <w:rsid w:val="00F34871"/>
    <w:rsid w:val="00F348F2"/>
    <w:rsid w:val="00F34D09"/>
    <w:rsid w:val="00F34EC5"/>
    <w:rsid w:val="00F34F36"/>
    <w:rsid w:val="00F35349"/>
    <w:rsid w:val="00F356B4"/>
    <w:rsid w:val="00F356E7"/>
    <w:rsid w:val="00F358AF"/>
    <w:rsid w:val="00F35B81"/>
    <w:rsid w:val="00F35EE5"/>
    <w:rsid w:val="00F35FA5"/>
    <w:rsid w:val="00F35FC9"/>
    <w:rsid w:val="00F3639F"/>
    <w:rsid w:val="00F363C9"/>
    <w:rsid w:val="00F36493"/>
    <w:rsid w:val="00F364BA"/>
    <w:rsid w:val="00F365C5"/>
    <w:rsid w:val="00F367A1"/>
    <w:rsid w:val="00F36BEF"/>
    <w:rsid w:val="00F375C3"/>
    <w:rsid w:val="00F376D9"/>
    <w:rsid w:val="00F40790"/>
    <w:rsid w:val="00F41575"/>
    <w:rsid w:val="00F415AB"/>
    <w:rsid w:val="00F4161C"/>
    <w:rsid w:val="00F41AFC"/>
    <w:rsid w:val="00F41DA8"/>
    <w:rsid w:val="00F41E81"/>
    <w:rsid w:val="00F41EB4"/>
    <w:rsid w:val="00F42047"/>
    <w:rsid w:val="00F42163"/>
    <w:rsid w:val="00F42170"/>
    <w:rsid w:val="00F42651"/>
    <w:rsid w:val="00F42811"/>
    <w:rsid w:val="00F42856"/>
    <w:rsid w:val="00F43057"/>
    <w:rsid w:val="00F43068"/>
    <w:rsid w:val="00F43290"/>
    <w:rsid w:val="00F4348B"/>
    <w:rsid w:val="00F43697"/>
    <w:rsid w:val="00F436D7"/>
    <w:rsid w:val="00F43A8F"/>
    <w:rsid w:val="00F43AB2"/>
    <w:rsid w:val="00F43C79"/>
    <w:rsid w:val="00F443AC"/>
    <w:rsid w:val="00F449BC"/>
    <w:rsid w:val="00F44B9B"/>
    <w:rsid w:val="00F44F62"/>
    <w:rsid w:val="00F44FD0"/>
    <w:rsid w:val="00F451AF"/>
    <w:rsid w:val="00F45944"/>
    <w:rsid w:val="00F45BE3"/>
    <w:rsid w:val="00F45BF5"/>
    <w:rsid w:val="00F463BF"/>
    <w:rsid w:val="00F463D7"/>
    <w:rsid w:val="00F46482"/>
    <w:rsid w:val="00F47076"/>
    <w:rsid w:val="00F47531"/>
    <w:rsid w:val="00F4788C"/>
    <w:rsid w:val="00F47BF4"/>
    <w:rsid w:val="00F47E25"/>
    <w:rsid w:val="00F5037E"/>
    <w:rsid w:val="00F50719"/>
    <w:rsid w:val="00F50836"/>
    <w:rsid w:val="00F50DFC"/>
    <w:rsid w:val="00F51126"/>
    <w:rsid w:val="00F51257"/>
    <w:rsid w:val="00F51266"/>
    <w:rsid w:val="00F51273"/>
    <w:rsid w:val="00F514A5"/>
    <w:rsid w:val="00F5167C"/>
    <w:rsid w:val="00F517BC"/>
    <w:rsid w:val="00F5186C"/>
    <w:rsid w:val="00F51C72"/>
    <w:rsid w:val="00F51F7B"/>
    <w:rsid w:val="00F521B5"/>
    <w:rsid w:val="00F5249F"/>
    <w:rsid w:val="00F52664"/>
    <w:rsid w:val="00F52933"/>
    <w:rsid w:val="00F5294F"/>
    <w:rsid w:val="00F52B06"/>
    <w:rsid w:val="00F53787"/>
    <w:rsid w:val="00F5382F"/>
    <w:rsid w:val="00F53AAB"/>
    <w:rsid w:val="00F53E43"/>
    <w:rsid w:val="00F545B2"/>
    <w:rsid w:val="00F54D8D"/>
    <w:rsid w:val="00F54E35"/>
    <w:rsid w:val="00F55305"/>
    <w:rsid w:val="00F55C57"/>
    <w:rsid w:val="00F56DF9"/>
    <w:rsid w:val="00F5721C"/>
    <w:rsid w:val="00F5732B"/>
    <w:rsid w:val="00F57781"/>
    <w:rsid w:val="00F57B0B"/>
    <w:rsid w:val="00F57DA0"/>
    <w:rsid w:val="00F57F41"/>
    <w:rsid w:val="00F60001"/>
    <w:rsid w:val="00F605BC"/>
    <w:rsid w:val="00F60D83"/>
    <w:rsid w:val="00F60F90"/>
    <w:rsid w:val="00F61057"/>
    <w:rsid w:val="00F611BA"/>
    <w:rsid w:val="00F61584"/>
    <w:rsid w:val="00F61A0E"/>
    <w:rsid w:val="00F61B1A"/>
    <w:rsid w:val="00F6249B"/>
    <w:rsid w:val="00F6251C"/>
    <w:rsid w:val="00F62675"/>
    <w:rsid w:val="00F62A5B"/>
    <w:rsid w:val="00F62F4D"/>
    <w:rsid w:val="00F6358A"/>
    <w:rsid w:val="00F6363A"/>
    <w:rsid w:val="00F6375F"/>
    <w:rsid w:val="00F63988"/>
    <w:rsid w:val="00F63AC5"/>
    <w:rsid w:val="00F63D53"/>
    <w:rsid w:val="00F63ED9"/>
    <w:rsid w:val="00F64412"/>
    <w:rsid w:val="00F64C87"/>
    <w:rsid w:val="00F64D31"/>
    <w:rsid w:val="00F64EAA"/>
    <w:rsid w:val="00F651D7"/>
    <w:rsid w:val="00F653E9"/>
    <w:rsid w:val="00F655CC"/>
    <w:rsid w:val="00F656E8"/>
    <w:rsid w:val="00F65737"/>
    <w:rsid w:val="00F6577C"/>
    <w:rsid w:val="00F65943"/>
    <w:rsid w:val="00F65962"/>
    <w:rsid w:val="00F65A4F"/>
    <w:rsid w:val="00F65AAE"/>
    <w:rsid w:val="00F65B53"/>
    <w:rsid w:val="00F65C24"/>
    <w:rsid w:val="00F662EA"/>
    <w:rsid w:val="00F66836"/>
    <w:rsid w:val="00F66997"/>
    <w:rsid w:val="00F66D46"/>
    <w:rsid w:val="00F66DFA"/>
    <w:rsid w:val="00F670A7"/>
    <w:rsid w:val="00F6751F"/>
    <w:rsid w:val="00F676F9"/>
    <w:rsid w:val="00F67727"/>
    <w:rsid w:val="00F677C6"/>
    <w:rsid w:val="00F67821"/>
    <w:rsid w:val="00F67F68"/>
    <w:rsid w:val="00F7016F"/>
    <w:rsid w:val="00F702CC"/>
    <w:rsid w:val="00F70871"/>
    <w:rsid w:val="00F708AB"/>
    <w:rsid w:val="00F70AEB"/>
    <w:rsid w:val="00F70B85"/>
    <w:rsid w:val="00F70BA7"/>
    <w:rsid w:val="00F70C00"/>
    <w:rsid w:val="00F70D16"/>
    <w:rsid w:val="00F71138"/>
    <w:rsid w:val="00F7133C"/>
    <w:rsid w:val="00F714F4"/>
    <w:rsid w:val="00F71B2A"/>
    <w:rsid w:val="00F71B41"/>
    <w:rsid w:val="00F71F4F"/>
    <w:rsid w:val="00F7218B"/>
    <w:rsid w:val="00F7325D"/>
    <w:rsid w:val="00F73629"/>
    <w:rsid w:val="00F73BC6"/>
    <w:rsid w:val="00F73C5F"/>
    <w:rsid w:val="00F73D19"/>
    <w:rsid w:val="00F73DA4"/>
    <w:rsid w:val="00F7417B"/>
    <w:rsid w:val="00F7437C"/>
    <w:rsid w:val="00F743C1"/>
    <w:rsid w:val="00F749F8"/>
    <w:rsid w:val="00F74FB0"/>
    <w:rsid w:val="00F75786"/>
    <w:rsid w:val="00F76184"/>
    <w:rsid w:val="00F76425"/>
    <w:rsid w:val="00F76707"/>
    <w:rsid w:val="00F768A0"/>
    <w:rsid w:val="00F76B0C"/>
    <w:rsid w:val="00F77249"/>
    <w:rsid w:val="00F7741E"/>
    <w:rsid w:val="00F77548"/>
    <w:rsid w:val="00F7765C"/>
    <w:rsid w:val="00F779F6"/>
    <w:rsid w:val="00F77E38"/>
    <w:rsid w:val="00F77F1C"/>
    <w:rsid w:val="00F80440"/>
    <w:rsid w:val="00F80695"/>
    <w:rsid w:val="00F80CD1"/>
    <w:rsid w:val="00F8172B"/>
    <w:rsid w:val="00F81799"/>
    <w:rsid w:val="00F8190F"/>
    <w:rsid w:val="00F81B65"/>
    <w:rsid w:val="00F81C54"/>
    <w:rsid w:val="00F81DC5"/>
    <w:rsid w:val="00F822BF"/>
    <w:rsid w:val="00F8259D"/>
    <w:rsid w:val="00F825B3"/>
    <w:rsid w:val="00F825E4"/>
    <w:rsid w:val="00F82650"/>
    <w:rsid w:val="00F82AB2"/>
    <w:rsid w:val="00F82DCD"/>
    <w:rsid w:val="00F830B9"/>
    <w:rsid w:val="00F830D3"/>
    <w:rsid w:val="00F835BB"/>
    <w:rsid w:val="00F8376B"/>
    <w:rsid w:val="00F837EB"/>
    <w:rsid w:val="00F83B2A"/>
    <w:rsid w:val="00F83C5E"/>
    <w:rsid w:val="00F83D2C"/>
    <w:rsid w:val="00F83D6F"/>
    <w:rsid w:val="00F8416F"/>
    <w:rsid w:val="00F844F2"/>
    <w:rsid w:val="00F845D3"/>
    <w:rsid w:val="00F84874"/>
    <w:rsid w:val="00F84895"/>
    <w:rsid w:val="00F84952"/>
    <w:rsid w:val="00F84D5C"/>
    <w:rsid w:val="00F8500D"/>
    <w:rsid w:val="00F85DBA"/>
    <w:rsid w:val="00F85F4F"/>
    <w:rsid w:val="00F862D9"/>
    <w:rsid w:val="00F865AC"/>
    <w:rsid w:val="00F86A26"/>
    <w:rsid w:val="00F86AB9"/>
    <w:rsid w:val="00F86AFE"/>
    <w:rsid w:val="00F872C7"/>
    <w:rsid w:val="00F8763E"/>
    <w:rsid w:val="00F87BED"/>
    <w:rsid w:val="00F87D1F"/>
    <w:rsid w:val="00F87EF1"/>
    <w:rsid w:val="00F87F13"/>
    <w:rsid w:val="00F87F4B"/>
    <w:rsid w:val="00F902B3"/>
    <w:rsid w:val="00F90429"/>
    <w:rsid w:val="00F90571"/>
    <w:rsid w:val="00F905B7"/>
    <w:rsid w:val="00F90D09"/>
    <w:rsid w:val="00F91159"/>
    <w:rsid w:val="00F91259"/>
    <w:rsid w:val="00F91418"/>
    <w:rsid w:val="00F91AD6"/>
    <w:rsid w:val="00F923D7"/>
    <w:rsid w:val="00F9253D"/>
    <w:rsid w:val="00F926A3"/>
    <w:rsid w:val="00F9272E"/>
    <w:rsid w:val="00F92D39"/>
    <w:rsid w:val="00F92DC5"/>
    <w:rsid w:val="00F92FD4"/>
    <w:rsid w:val="00F938CC"/>
    <w:rsid w:val="00F93C67"/>
    <w:rsid w:val="00F93FE3"/>
    <w:rsid w:val="00F94107"/>
    <w:rsid w:val="00F94126"/>
    <w:rsid w:val="00F942CF"/>
    <w:rsid w:val="00F94491"/>
    <w:rsid w:val="00F945E0"/>
    <w:rsid w:val="00F94750"/>
    <w:rsid w:val="00F9485F"/>
    <w:rsid w:val="00F94A31"/>
    <w:rsid w:val="00F94EFF"/>
    <w:rsid w:val="00F95826"/>
    <w:rsid w:val="00F9590D"/>
    <w:rsid w:val="00F95B18"/>
    <w:rsid w:val="00F960E3"/>
    <w:rsid w:val="00F96295"/>
    <w:rsid w:val="00F96AB9"/>
    <w:rsid w:val="00F96F04"/>
    <w:rsid w:val="00F9722A"/>
    <w:rsid w:val="00F978BC"/>
    <w:rsid w:val="00F97C75"/>
    <w:rsid w:val="00F97C82"/>
    <w:rsid w:val="00FA0381"/>
    <w:rsid w:val="00FA049A"/>
    <w:rsid w:val="00FA05D2"/>
    <w:rsid w:val="00FA0666"/>
    <w:rsid w:val="00FA09A0"/>
    <w:rsid w:val="00FA0BA4"/>
    <w:rsid w:val="00FA0EFA"/>
    <w:rsid w:val="00FA0F89"/>
    <w:rsid w:val="00FA0FAF"/>
    <w:rsid w:val="00FA1195"/>
    <w:rsid w:val="00FA1235"/>
    <w:rsid w:val="00FA12E8"/>
    <w:rsid w:val="00FA137F"/>
    <w:rsid w:val="00FA1646"/>
    <w:rsid w:val="00FA19B7"/>
    <w:rsid w:val="00FA1DE5"/>
    <w:rsid w:val="00FA211B"/>
    <w:rsid w:val="00FA21B4"/>
    <w:rsid w:val="00FA2372"/>
    <w:rsid w:val="00FA2A4C"/>
    <w:rsid w:val="00FA2AB6"/>
    <w:rsid w:val="00FA2E14"/>
    <w:rsid w:val="00FA2F54"/>
    <w:rsid w:val="00FA34FA"/>
    <w:rsid w:val="00FA3A1C"/>
    <w:rsid w:val="00FA3AB5"/>
    <w:rsid w:val="00FA3E3A"/>
    <w:rsid w:val="00FA3EA8"/>
    <w:rsid w:val="00FA3FDB"/>
    <w:rsid w:val="00FA40C1"/>
    <w:rsid w:val="00FA421B"/>
    <w:rsid w:val="00FA4224"/>
    <w:rsid w:val="00FA437A"/>
    <w:rsid w:val="00FA43C5"/>
    <w:rsid w:val="00FA43FA"/>
    <w:rsid w:val="00FA46A8"/>
    <w:rsid w:val="00FA4850"/>
    <w:rsid w:val="00FA4A2C"/>
    <w:rsid w:val="00FA4C0D"/>
    <w:rsid w:val="00FA51C8"/>
    <w:rsid w:val="00FA54F3"/>
    <w:rsid w:val="00FA5588"/>
    <w:rsid w:val="00FA57B1"/>
    <w:rsid w:val="00FA5B20"/>
    <w:rsid w:val="00FA5C9B"/>
    <w:rsid w:val="00FA62CB"/>
    <w:rsid w:val="00FA6512"/>
    <w:rsid w:val="00FA6A63"/>
    <w:rsid w:val="00FA6AC3"/>
    <w:rsid w:val="00FA6B49"/>
    <w:rsid w:val="00FA6C06"/>
    <w:rsid w:val="00FA6C89"/>
    <w:rsid w:val="00FA6E56"/>
    <w:rsid w:val="00FA716A"/>
    <w:rsid w:val="00FA7596"/>
    <w:rsid w:val="00FA762E"/>
    <w:rsid w:val="00FA7788"/>
    <w:rsid w:val="00FA7D2D"/>
    <w:rsid w:val="00FB02EF"/>
    <w:rsid w:val="00FB1111"/>
    <w:rsid w:val="00FB1113"/>
    <w:rsid w:val="00FB11C8"/>
    <w:rsid w:val="00FB12BA"/>
    <w:rsid w:val="00FB1798"/>
    <w:rsid w:val="00FB1A7C"/>
    <w:rsid w:val="00FB1B82"/>
    <w:rsid w:val="00FB2037"/>
    <w:rsid w:val="00FB21DE"/>
    <w:rsid w:val="00FB22A1"/>
    <w:rsid w:val="00FB2689"/>
    <w:rsid w:val="00FB2705"/>
    <w:rsid w:val="00FB281F"/>
    <w:rsid w:val="00FB2BC9"/>
    <w:rsid w:val="00FB2FC4"/>
    <w:rsid w:val="00FB3332"/>
    <w:rsid w:val="00FB3407"/>
    <w:rsid w:val="00FB352E"/>
    <w:rsid w:val="00FB3549"/>
    <w:rsid w:val="00FB3BA0"/>
    <w:rsid w:val="00FB3D54"/>
    <w:rsid w:val="00FB3ECD"/>
    <w:rsid w:val="00FB47A7"/>
    <w:rsid w:val="00FB4CF9"/>
    <w:rsid w:val="00FB4FD6"/>
    <w:rsid w:val="00FB501B"/>
    <w:rsid w:val="00FB54D0"/>
    <w:rsid w:val="00FB56ED"/>
    <w:rsid w:val="00FB5D07"/>
    <w:rsid w:val="00FB5E4C"/>
    <w:rsid w:val="00FB5F42"/>
    <w:rsid w:val="00FB6928"/>
    <w:rsid w:val="00FB6BED"/>
    <w:rsid w:val="00FB7354"/>
    <w:rsid w:val="00FB7AD2"/>
    <w:rsid w:val="00FB7CCC"/>
    <w:rsid w:val="00FB7F87"/>
    <w:rsid w:val="00FC079B"/>
    <w:rsid w:val="00FC0B27"/>
    <w:rsid w:val="00FC0D1D"/>
    <w:rsid w:val="00FC112D"/>
    <w:rsid w:val="00FC1476"/>
    <w:rsid w:val="00FC1706"/>
    <w:rsid w:val="00FC1B47"/>
    <w:rsid w:val="00FC1DC7"/>
    <w:rsid w:val="00FC20A2"/>
    <w:rsid w:val="00FC24DF"/>
    <w:rsid w:val="00FC29C7"/>
    <w:rsid w:val="00FC29E8"/>
    <w:rsid w:val="00FC2A66"/>
    <w:rsid w:val="00FC2CBD"/>
    <w:rsid w:val="00FC2E6D"/>
    <w:rsid w:val="00FC2F25"/>
    <w:rsid w:val="00FC2FC7"/>
    <w:rsid w:val="00FC306E"/>
    <w:rsid w:val="00FC3113"/>
    <w:rsid w:val="00FC321F"/>
    <w:rsid w:val="00FC3384"/>
    <w:rsid w:val="00FC33DE"/>
    <w:rsid w:val="00FC34B3"/>
    <w:rsid w:val="00FC39B3"/>
    <w:rsid w:val="00FC3AED"/>
    <w:rsid w:val="00FC3FBB"/>
    <w:rsid w:val="00FC407D"/>
    <w:rsid w:val="00FC47C8"/>
    <w:rsid w:val="00FC490B"/>
    <w:rsid w:val="00FC4AE5"/>
    <w:rsid w:val="00FC4B82"/>
    <w:rsid w:val="00FC4F98"/>
    <w:rsid w:val="00FC5084"/>
    <w:rsid w:val="00FC54ED"/>
    <w:rsid w:val="00FC556B"/>
    <w:rsid w:val="00FC56BB"/>
    <w:rsid w:val="00FC5A79"/>
    <w:rsid w:val="00FC5AA1"/>
    <w:rsid w:val="00FC5D87"/>
    <w:rsid w:val="00FC5FBA"/>
    <w:rsid w:val="00FC60DC"/>
    <w:rsid w:val="00FC676F"/>
    <w:rsid w:val="00FC6C3C"/>
    <w:rsid w:val="00FC6DF4"/>
    <w:rsid w:val="00FC6F3E"/>
    <w:rsid w:val="00FC7068"/>
    <w:rsid w:val="00FC718E"/>
    <w:rsid w:val="00FC721E"/>
    <w:rsid w:val="00FC72A3"/>
    <w:rsid w:val="00FC7776"/>
    <w:rsid w:val="00FD00FB"/>
    <w:rsid w:val="00FD0139"/>
    <w:rsid w:val="00FD02ED"/>
    <w:rsid w:val="00FD09F5"/>
    <w:rsid w:val="00FD0C19"/>
    <w:rsid w:val="00FD0C9A"/>
    <w:rsid w:val="00FD0F4F"/>
    <w:rsid w:val="00FD100D"/>
    <w:rsid w:val="00FD17CF"/>
    <w:rsid w:val="00FD1A92"/>
    <w:rsid w:val="00FD1FBB"/>
    <w:rsid w:val="00FD22BF"/>
    <w:rsid w:val="00FD2489"/>
    <w:rsid w:val="00FD250C"/>
    <w:rsid w:val="00FD2676"/>
    <w:rsid w:val="00FD2684"/>
    <w:rsid w:val="00FD30F1"/>
    <w:rsid w:val="00FD3317"/>
    <w:rsid w:val="00FD3458"/>
    <w:rsid w:val="00FD346A"/>
    <w:rsid w:val="00FD3660"/>
    <w:rsid w:val="00FD36D5"/>
    <w:rsid w:val="00FD391E"/>
    <w:rsid w:val="00FD3D07"/>
    <w:rsid w:val="00FD3F6C"/>
    <w:rsid w:val="00FD3FBF"/>
    <w:rsid w:val="00FD403C"/>
    <w:rsid w:val="00FD4AC6"/>
    <w:rsid w:val="00FD4FD6"/>
    <w:rsid w:val="00FD5238"/>
    <w:rsid w:val="00FD5380"/>
    <w:rsid w:val="00FD5639"/>
    <w:rsid w:val="00FD57D3"/>
    <w:rsid w:val="00FD580D"/>
    <w:rsid w:val="00FD5942"/>
    <w:rsid w:val="00FD59E3"/>
    <w:rsid w:val="00FD5F38"/>
    <w:rsid w:val="00FD6002"/>
    <w:rsid w:val="00FD6609"/>
    <w:rsid w:val="00FD681B"/>
    <w:rsid w:val="00FD6ADF"/>
    <w:rsid w:val="00FD6D4B"/>
    <w:rsid w:val="00FD7F01"/>
    <w:rsid w:val="00FE00B7"/>
    <w:rsid w:val="00FE08DE"/>
    <w:rsid w:val="00FE0C48"/>
    <w:rsid w:val="00FE0DB9"/>
    <w:rsid w:val="00FE0EFD"/>
    <w:rsid w:val="00FE0F6E"/>
    <w:rsid w:val="00FE121F"/>
    <w:rsid w:val="00FE1261"/>
    <w:rsid w:val="00FE15AF"/>
    <w:rsid w:val="00FE15E7"/>
    <w:rsid w:val="00FE162B"/>
    <w:rsid w:val="00FE169F"/>
    <w:rsid w:val="00FE1CDA"/>
    <w:rsid w:val="00FE21E6"/>
    <w:rsid w:val="00FE2791"/>
    <w:rsid w:val="00FE29E8"/>
    <w:rsid w:val="00FE29F4"/>
    <w:rsid w:val="00FE2A21"/>
    <w:rsid w:val="00FE2CD8"/>
    <w:rsid w:val="00FE2D50"/>
    <w:rsid w:val="00FE313C"/>
    <w:rsid w:val="00FE386B"/>
    <w:rsid w:val="00FE3DF5"/>
    <w:rsid w:val="00FE40EC"/>
    <w:rsid w:val="00FE4565"/>
    <w:rsid w:val="00FE4880"/>
    <w:rsid w:val="00FE4C95"/>
    <w:rsid w:val="00FE4F37"/>
    <w:rsid w:val="00FE54D6"/>
    <w:rsid w:val="00FE5525"/>
    <w:rsid w:val="00FE554D"/>
    <w:rsid w:val="00FE58C4"/>
    <w:rsid w:val="00FE5E29"/>
    <w:rsid w:val="00FE5F48"/>
    <w:rsid w:val="00FE6260"/>
    <w:rsid w:val="00FE62A6"/>
    <w:rsid w:val="00FE6439"/>
    <w:rsid w:val="00FE6D3D"/>
    <w:rsid w:val="00FE7323"/>
    <w:rsid w:val="00FE7570"/>
    <w:rsid w:val="00FE791B"/>
    <w:rsid w:val="00FF0061"/>
    <w:rsid w:val="00FF016B"/>
    <w:rsid w:val="00FF0244"/>
    <w:rsid w:val="00FF080A"/>
    <w:rsid w:val="00FF119A"/>
    <w:rsid w:val="00FF134A"/>
    <w:rsid w:val="00FF13EB"/>
    <w:rsid w:val="00FF2017"/>
    <w:rsid w:val="00FF25FF"/>
    <w:rsid w:val="00FF26AE"/>
    <w:rsid w:val="00FF2BCD"/>
    <w:rsid w:val="00FF2F57"/>
    <w:rsid w:val="00FF2F68"/>
    <w:rsid w:val="00FF31F5"/>
    <w:rsid w:val="00FF38D6"/>
    <w:rsid w:val="00FF3CEC"/>
    <w:rsid w:val="00FF3DA2"/>
    <w:rsid w:val="00FF4003"/>
    <w:rsid w:val="00FF4046"/>
    <w:rsid w:val="00FF447B"/>
    <w:rsid w:val="00FF48AB"/>
    <w:rsid w:val="00FF4F39"/>
    <w:rsid w:val="00FF506B"/>
    <w:rsid w:val="00FF575A"/>
    <w:rsid w:val="00FF5814"/>
    <w:rsid w:val="00FF59A1"/>
    <w:rsid w:val="00FF59A3"/>
    <w:rsid w:val="00FF5AA2"/>
    <w:rsid w:val="00FF5E3F"/>
    <w:rsid w:val="00FF624A"/>
    <w:rsid w:val="00FF64A6"/>
    <w:rsid w:val="00FF669A"/>
    <w:rsid w:val="00FF6970"/>
    <w:rsid w:val="00FF733F"/>
    <w:rsid w:val="00FF7625"/>
    <w:rsid w:val="00FF7652"/>
    <w:rsid w:val="00FF7CC4"/>
    <w:rsid w:val="0B41B1F4"/>
    <w:rsid w:val="13205212"/>
    <w:rsid w:val="17F05784"/>
    <w:rsid w:val="2442C172"/>
    <w:rsid w:val="284FB3C2"/>
    <w:rsid w:val="324AE819"/>
    <w:rsid w:val="35D530D1"/>
    <w:rsid w:val="368CDF8A"/>
    <w:rsid w:val="39B1E3B4"/>
    <w:rsid w:val="442B468C"/>
    <w:rsid w:val="44B71D54"/>
    <w:rsid w:val="4AA73C8B"/>
    <w:rsid w:val="4E49D50C"/>
    <w:rsid w:val="58F0C839"/>
    <w:rsid w:val="5EBE28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63C964"/>
  <w15:docId w15:val="{A998D9F4-60EE-4206-81BA-01ABEAA13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locked="0" w:uiPriority="9" w:qFormat="1"/>
    <w:lsdException w:name="heading 3" w:locked="0" w:uiPriority="9" w:unhideWhenUsed="1" w:qFormat="1"/>
    <w:lsdException w:name="heading 4" w:locked="0" w:uiPriority="9" w:unhideWhenUsed="1" w:qFormat="1"/>
    <w:lsdException w:name="heading 5" w:locked="0" w:uiPriority="9" w:unhideWhenUsed="1" w:qFormat="1"/>
    <w:lsdException w:name="heading 6" w:locked="0"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locked="0"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locked="0" w:semiHidden="1" w:unhideWhenUsed="1"/>
    <w:lsdException w:name="Table Classic 1" w:semiHidden="1" w:unhideWhenUsed="1"/>
    <w:lsdException w:name="Table Classic 2" w:locked="0" w:semiHidden="1" w:unhideWhenUsed="1"/>
    <w:lsdException w:name="Table Classic 3" w:locked="0"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locked="0" w:semiHidden="1" w:unhideWhenUsed="1"/>
    <w:lsdException w:name="Table Elegant" w:locked="0"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lsdException w:name="Table Grid" w:locked="0"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locked="0"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locked="0"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locked="0"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ocked="0" w:uiPriority="61"/>
    <w:lsdException w:name="Light Grid Accent 5" w:uiPriority="62"/>
    <w:lsdException w:name="Medium Shading 1 Accent 5" w:locked="0"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ocked="0" w:uiPriority="61"/>
    <w:lsdException w:name="Light Grid Accent 6" w:uiPriority="62"/>
    <w:lsdException w:name="Medium Shading 1 Accent 6" w:locked="0"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semiHidden/>
    <w:qFormat/>
    <w:rsid w:val="00E62533"/>
    <w:rPr>
      <w:sz w:val="24"/>
      <w:szCs w:val="24"/>
    </w:rPr>
  </w:style>
  <w:style w:type="paragraph" w:styleId="Heading1">
    <w:name w:val="heading 1"/>
    <w:basedOn w:val="OFSHeading1"/>
    <w:next w:val="DCSbodytext"/>
    <w:link w:val="Heading1Char"/>
    <w:uiPriority w:val="9"/>
    <w:qFormat/>
    <w:locked/>
    <w:rsid w:val="005F2E08"/>
    <w:pPr>
      <w:numPr>
        <w:numId w:val="5"/>
      </w:numPr>
    </w:pPr>
  </w:style>
  <w:style w:type="paragraph" w:styleId="Heading2">
    <w:name w:val="heading 2"/>
    <w:basedOn w:val="OFSHeading2"/>
    <w:next w:val="BodyText"/>
    <w:link w:val="Heading2Char"/>
    <w:uiPriority w:val="9"/>
    <w:qFormat/>
    <w:locked/>
    <w:rsid w:val="0051021F"/>
    <w:pPr>
      <w:numPr>
        <w:ilvl w:val="1"/>
        <w:numId w:val="5"/>
      </w:numPr>
    </w:pPr>
    <w:rPr>
      <w:color w:val="16387F"/>
    </w:rPr>
  </w:style>
  <w:style w:type="paragraph" w:styleId="Heading3">
    <w:name w:val="heading 3"/>
    <w:basedOn w:val="OFSHeading3"/>
    <w:next w:val="BodyText"/>
    <w:link w:val="Heading3Char"/>
    <w:uiPriority w:val="9"/>
    <w:qFormat/>
    <w:locked/>
    <w:rsid w:val="00BD45CF"/>
    <w:pPr>
      <w:numPr>
        <w:ilvl w:val="2"/>
        <w:numId w:val="5"/>
      </w:numPr>
    </w:pPr>
  </w:style>
  <w:style w:type="paragraph" w:styleId="Heading4">
    <w:name w:val="heading 4"/>
    <w:basedOn w:val="Heading3"/>
    <w:next w:val="DCSbodytext"/>
    <w:link w:val="Heading4Char"/>
    <w:uiPriority w:val="9"/>
    <w:qFormat/>
    <w:locked/>
    <w:rsid w:val="00F4161C"/>
    <w:pPr>
      <w:numPr>
        <w:ilvl w:val="3"/>
      </w:numPr>
      <w:outlineLvl w:val="3"/>
    </w:pPr>
    <w:rPr>
      <w:sz w:val="22"/>
    </w:rPr>
  </w:style>
  <w:style w:type="paragraph" w:styleId="Heading5">
    <w:name w:val="heading 5"/>
    <w:basedOn w:val="Normal"/>
    <w:next w:val="BodyText"/>
    <w:link w:val="Heading5Char"/>
    <w:uiPriority w:val="9"/>
    <w:semiHidden/>
    <w:qFormat/>
    <w:locked/>
    <w:rsid w:val="00F4161C"/>
    <w:pPr>
      <w:keepNext/>
      <w:numPr>
        <w:ilvl w:val="4"/>
        <w:numId w:val="5"/>
      </w:numPr>
      <w:spacing w:before="480" w:after="120"/>
      <w:outlineLvl w:val="4"/>
    </w:pPr>
    <w:rPr>
      <w:rFonts w:ascii="Verdana" w:hAnsi="Verdana"/>
      <w:sz w:val="22"/>
      <w:szCs w:val="20"/>
      <w:lang w:eastAsia="en-US"/>
    </w:rPr>
  </w:style>
  <w:style w:type="paragraph" w:styleId="Heading6">
    <w:name w:val="heading 6"/>
    <w:basedOn w:val="Normal"/>
    <w:next w:val="BodyText"/>
    <w:link w:val="Heading6Char"/>
    <w:uiPriority w:val="9"/>
    <w:semiHidden/>
    <w:qFormat/>
    <w:locked/>
    <w:rsid w:val="00F4161C"/>
    <w:pPr>
      <w:keepNext/>
      <w:numPr>
        <w:ilvl w:val="5"/>
        <w:numId w:val="5"/>
      </w:numPr>
      <w:spacing w:before="480" w:after="120"/>
      <w:outlineLvl w:val="5"/>
    </w:pPr>
    <w:rPr>
      <w:rFonts w:ascii="Verdana" w:hAnsi="Verdana"/>
      <w:sz w:val="22"/>
      <w:szCs w:val="20"/>
      <w:lang w:eastAsia="en-US"/>
    </w:rPr>
  </w:style>
  <w:style w:type="paragraph" w:styleId="Heading7">
    <w:name w:val="heading 7"/>
    <w:basedOn w:val="Normal"/>
    <w:next w:val="Normal"/>
    <w:link w:val="Heading7Char"/>
    <w:uiPriority w:val="9"/>
    <w:semiHidden/>
    <w:qFormat/>
    <w:locked/>
    <w:rsid w:val="00F4161C"/>
    <w:pPr>
      <w:numPr>
        <w:ilvl w:val="6"/>
        <w:numId w:val="5"/>
      </w:numPr>
      <w:spacing w:before="240" w:after="60"/>
      <w:outlineLvl w:val="6"/>
    </w:pPr>
    <w:rPr>
      <w:rFonts w:ascii="Arial" w:hAnsi="Arial"/>
      <w:sz w:val="20"/>
      <w:szCs w:val="20"/>
      <w:lang w:eastAsia="en-US"/>
    </w:rPr>
  </w:style>
  <w:style w:type="paragraph" w:styleId="Heading8">
    <w:name w:val="heading 8"/>
    <w:basedOn w:val="Normal"/>
    <w:next w:val="Normal"/>
    <w:link w:val="Heading8Char"/>
    <w:uiPriority w:val="9"/>
    <w:semiHidden/>
    <w:qFormat/>
    <w:locked/>
    <w:rsid w:val="00F4161C"/>
    <w:pPr>
      <w:numPr>
        <w:ilvl w:val="7"/>
        <w:numId w:val="5"/>
      </w:numPr>
      <w:spacing w:before="240" w:after="60"/>
      <w:outlineLvl w:val="7"/>
    </w:pPr>
    <w:rPr>
      <w:rFonts w:ascii="Arial" w:hAnsi="Arial"/>
      <w:i/>
      <w:sz w:val="20"/>
      <w:szCs w:val="20"/>
      <w:lang w:eastAsia="en-US"/>
    </w:rPr>
  </w:style>
  <w:style w:type="paragraph" w:styleId="Heading9">
    <w:name w:val="heading 9"/>
    <w:basedOn w:val="Normal"/>
    <w:next w:val="Normal"/>
    <w:link w:val="Heading9Char"/>
    <w:uiPriority w:val="9"/>
    <w:semiHidden/>
    <w:qFormat/>
    <w:locked/>
    <w:rsid w:val="00F4161C"/>
    <w:pPr>
      <w:numPr>
        <w:ilvl w:val="8"/>
        <w:numId w:val="5"/>
      </w:numPr>
      <w:spacing w:before="240" w:after="60"/>
      <w:outlineLvl w:val="8"/>
    </w:pPr>
    <w:rPr>
      <w:rFonts w:ascii="Arial" w:hAnsi="Arial"/>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FB3D54"/>
    <w:pPr>
      <w:tabs>
        <w:tab w:val="center" w:pos="4153"/>
        <w:tab w:val="right" w:pos="8306"/>
      </w:tabs>
    </w:pPr>
  </w:style>
  <w:style w:type="paragraph" w:styleId="Footer">
    <w:name w:val="footer"/>
    <w:basedOn w:val="Normal"/>
    <w:link w:val="FooterChar"/>
    <w:uiPriority w:val="99"/>
    <w:locked/>
    <w:rsid w:val="00B26772"/>
    <w:pPr>
      <w:tabs>
        <w:tab w:val="center" w:pos="4153"/>
        <w:tab w:val="right" w:pos="8306"/>
      </w:tabs>
    </w:pPr>
  </w:style>
  <w:style w:type="paragraph" w:customStyle="1" w:styleId="Noparagraphstyle">
    <w:name w:val="[No paragraph style]"/>
    <w:semiHidden/>
    <w:locked/>
    <w:rsid w:val="00FB3D54"/>
    <w:pPr>
      <w:widowControl w:val="0"/>
      <w:autoSpaceDE w:val="0"/>
      <w:autoSpaceDN w:val="0"/>
      <w:adjustRightInd w:val="0"/>
      <w:spacing w:line="288" w:lineRule="auto"/>
      <w:textAlignment w:val="center"/>
    </w:pPr>
    <w:rPr>
      <w:rFonts w:ascii="Times" w:hAnsi="Times"/>
      <w:color w:val="000000"/>
      <w:sz w:val="24"/>
      <w:lang w:val="en-US" w:eastAsia="en-US"/>
    </w:rPr>
  </w:style>
  <w:style w:type="paragraph" w:customStyle="1" w:styleId="TableBodyText">
    <w:name w:val="Table Body Text"/>
    <w:basedOn w:val="Normal"/>
    <w:semiHidden/>
    <w:locked/>
    <w:rsid w:val="00FB3D54"/>
    <w:pPr>
      <w:keepNext/>
      <w:suppressAutoHyphens/>
      <w:spacing w:before="60" w:after="60"/>
    </w:pPr>
    <w:rPr>
      <w:rFonts w:ascii="Arial" w:hAnsi="Arial"/>
      <w:sz w:val="22"/>
      <w:szCs w:val="20"/>
      <w:lang w:eastAsia="en-US"/>
    </w:rPr>
  </w:style>
  <w:style w:type="paragraph" w:customStyle="1" w:styleId="AttachmentHeading">
    <w:name w:val="Attachment Heading"/>
    <w:basedOn w:val="Normal"/>
    <w:next w:val="Normal"/>
    <w:semiHidden/>
    <w:locked/>
    <w:rsid w:val="00580D93"/>
    <w:pPr>
      <w:pageBreakBefore/>
      <w:numPr>
        <w:numId w:val="1"/>
      </w:numPr>
      <w:spacing w:after="220"/>
      <w:ind w:left="720" w:hanging="360"/>
    </w:pPr>
    <w:rPr>
      <w:rFonts w:ascii="Arial" w:hAnsi="Arial"/>
      <w:b/>
      <w:sz w:val="22"/>
      <w:szCs w:val="22"/>
      <w:lang w:eastAsia="en-US"/>
    </w:rPr>
  </w:style>
  <w:style w:type="paragraph" w:styleId="BodyText">
    <w:name w:val="Body Text"/>
    <w:link w:val="BodyTextChar"/>
    <w:locked/>
    <w:rsid w:val="001B3C42"/>
    <w:pPr>
      <w:spacing w:after="120" w:line="360" w:lineRule="auto"/>
      <w:ind w:left="794"/>
    </w:pPr>
    <w:rPr>
      <w:rFonts w:ascii="Arial" w:hAnsi="Arial"/>
      <w:sz w:val="22"/>
      <w:szCs w:val="24"/>
      <w:lang w:eastAsia="en-US"/>
    </w:rPr>
  </w:style>
  <w:style w:type="paragraph" w:customStyle="1" w:styleId="Bullet">
    <w:name w:val="Bullet"/>
    <w:basedOn w:val="Normal"/>
    <w:link w:val="BulletChar"/>
    <w:semiHidden/>
    <w:locked/>
    <w:rsid w:val="00AC5355"/>
    <w:pPr>
      <w:numPr>
        <w:numId w:val="2"/>
      </w:numPr>
      <w:tabs>
        <w:tab w:val="clear" w:pos="1588"/>
        <w:tab w:val="num" w:pos="360"/>
      </w:tabs>
      <w:spacing w:after="120" w:line="360" w:lineRule="auto"/>
      <w:ind w:left="360" w:hanging="360"/>
    </w:pPr>
    <w:rPr>
      <w:rFonts w:ascii="Arial" w:hAnsi="Arial" w:cs="Arial"/>
      <w:sz w:val="22"/>
      <w:lang w:eastAsia="en-US"/>
    </w:rPr>
  </w:style>
  <w:style w:type="character" w:styleId="Hyperlink">
    <w:name w:val="Hyperlink"/>
    <w:uiPriority w:val="99"/>
    <w:locked/>
    <w:rsid w:val="00B269A0"/>
    <w:rPr>
      <w:color w:val="0000FF"/>
      <w:u w:val="single"/>
    </w:rPr>
  </w:style>
  <w:style w:type="character" w:styleId="PageNumber">
    <w:name w:val="page number"/>
    <w:basedOn w:val="DefaultParagraphFont"/>
    <w:semiHidden/>
    <w:locked/>
    <w:rsid w:val="00B269A0"/>
  </w:style>
  <w:style w:type="paragraph" w:customStyle="1" w:styleId="TableHeading">
    <w:name w:val="Table Heading"/>
    <w:basedOn w:val="Normal"/>
    <w:next w:val="TableText"/>
    <w:semiHidden/>
    <w:locked/>
    <w:rsid w:val="00DF2F83"/>
    <w:pPr>
      <w:spacing w:before="100" w:after="100"/>
    </w:pPr>
    <w:rPr>
      <w:rFonts w:ascii="Arial" w:hAnsi="Arial"/>
      <w:b/>
      <w:sz w:val="20"/>
      <w:lang w:eastAsia="en-US"/>
    </w:rPr>
  </w:style>
  <w:style w:type="paragraph" w:customStyle="1" w:styleId="TableText">
    <w:name w:val="Table Text"/>
    <w:basedOn w:val="Normal"/>
    <w:semiHidden/>
    <w:locked/>
    <w:rsid w:val="009F54FD"/>
    <w:pPr>
      <w:spacing w:before="100" w:after="100"/>
    </w:pPr>
    <w:rPr>
      <w:rFonts w:ascii="Arial" w:hAnsi="Arial" w:cs="Arial"/>
      <w:sz w:val="20"/>
      <w:szCs w:val="20"/>
      <w:lang w:eastAsia="en-US"/>
    </w:rPr>
  </w:style>
  <w:style w:type="paragraph" w:customStyle="1" w:styleId="DocumentControlHeading2">
    <w:name w:val="Document Control Heading 2"/>
    <w:basedOn w:val="Heading2"/>
    <w:next w:val="BodyText"/>
    <w:semiHidden/>
    <w:locked/>
    <w:rsid w:val="009F54FD"/>
    <w:pPr>
      <w:pBdr>
        <w:bottom w:val="single" w:sz="12" w:space="1" w:color="CCECFF"/>
      </w:pBdr>
      <w:spacing w:line="240" w:lineRule="auto"/>
    </w:pPr>
    <w:rPr>
      <w:rFonts w:eastAsia="Times New Roman" w:cs="Times New Roman"/>
      <w:b w:val="0"/>
      <w:bCs/>
      <w:color w:val="auto"/>
      <w:kern w:val="28"/>
      <w:szCs w:val="24"/>
      <w:lang w:eastAsia="en-US"/>
    </w:rPr>
  </w:style>
  <w:style w:type="character" w:customStyle="1" w:styleId="DocumentControlTableTextBoldChar">
    <w:name w:val="Document Control Table Text + Bold Char"/>
    <w:semiHidden/>
    <w:locked/>
    <w:rsid w:val="009F54FD"/>
    <w:rPr>
      <w:rFonts w:ascii="Arial" w:hAnsi="Arial" w:cs="Arial"/>
      <w:b/>
      <w:bCs/>
      <w:szCs w:val="24"/>
      <w:lang w:val="en-AU" w:eastAsia="en-US" w:bidi="ar-SA"/>
    </w:rPr>
  </w:style>
  <w:style w:type="paragraph" w:styleId="TOC1">
    <w:name w:val="toc 1"/>
    <w:basedOn w:val="Normal"/>
    <w:next w:val="TOC2"/>
    <w:autoRedefine/>
    <w:uiPriority w:val="39"/>
    <w:rsid w:val="003F476C"/>
    <w:pPr>
      <w:tabs>
        <w:tab w:val="left" w:pos="794"/>
        <w:tab w:val="right" w:pos="9356"/>
      </w:tabs>
      <w:spacing w:before="480" w:after="220"/>
      <w:outlineLvl w:val="0"/>
    </w:pPr>
    <w:rPr>
      <w:rFonts w:ascii="Arial" w:eastAsia="Arial Bold" w:hAnsi="Arial" w:cs="Arial"/>
      <w:b/>
      <w:noProof/>
      <w:sz w:val="22"/>
      <w:szCs w:val="40"/>
      <w:lang w:val="en-US" w:eastAsia="en-US"/>
    </w:rPr>
  </w:style>
  <w:style w:type="paragraph" w:styleId="TOC2">
    <w:name w:val="toc 2"/>
    <w:next w:val="TOC3"/>
    <w:autoRedefine/>
    <w:uiPriority w:val="39"/>
    <w:rsid w:val="00E01440"/>
    <w:pPr>
      <w:tabs>
        <w:tab w:val="left" w:pos="1588"/>
        <w:tab w:val="right" w:pos="9356"/>
      </w:tabs>
      <w:spacing w:after="220"/>
      <w:ind w:left="1588" w:hanging="794"/>
    </w:pPr>
    <w:rPr>
      <w:rFonts w:ascii="Arial" w:hAnsi="Arial"/>
      <w:noProof/>
      <w:sz w:val="22"/>
      <w:szCs w:val="28"/>
      <w:lang w:val="en-US" w:eastAsia="en-US"/>
    </w:rPr>
  </w:style>
  <w:style w:type="paragraph" w:styleId="TOC3">
    <w:name w:val="toc 3"/>
    <w:autoRedefine/>
    <w:uiPriority w:val="39"/>
    <w:rsid w:val="00C17F5E"/>
    <w:pPr>
      <w:tabs>
        <w:tab w:val="left" w:pos="2381"/>
        <w:tab w:val="right" w:pos="9356"/>
      </w:tabs>
      <w:spacing w:after="220"/>
      <w:ind w:firstLine="1701"/>
    </w:pPr>
    <w:rPr>
      <w:rFonts w:ascii="Arial" w:hAnsi="Arial"/>
      <w:noProof/>
      <w:sz w:val="22"/>
      <w:szCs w:val="28"/>
      <w:lang w:val="en-US" w:eastAsia="en-US"/>
    </w:rPr>
  </w:style>
  <w:style w:type="paragraph" w:customStyle="1" w:styleId="DocumentControlHeading1">
    <w:name w:val="Document Control Heading 1"/>
    <w:basedOn w:val="Heading1"/>
    <w:next w:val="BodyText"/>
    <w:semiHidden/>
    <w:locked/>
    <w:rsid w:val="009F54FD"/>
    <w:pPr>
      <w:pBdr>
        <w:bottom w:val="single" w:sz="48" w:space="1" w:color="CCECFF"/>
      </w:pBdr>
      <w:spacing w:line="240" w:lineRule="auto"/>
    </w:pPr>
    <w:rPr>
      <w:rFonts w:eastAsia="Times New Roman" w:cs="Times New Roman"/>
      <w:b w:val="0"/>
      <w:color w:val="auto"/>
      <w:kern w:val="28"/>
      <w:szCs w:val="24"/>
      <w:lang w:eastAsia="en-US"/>
    </w:rPr>
  </w:style>
  <w:style w:type="paragraph" w:customStyle="1" w:styleId="HeadingnoNumbers">
    <w:name w:val="Heading no Numbers"/>
    <w:basedOn w:val="Heading1"/>
    <w:semiHidden/>
    <w:locked/>
    <w:rsid w:val="00F4161C"/>
  </w:style>
  <w:style w:type="paragraph" w:customStyle="1" w:styleId="Definition">
    <w:name w:val="Definition"/>
    <w:basedOn w:val="Normal"/>
    <w:semiHidden/>
    <w:locked/>
    <w:rsid w:val="00D0780E"/>
    <w:pPr>
      <w:numPr>
        <w:numId w:val="3"/>
      </w:numPr>
      <w:spacing w:after="220"/>
    </w:pPr>
    <w:rPr>
      <w:rFonts w:ascii="Arial" w:hAnsi="Arial"/>
      <w:sz w:val="22"/>
      <w:szCs w:val="22"/>
      <w:lang w:eastAsia="en-US"/>
    </w:rPr>
  </w:style>
  <w:style w:type="paragraph" w:customStyle="1" w:styleId="DefinitionNum2">
    <w:name w:val="DefinitionNum2"/>
    <w:basedOn w:val="Normal"/>
    <w:semiHidden/>
    <w:locked/>
    <w:rsid w:val="00D0780E"/>
    <w:pPr>
      <w:numPr>
        <w:ilvl w:val="1"/>
        <w:numId w:val="3"/>
      </w:numPr>
      <w:spacing w:after="220"/>
    </w:pPr>
    <w:rPr>
      <w:rFonts w:ascii="Arial" w:hAnsi="Arial"/>
      <w:color w:val="000000"/>
      <w:sz w:val="22"/>
      <w:lang w:eastAsia="en-US"/>
    </w:rPr>
  </w:style>
  <w:style w:type="paragraph" w:customStyle="1" w:styleId="DefinitionNum3">
    <w:name w:val="DefinitionNum3"/>
    <w:basedOn w:val="Normal"/>
    <w:semiHidden/>
    <w:locked/>
    <w:rsid w:val="00D0780E"/>
    <w:pPr>
      <w:numPr>
        <w:ilvl w:val="2"/>
        <w:numId w:val="3"/>
      </w:numPr>
      <w:spacing w:after="220"/>
      <w:outlineLvl w:val="2"/>
    </w:pPr>
    <w:rPr>
      <w:rFonts w:ascii="Arial" w:hAnsi="Arial"/>
      <w:color w:val="000000"/>
      <w:sz w:val="22"/>
      <w:szCs w:val="22"/>
      <w:lang w:eastAsia="en-US"/>
    </w:rPr>
  </w:style>
  <w:style w:type="paragraph" w:customStyle="1" w:styleId="DefinitionNum4">
    <w:name w:val="DefinitionNum4"/>
    <w:basedOn w:val="Normal"/>
    <w:semiHidden/>
    <w:locked/>
    <w:rsid w:val="00D0780E"/>
    <w:pPr>
      <w:numPr>
        <w:ilvl w:val="3"/>
        <w:numId w:val="3"/>
      </w:numPr>
      <w:spacing w:after="220"/>
    </w:pPr>
    <w:rPr>
      <w:rFonts w:ascii="Arial" w:hAnsi="Arial"/>
      <w:sz w:val="22"/>
      <w:lang w:eastAsia="en-US"/>
    </w:rPr>
  </w:style>
  <w:style w:type="character" w:styleId="FollowedHyperlink">
    <w:name w:val="FollowedHyperlink"/>
    <w:uiPriority w:val="99"/>
    <w:semiHidden/>
    <w:locked/>
    <w:rsid w:val="002F41FC"/>
    <w:rPr>
      <w:color w:val="800080"/>
      <w:u w:val="single"/>
    </w:rPr>
  </w:style>
  <w:style w:type="paragraph" w:styleId="BalloonText">
    <w:name w:val="Balloon Text"/>
    <w:basedOn w:val="Normal"/>
    <w:link w:val="BalloonTextChar"/>
    <w:uiPriority w:val="99"/>
    <w:semiHidden/>
    <w:locked/>
    <w:rsid w:val="006B69CB"/>
    <w:rPr>
      <w:rFonts w:ascii="Tahoma" w:hAnsi="Tahoma" w:cs="Tahoma"/>
      <w:sz w:val="16"/>
      <w:szCs w:val="16"/>
    </w:rPr>
  </w:style>
  <w:style w:type="character" w:customStyle="1" w:styleId="BalloonTextChar">
    <w:name w:val="Balloon Text Char"/>
    <w:link w:val="BalloonText"/>
    <w:uiPriority w:val="99"/>
    <w:semiHidden/>
    <w:rsid w:val="00BB79AC"/>
    <w:rPr>
      <w:rFonts w:ascii="Tahoma" w:hAnsi="Tahoma" w:cs="Tahoma"/>
      <w:sz w:val="16"/>
      <w:szCs w:val="16"/>
    </w:rPr>
  </w:style>
  <w:style w:type="paragraph" w:customStyle="1" w:styleId="Documenttitle">
    <w:name w:val="Document title"/>
    <w:basedOn w:val="OFSTitle"/>
    <w:next w:val="DCSbodytext"/>
    <w:qFormat/>
    <w:locked/>
    <w:rsid w:val="000A2586"/>
  </w:style>
  <w:style w:type="table" w:styleId="TableGrid">
    <w:name w:val="Table Grid"/>
    <w:basedOn w:val="TableNormal"/>
    <w:uiPriority w:val="39"/>
    <w:locked/>
    <w:rsid w:val="002275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heading">
    <w:name w:val="Normal heading"/>
    <w:basedOn w:val="TableBodyText"/>
    <w:semiHidden/>
    <w:qFormat/>
    <w:locked/>
    <w:rsid w:val="000F35DC"/>
    <w:pPr>
      <w:tabs>
        <w:tab w:val="left" w:pos="2268"/>
        <w:tab w:val="left" w:pos="6946"/>
      </w:tabs>
      <w:spacing w:after="120"/>
    </w:pPr>
    <w:rPr>
      <w:b/>
      <w:sz w:val="28"/>
      <w:szCs w:val="28"/>
    </w:rPr>
  </w:style>
  <w:style w:type="paragraph" w:customStyle="1" w:styleId="OFSHeading2Numbered">
    <w:name w:val="OFS Heading 2 Numbered"/>
    <w:basedOn w:val="OFSHeading1Numbered"/>
    <w:next w:val="DCSbodytext"/>
    <w:link w:val="OFSHeading2NumberedChar"/>
    <w:uiPriority w:val="9"/>
    <w:semiHidden/>
    <w:qFormat/>
    <w:rsid w:val="007465B1"/>
    <w:pPr>
      <w:pageBreakBefore w:val="0"/>
      <w:numPr>
        <w:ilvl w:val="1"/>
      </w:numPr>
      <w:spacing w:before="240" w:after="120"/>
      <w:outlineLvl w:val="1"/>
    </w:pPr>
    <w:rPr>
      <w:color w:val="000000"/>
      <w:sz w:val="28"/>
    </w:rPr>
  </w:style>
  <w:style w:type="paragraph" w:customStyle="1" w:styleId="OFSHeading1Numbered">
    <w:name w:val="OFS Heading 1 Numbered"/>
    <w:next w:val="DCSbodytext"/>
    <w:link w:val="OFSHeading1NumberedChar"/>
    <w:uiPriority w:val="8"/>
    <w:semiHidden/>
    <w:qFormat/>
    <w:rsid w:val="007465B1"/>
    <w:pPr>
      <w:keepNext/>
      <w:pageBreakBefore/>
      <w:numPr>
        <w:numId w:val="4"/>
      </w:numPr>
      <w:spacing w:after="240" w:line="360" w:lineRule="auto"/>
      <w:outlineLvl w:val="0"/>
    </w:pPr>
    <w:rPr>
      <w:rFonts w:ascii="Arial Bold" w:hAnsi="Arial Bold"/>
      <w:color w:val="16387F"/>
      <w:sz w:val="44"/>
    </w:rPr>
  </w:style>
  <w:style w:type="paragraph" w:customStyle="1" w:styleId="OFSHeading3Numbered">
    <w:name w:val="OFS Heading 3 Numbered"/>
    <w:basedOn w:val="OFSHeading2Numbered"/>
    <w:next w:val="DCSbodytext"/>
    <w:link w:val="OFSHeading3NumberedChar"/>
    <w:uiPriority w:val="10"/>
    <w:semiHidden/>
    <w:qFormat/>
    <w:rsid w:val="007465B1"/>
    <w:pPr>
      <w:numPr>
        <w:ilvl w:val="2"/>
      </w:numPr>
      <w:outlineLvl w:val="2"/>
    </w:pPr>
    <w:rPr>
      <w:sz w:val="24"/>
    </w:rPr>
  </w:style>
  <w:style w:type="paragraph" w:customStyle="1" w:styleId="DCSbodytext">
    <w:name w:val="DCS body text"/>
    <w:link w:val="DCSbodytextChar"/>
    <w:uiPriority w:val="6"/>
    <w:qFormat/>
    <w:rsid w:val="00EE7343"/>
    <w:pPr>
      <w:spacing w:after="240" w:line="300" w:lineRule="exact"/>
      <w:ind w:left="794"/>
    </w:pPr>
    <w:rPr>
      <w:rFonts w:ascii="Arial" w:hAnsi="Arial"/>
      <w:sz w:val="22"/>
      <w:szCs w:val="24"/>
      <w:lang w:eastAsia="en-US"/>
    </w:rPr>
  </w:style>
  <w:style w:type="paragraph" w:customStyle="1" w:styleId="OFSHeading4Numbered">
    <w:name w:val="OFS Heading 4 Numbered"/>
    <w:basedOn w:val="OFSHeading3Numbered"/>
    <w:next w:val="DCSbodytext"/>
    <w:link w:val="OFSHeading4NumberedChar"/>
    <w:uiPriority w:val="11"/>
    <w:semiHidden/>
    <w:qFormat/>
    <w:rsid w:val="007465B1"/>
    <w:pPr>
      <w:numPr>
        <w:ilvl w:val="3"/>
      </w:numPr>
      <w:outlineLvl w:val="3"/>
    </w:pPr>
    <w:rPr>
      <w:sz w:val="22"/>
    </w:rPr>
  </w:style>
  <w:style w:type="character" w:customStyle="1" w:styleId="DCSbodytextChar">
    <w:name w:val="DCS body text Char"/>
    <w:link w:val="DCSbodytext"/>
    <w:uiPriority w:val="6"/>
    <w:rsid w:val="00EE7343"/>
    <w:rPr>
      <w:rFonts w:ascii="Arial" w:hAnsi="Arial"/>
      <w:sz w:val="22"/>
      <w:szCs w:val="24"/>
      <w:lang w:eastAsia="en-US"/>
    </w:rPr>
  </w:style>
  <w:style w:type="character" w:customStyle="1" w:styleId="OFSHeading1NumberedChar">
    <w:name w:val="OFS Heading 1 Numbered Char"/>
    <w:link w:val="OFSHeading1Numbered"/>
    <w:uiPriority w:val="8"/>
    <w:semiHidden/>
    <w:rsid w:val="005F2E08"/>
    <w:rPr>
      <w:rFonts w:ascii="Arial Bold" w:hAnsi="Arial Bold"/>
      <w:color w:val="16387F"/>
      <w:sz w:val="44"/>
    </w:rPr>
  </w:style>
  <w:style w:type="character" w:customStyle="1" w:styleId="OFSHeading2NumberedChar">
    <w:name w:val="OFS Heading 2 Numbered Char"/>
    <w:link w:val="OFSHeading2Numbered"/>
    <w:uiPriority w:val="9"/>
    <w:semiHidden/>
    <w:rsid w:val="005F2E08"/>
    <w:rPr>
      <w:rFonts w:ascii="Arial Bold" w:hAnsi="Arial Bold"/>
      <w:color w:val="000000"/>
      <w:sz w:val="28"/>
    </w:rPr>
  </w:style>
  <w:style w:type="character" w:customStyle="1" w:styleId="OFSHeading3NumberedChar">
    <w:name w:val="OFS Heading 3 Numbered Char"/>
    <w:link w:val="OFSHeading3Numbered"/>
    <w:uiPriority w:val="10"/>
    <w:semiHidden/>
    <w:rsid w:val="005F2E08"/>
    <w:rPr>
      <w:rFonts w:ascii="Arial Bold" w:hAnsi="Arial Bold"/>
      <w:color w:val="000000"/>
      <w:sz w:val="24"/>
    </w:rPr>
  </w:style>
  <w:style w:type="character" w:customStyle="1" w:styleId="Heading1Char">
    <w:name w:val="Heading 1 Char"/>
    <w:link w:val="Heading1"/>
    <w:uiPriority w:val="9"/>
    <w:rsid w:val="005F2E08"/>
    <w:rPr>
      <w:rFonts w:ascii="Arial Bold" w:eastAsia="Arial Bold" w:hAnsi="Arial Bold" w:cs="Arial"/>
      <w:b/>
      <w:color w:val="16387F"/>
      <w:sz w:val="44"/>
      <w:szCs w:val="40"/>
    </w:rPr>
  </w:style>
  <w:style w:type="character" w:customStyle="1" w:styleId="Heading2Char">
    <w:name w:val="Heading 2 Char"/>
    <w:link w:val="Heading2"/>
    <w:uiPriority w:val="9"/>
    <w:rsid w:val="0051021F"/>
    <w:rPr>
      <w:rFonts w:ascii="Arial Bold" w:eastAsia="Arial Bold" w:hAnsi="Arial Bold" w:cs="Arial"/>
      <w:b/>
      <w:color w:val="16387F"/>
      <w:sz w:val="28"/>
      <w:szCs w:val="40"/>
    </w:rPr>
  </w:style>
  <w:style w:type="character" w:customStyle="1" w:styleId="Heading3Char">
    <w:name w:val="Heading 3 Char"/>
    <w:link w:val="Heading3"/>
    <w:uiPriority w:val="9"/>
    <w:rsid w:val="00BD45CF"/>
    <w:rPr>
      <w:rFonts w:ascii="Arial Bold" w:eastAsia="Arial Bold" w:hAnsi="Arial Bold" w:cs="Arial"/>
      <w:b/>
      <w:color w:val="000000"/>
      <w:sz w:val="24"/>
      <w:szCs w:val="40"/>
    </w:rPr>
  </w:style>
  <w:style w:type="character" w:customStyle="1" w:styleId="OFSHeading4NumberedChar">
    <w:name w:val="OFS Heading 4 Numbered Char"/>
    <w:link w:val="OFSHeading4Numbered"/>
    <w:uiPriority w:val="11"/>
    <w:semiHidden/>
    <w:rsid w:val="005F2E08"/>
    <w:rPr>
      <w:rFonts w:ascii="Arial Bold" w:hAnsi="Arial Bold"/>
      <w:color w:val="000000"/>
      <w:sz w:val="22"/>
    </w:rPr>
  </w:style>
  <w:style w:type="paragraph" w:customStyle="1" w:styleId="OFSHeading1">
    <w:name w:val="OFS Heading 1"/>
    <w:next w:val="DCSbodytext"/>
    <w:link w:val="OFSHeading1Char"/>
    <w:uiPriority w:val="1"/>
    <w:semiHidden/>
    <w:qFormat/>
    <w:rsid w:val="007465B1"/>
    <w:pPr>
      <w:keepNext/>
      <w:pageBreakBefore/>
      <w:spacing w:after="420" w:line="360" w:lineRule="auto"/>
      <w:outlineLvl w:val="0"/>
    </w:pPr>
    <w:rPr>
      <w:rFonts w:ascii="Arial Bold" w:eastAsia="Arial Bold" w:hAnsi="Arial Bold" w:cs="Arial"/>
      <w:b/>
      <w:color w:val="16387F"/>
      <w:sz w:val="44"/>
      <w:szCs w:val="40"/>
    </w:rPr>
  </w:style>
  <w:style w:type="paragraph" w:customStyle="1" w:styleId="OFSHeading2">
    <w:name w:val="OFS Heading 2"/>
    <w:basedOn w:val="OFSHeading1"/>
    <w:next w:val="DCSbodytext"/>
    <w:link w:val="OFSHeading2Char"/>
    <w:uiPriority w:val="2"/>
    <w:semiHidden/>
    <w:qFormat/>
    <w:rsid w:val="007465B1"/>
    <w:pPr>
      <w:pageBreakBefore w:val="0"/>
      <w:spacing w:before="240" w:after="120"/>
      <w:outlineLvl w:val="1"/>
    </w:pPr>
    <w:rPr>
      <w:color w:val="000000"/>
      <w:sz w:val="28"/>
    </w:rPr>
  </w:style>
  <w:style w:type="character" w:customStyle="1" w:styleId="OFSHeading1Char">
    <w:name w:val="OFS Heading 1 Char"/>
    <w:link w:val="OFSHeading1"/>
    <w:uiPriority w:val="1"/>
    <w:semiHidden/>
    <w:rsid w:val="005F2E08"/>
    <w:rPr>
      <w:rFonts w:ascii="Arial Bold" w:eastAsia="Arial Bold" w:hAnsi="Arial Bold" w:cs="Arial"/>
      <w:b/>
      <w:color w:val="16387F"/>
      <w:sz w:val="44"/>
      <w:szCs w:val="40"/>
    </w:rPr>
  </w:style>
  <w:style w:type="paragraph" w:customStyle="1" w:styleId="DCSbullet">
    <w:name w:val="DCS bullet"/>
    <w:basedOn w:val="ListBullet"/>
    <w:link w:val="DCSbulletChar"/>
    <w:uiPriority w:val="7"/>
    <w:qFormat/>
    <w:rsid w:val="009B5EC7"/>
    <w:pPr>
      <w:tabs>
        <w:tab w:val="left" w:pos="794"/>
      </w:tabs>
      <w:spacing w:after="120" w:line="360" w:lineRule="auto"/>
    </w:pPr>
    <w:rPr>
      <w:rFonts w:ascii="Arial" w:hAnsi="Arial" w:cs="Arial"/>
      <w:sz w:val="22"/>
      <w:lang w:val="en-US" w:eastAsia="en-US"/>
    </w:rPr>
  </w:style>
  <w:style w:type="character" w:customStyle="1" w:styleId="OFSHeading2Char">
    <w:name w:val="OFS Heading 2 Char"/>
    <w:link w:val="OFSHeading2"/>
    <w:uiPriority w:val="2"/>
    <w:semiHidden/>
    <w:rsid w:val="005F2E08"/>
    <w:rPr>
      <w:rFonts w:ascii="Arial Bold" w:eastAsia="Arial Bold" w:hAnsi="Arial Bold" w:cs="Arial"/>
      <w:b/>
      <w:color w:val="000000"/>
      <w:sz w:val="28"/>
      <w:szCs w:val="40"/>
    </w:rPr>
  </w:style>
  <w:style w:type="paragraph" w:customStyle="1" w:styleId="OFSHeading3">
    <w:name w:val="OFS Heading 3"/>
    <w:basedOn w:val="OFSHeading2"/>
    <w:link w:val="OFSHeading3Char"/>
    <w:uiPriority w:val="3"/>
    <w:semiHidden/>
    <w:qFormat/>
    <w:rsid w:val="007465B1"/>
    <w:pPr>
      <w:outlineLvl w:val="2"/>
    </w:pPr>
    <w:rPr>
      <w:sz w:val="24"/>
    </w:rPr>
  </w:style>
  <w:style w:type="character" w:customStyle="1" w:styleId="BulletChar">
    <w:name w:val="Bullet Char"/>
    <w:link w:val="Bullet"/>
    <w:semiHidden/>
    <w:rsid w:val="0086274F"/>
    <w:rPr>
      <w:rFonts w:ascii="Arial" w:hAnsi="Arial" w:cs="Arial"/>
      <w:sz w:val="22"/>
      <w:szCs w:val="24"/>
      <w:lang w:eastAsia="en-US"/>
    </w:rPr>
  </w:style>
  <w:style w:type="character" w:customStyle="1" w:styleId="DCSbulletChar">
    <w:name w:val="DCS bullet Char"/>
    <w:link w:val="DCSbullet"/>
    <w:uiPriority w:val="7"/>
    <w:rsid w:val="00BC7457"/>
    <w:rPr>
      <w:rFonts w:ascii="Arial" w:hAnsi="Arial" w:cs="Arial"/>
      <w:sz w:val="22"/>
      <w:szCs w:val="24"/>
      <w:lang w:val="en-US" w:eastAsia="en-US"/>
    </w:rPr>
  </w:style>
  <w:style w:type="paragraph" w:customStyle="1" w:styleId="OFSTitle">
    <w:name w:val="OFS Title"/>
    <w:link w:val="OFSTitleChar"/>
    <w:semiHidden/>
    <w:qFormat/>
    <w:rsid w:val="007465B1"/>
    <w:pPr>
      <w:keepNext/>
      <w:spacing w:before="120" w:after="360"/>
      <w:outlineLvl w:val="0"/>
    </w:pPr>
    <w:rPr>
      <w:rFonts w:ascii="Arial Bold" w:eastAsia="Arial Bold" w:hAnsi="Arial Bold" w:cs="Arial"/>
      <w:b/>
      <w:color w:val="16387F"/>
      <w:sz w:val="56"/>
      <w:szCs w:val="40"/>
    </w:rPr>
  </w:style>
  <w:style w:type="character" w:customStyle="1" w:styleId="OFSHeading3Char">
    <w:name w:val="OFS Heading 3 Char"/>
    <w:link w:val="OFSHeading3"/>
    <w:uiPriority w:val="3"/>
    <w:semiHidden/>
    <w:rsid w:val="005F2E08"/>
    <w:rPr>
      <w:rFonts w:ascii="Arial Bold" w:eastAsia="Arial Bold" w:hAnsi="Arial Bold" w:cs="Arial"/>
      <w:b/>
      <w:color w:val="000000"/>
      <w:sz w:val="24"/>
      <w:szCs w:val="40"/>
    </w:rPr>
  </w:style>
  <w:style w:type="paragraph" w:customStyle="1" w:styleId="DCStablebodytext">
    <w:name w:val="DCS table body text"/>
    <w:uiPriority w:val="13"/>
    <w:qFormat/>
    <w:rsid w:val="00BC7B86"/>
    <w:pPr>
      <w:keepNext/>
      <w:tabs>
        <w:tab w:val="left" w:pos="2268"/>
        <w:tab w:val="left" w:pos="6946"/>
      </w:tabs>
      <w:spacing w:before="60" w:after="60"/>
    </w:pPr>
    <w:rPr>
      <w:rFonts w:ascii="Arial" w:hAnsi="Arial"/>
      <w:sz w:val="22"/>
      <w:lang w:eastAsia="en-US"/>
    </w:rPr>
  </w:style>
  <w:style w:type="character" w:customStyle="1" w:styleId="OFSTitleChar">
    <w:name w:val="OFS Title Char"/>
    <w:link w:val="OFSTitle"/>
    <w:semiHidden/>
    <w:rsid w:val="000A2586"/>
    <w:rPr>
      <w:rFonts w:ascii="Arial Bold" w:eastAsia="Arial Bold" w:hAnsi="Arial Bold" w:cs="Arial"/>
      <w:b/>
      <w:color w:val="16387F"/>
      <w:sz w:val="56"/>
      <w:szCs w:val="40"/>
    </w:rPr>
  </w:style>
  <w:style w:type="paragraph" w:customStyle="1" w:styleId="DCStableheading">
    <w:name w:val="DCS table heading"/>
    <w:uiPriority w:val="12"/>
    <w:qFormat/>
    <w:rsid w:val="00BC7B86"/>
    <w:pPr>
      <w:spacing w:before="100" w:after="100"/>
    </w:pPr>
    <w:rPr>
      <w:rFonts w:ascii="Arial" w:hAnsi="Arial"/>
      <w:b/>
      <w:szCs w:val="24"/>
      <w:lang w:eastAsia="en-US"/>
    </w:rPr>
  </w:style>
  <w:style w:type="paragraph" w:customStyle="1" w:styleId="DCStabletext">
    <w:name w:val="DCS table text"/>
    <w:uiPriority w:val="14"/>
    <w:qFormat/>
    <w:rsid w:val="00BC7B86"/>
    <w:pPr>
      <w:spacing w:before="100" w:after="100"/>
    </w:pPr>
    <w:rPr>
      <w:rFonts w:ascii="Arial" w:hAnsi="Arial" w:cs="Arial"/>
      <w:lang w:eastAsia="en-US"/>
    </w:rPr>
  </w:style>
  <w:style w:type="paragraph" w:customStyle="1" w:styleId="DCSTOCHeading">
    <w:name w:val="DCS TOC Heading"/>
    <w:basedOn w:val="OFSHeading1"/>
    <w:link w:val="DCSTOCHeadingChar"/>
    <w:uiPriority w:val="5"/>
    <w:qFormat/>
    <w:rsid w:val="007465B1"/>
  </w:style>
  <w:style w:type="paragraph" w:customStyle="1" w:styleId="DCSfooter">
    <w:name w:val="DCS footer"/>
    <w:link w:val="DCSfooterChar"/>
    <w:uiPriority w:val="99"/>
    <w:qFormat/>
    <w:rsid w:val="00BC7B86"/>
    <w:pPr>
      <w:pBdr>
        <w:top w:val="single" w:sz="6" w:space="5" w:color="003E7E"/>
      </w:pBdr>
      <w:tabs>
        <w:tab w:val="right" w:pos="9639"/>
      </w:tabs>
    </w:pPr>
    <w:rPr>
      <w:rFonts w:ascii="Arial" w:hAnsi="Arial" w:cs="Arial"/>
      <w:sz w:val="16"/>
      <w:szCs w:val="16"/>
    </w:rPr>
  </w:style>
  <w:style w:type="character" w:customStyle="1" w:styleId="DCSTOCHeadingChar">
    <w:name w:val="DCS TOC Heading Char"/>
    <w:link w:val="DCSTOCHeading"/>
    <w:uiPriority w:val="5"/>
    <w:rsid w:val="007465B1"/>
    <w:rPr>
      <w:rFonts w:ascii="Arial Bold" w:eastAsia="Arial Bold" w:hAnsi="Arial Bold" w:cs="Arial"/>
      <w:b/>
      <w:color w:val="16387F"/>
      <w:sz w:val="44"/>
      <w:szCs w:val="40"/>
    </w:rPr>
  </w:style>
  <w:style w:type="character" w:customStyle="1" w:styleId="FooterChar">
    <w:name w:val="Footer Char"/>
    <w:link w:val="Footer"/>
    <w:uiPriority w:val="99"/>
    <w:rsid w:val="00031A7D"/>
    <w:rPr>
      <w:sz w:val="24"/>
      <w:szCs w:val="24"/>
    </w:rPr>
  </w:style>
  <w:style w:type="character" w:customStyle="1" w:styleId="DCSfooterChar">
    <w:name w:val="DCS footer Char"/>
    <w:link w:val="DCSfooter"/>
    <w:uiPriority w:val="99"/>
    <w:rsid w:val="00BC7B86"/>
    <w:rPr>
      <w:rFonts w:ascii="Arial" w:hAnsi="Arial" w:cs="Arial"/>
      <w:sz w:val="16"/>
      <w:szCs w:val="16"/>
    </w:rPr>
  </w:style>
  <w:style w:type="paragraph" w:customStyle="1" w:styleId="DCScoverdate">
    <w:name w:val="DCS cover date"/>
    <w:basedOn w:val="Normal"/>
    <w:uiPriority w:val="16"/>
    <w:qFormat/>
    <w:rsid w:val="00BC7B86"/>
    <w:rPr>
      <w:rFonts w:ascii="Arial" w:hAnsi="Arial"/>
      <w:sz w:val="22"/>
    </w:rPr>
  </w:style>
  <w:style w:type="character" w:customStyle="1" w:styleId="BodyTextChar">
    <w:name w:val="Body Text Char"/>
    <w:link w:val="BodyText"/>
    <w:rsid w:val="00031A7D"/>
    <w:rPr>
      <w:rFonts w:ascii="Arial" w:hAnsi="Arial"/>
      <w:sz w:val="22"/>
      <w:szCs w:val="24"/>
      <w:lang w:eastAsia="en-US"/>
    </w:rPr>
  </w:style>
  <w:style w:type="character" w:customStyle="1" w:styleId="DCSboldemphasis">
    <w:name w:val="DCS bold emphasis"/>
    <w:uiPriority w:val="17"/>
    <w:qFormat/>
    <w:rsid w:val="00BC7B86"/>
    <w:rPr>
      <w:rFonts w:ascii="Arial" w:hAnsi="Arial"/>
      <w:b/>
      <w:sz w:val="22"/>
      <w:szCs w:val="24"/>
      <w:lang w:eastAsia="en-US"/>
    </w:rPr>
  </w:style>
  <w:style w:type="paragraph" w:customStyle="1" w:styleId="DCScontactdetailsheading">
    <w:name w:val="DCS contact details heading"/>
    <w:basedOn w:val="DCStablebodytext"/>
    <w:uiPriority w:val="19"/>
    <w:qFormat/>
    <w:rsid w:val="0045515B"/>
    <w:pPr>
      <w:spacing w:before="240" w:after="120" w:line="360" w:lineRule="auto"/>
      <w:outlineLvl w:val="0"/>
    </w:pPr>
    <w:rPr>
      <w:b/>
      <w:sz w:val="28"/>
    </w:rPr>
  </w:style>
  <w:style w:type="paragraph" w:customStyle="1" w:styleId="DCScontactdetailstext">
    <w:name w:val="DCS contact details text"/>
    <w:basedOn w:val="DCScontactdetailsheading"/>
    <w:uiPriority w:val="21"/>
    <w:qFormat/>
    <w:rsid w:val="00BC7B86"/>
    <w:rPr>
      <w:b w:val="0"/>
      <w:sz w:val="22"/>
    </w:rPr>
  </w:style>
  <w:style w:type="character" w:customStyle="1" w:styleId="DCSitalicemphasis">
    <w:name w:val="DCS italic emphasis"/>
    <w:uiPriority w:val="18"/>
    <w:qFormat/>
    <w:rsid w:val="00BC7B86"/>
    <w:rPr>
      <w:rFonts w:ascii="Arial" w:hAnsi="Arial"/>
      <w:i/>
      <w:sz w:val="22"/>
      <w:szCs w:val="24"/>
      <w:lang w:eastAsia="en-US"/>
    </w:rPr>
  </w:style>
  <w:style w:type="paragraph" w:customStyle="1" w:styleId="URL">
    <w:name w:val="URL"/>
    <w:basedOn w:val="Heading1"/>
    <w:semiHidden/>
    <w:rsid w:val="00136215"/>
    <w:rPr>
      <w:sz w:val="36"/>
    </w:rPr>
  </w:style>
  <w:style w:type="paragraph" w:styleId="TOC4">
    <w:name w:val="toc 4"/>
    <w:basedOn w:val="Normal"/>
    <w:next w:val="Normal"/>
    <w:autoRedefine/>
    <w:uiPriority w:val="39"/>
    <w:unhideWhenUsed/>
    <w:locked/>
    <w:rsid w:val="00C60584"/>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locked/>
    <w:rsid w:val="00C60584"/>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C60584"/>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C60584"/>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C60584"/>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C60584"/>
    <w:pPr>
      <w:spacing w:after="100" w:line="259" w:lineRule="auto"/>
      <w:ind w:left="1760"/>
    </w:pPr>
    <w:rPr>
      <w:rFonts w:asciiTheme="minorHAnsi" w:eastAsiaTheme="minorEastAsia" w:hAnsiTheme="minorHAnsi" w:cstheme="minorBidi"/>
      <w:sz w:val="22"/>
      <w:szCs w:val="22"/>
    </w:rPr>
  </w:style>
  <w:style w:type="character" w:styleId="UnresolvedMention">
    <w:name w:val="Unresolved Mention"/>
    <w:basedOn w:val="DefaultParagraphFont"/>
    <w:uiPriority w:val="99"/>
    <w:unhideWhenUsed/>
    <w:rsid w:val="00C60584"/>
    <w:rPr>
      <w:color w:val="605E5C"/>
      <w:shd w:val="clear" w:color="auto" w:fill="E1DFDD"/>
    </w:rPr>
  </w:style>
  <w:style w:type="paragraph" w:styleId="ListParagraph">
    <w:name w:val="List Paragraph"/>
    <w:basedOn w:val="Normal"/>
    <w:uiPriority w:val="34"/>
    <w:qFormat/>
    <w:locked/>
    <w:rsid w:val="008D0368"/>
    <w:pPr>
      <w:spacing w:after="160" w:line="259" w:lineRule="auto"/>
      <w:ind w:left="720"/>
      <w:contextualSpacing/>
    </w:pPr>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semiHidden/>
    <w:unhideWhenUsed/>
    <w:locked/>
    <w:rsid w:val="00427EE7"/>
    <w:rPr>
      <w:sz w:val="16"/>
      <w:szCs w:val="16"/>
    </w:rPr>
  </w:style>
  <w:style w:type="paragraph" w:styleId="CommentText">
    <w:name w:val="annotation text"/>
    <w:basedOn w:val="Normal"/>
    <w:link w:val="CommentTextChar"/>
    <w:uiPriority w:val="99"/>
    <w:unhideWhenUsed/>
    <w:locked/>
    <w:rsid w:val="00427EE7"/>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427EE7"/>
    <w:rPr>
      <w:rFonts w:asciiTheme="minorHAnsi" w:eastAsiaTheme="minorHAnsi" w:hAnsiTheme="minorHAnsi" w:cstheme="minorBidi"/>
      <w:lang w:eastAsia="en-US"/>
    </w:rPr>
  </w:style>
  <w:style w:type="paragraph" w:styleId="Caption">
    <w:name w:val="caption"/>
    <w:basedOn w:val="Normal"/>
    <w:next w:val="Normal"/>
    <w:uiPriority w:val="35"/>
    <w:unhideWhenUsed/>
    <w:qFormat/>
    <w:locked/>
    <w:rsid w:val="00427EE7"/>
    <w:pPr>
      <w:spacing w:after="200"/>
    </w:pPr>
    <w:rPr>
      <w:rFonts w:asciiTheme="minorHAnsi" w:eastAsiaTheme="minorHAnsi" w:hAnsiTheme="minorHAnsi" w:cstheme="minorBidi"/>
      <w:i/>
      <w:iCs/>
      <w:color w:val="1F497D" w:themeColor="text2"/>
      <w:sz w:val="18"/>
      <w:szCs w:val="18"/>
      <w:lang w:eastAsia="en-US"/>
    </w:rPr>
  </w:style>
  <w:style w:type="paragraph" w:customStyle="1" w:styleId="IOTHeading1">
    <w:name w:val="IOT Heading 1"/>
    <w:basedOn w:val="Normal"/>
    <w:qFormat/>
    <w:rsid w:val="00427EE7"/>
    <w:pPr>
      <w:keepNext/>
      <w:keepLines/>
      <w:spacing w:before="240" w:line="360" w:lineRule="auto"/>
      <w:outlineLvl w:val="0"/>
    </w:pPr>
    <w:rPr>
      <w:rFonts w:asciiTheme="majorHAnsi" w:eastAsiaTheme="majorEastAsia" w:hAnsiTheme="majorHAnsi" w:cstheme="majorBidi"/>
      <w:b/>
      <w:color w:val="365F91" w:themeColor="accent1" w:themeShade="BF"/>
      <w:sz w:val="32"/>
      <w:szCs w:val="32"/>
      <w:lang w:eastAsia="en-US"/>
    </w:rPr>
  </w:style>
  <w:style w:type="paragraph" w:customStyle="1" w:styleId="paragraph">
    <w:name w:val="paragraph"/>
    <w:basedOn w:val="Normal"/>
    <w:rsid w:val="008E1AD3"/>
    <w:pPr>
      <w:spacing w:before="100" w:beforeAutospacing="1" w:after="100" w:afterAutospacing="1"/>
    </w:pPr>
  </w:style>
  <w:style w:type="character" w:customStyle="1" w:styleId="normaltextrun">
    <w:name w:val="normaltextrun"/>
    <w:basedOn w:val="DefaultParagraphFont"/>
    <w:rsid w:val="008E1AD3"/>
  </w:style>
  <w:style w:type="character" w:customStyle="1" w:styleId="eop">
    <w:name w:val="eop"/>
    <w:basedOn w:val="DefaultParagraphFont"/>
    <w:rsid w:val="008E1AD3"/>
  </w:style>
  <w:style w:type="paragraph" w:styleId="CommentSubject">
    <w:name w:val="annotation subject"/>
    <w:basedOn w:val="CommentText"/>
    <w:next w:val="CommentText"/>
    <w:link w:val="CommentSubjectChar"/>
    <w:uiPriority w:val="99"/>
    <w:semiHidden/>
    <w:unhideWhenUsed/>
    <w:locked/>
    <w:rsid w:val="00485653"/>
    <w:pPr>
      <w:spacing w:after="0"/>
    </w:pPr>
    <w:rPr>
      <w:rFonts w:ascii="Times New Roman" w:eastAsia="Times New Roman" w:hAnsi="Times New Roman" w:cs="Times New Roman"/>
      <w:b/>
      <w:bCs/>
      <w:lang w:eastAsia="en-AU"/>
    </w:rPr>
  </w:style>
  <w:style w:type="character" w:customStyle="1" w:styleId="CommentSubjectChar">
    <w:name w:val="Comment Subject Char"/>
    <w:basedOn w:val="CommentTextChar"/>
    <w:link w:val="CommentSubject"/>
    <w:uiPriority w:val="99"/>
    <w:semiHidden/>
    <w:rsid w:val="00485653"/>
    <w:rPr>
      <w:rFonts w:asciiTheme="minorHAnsi" w:eastAsiaTheme="minorHAnsi" w:hAnsiTheme="minorHAnsi" w:cstheme="minorBidi"/>
      <w:b/>
      <w:bCs/>
      <w:lang w:eastAsia="en-US"/>
    </w:rPr>
  </w:style>
  <w:style w:type="paragraph" w:styleId="Revision">
    <w:name w:val="Revision"/>
    <w:hidden/>
    <w:uiPriority w:val="99"/>
    <w:semiHidden/>
    <w:rsid w:val="00485653"/>
    <w:rPr>
      <w:sz w:val="24"/>
      <w:szCs w:val="24"/>
    </w:rPr>
  </w:style>
  <w:style w:type="paragraph" w:styleId="FootnoteText">
    <w:name w:val="footnote text"/>
    <w:basedOn w:val="Normal"/>
    <w:link w:val="FootnoteTextChar"/>
    <w:uiPriority w:val="99"/>
    <w:semiHidden/>
    <w:unhideWhenUsed/>
    <w:locked/>
    <w:rsid w:val="00AA6162"/>
    <w:rPr>
      <w:rFonts w:asciiTheme="minorHAnsi" w:eastAsiaTheme="minorHAnsi" w:hAnsiTheme="minorHAnsi" w:cstheme="minorBidi"/>
      <w:sz w:val="20"/>
      <w:szCs w:val="20"/>
      <w:lang w:val="en-GB" w:eastAsia="en-US"/>
    </w:rPr>
  </w:style>
  <w:style w:type="character" w:customStyle="1" w:styleId="FootnoteTextChar">
    <w:name w:val="Footnote Text Char"/>
    <w:basedOn w:val="DefaultParagraphFont"/>
    <w:link w:val="FootnoteText"/>
    <w:uiPriority w:val="99"/>
    <w:semiHidden/>
    <w:rsid w:val="00AA6162"/>
    <w:rPr>
      <w:rFonts w:asciiTheme="minorHAnsi" w:eastAsiaTheme="minorHAnsi" w:hAnsiTheme="minorHAnsi" w:cstheme="minorBidi"/>
      <w:lang w:val="en-GB" w:eastAsia="en-US"/>
    </w:rPr>
  </w:style>
  <w:style w:type="character" w:styleId="FootnoteReference">
    <w:name w:val="footnote reference"/>
    <w:basedOn w:val="DefaultParagraphFont"/>
    <w:uiPriority w:val="99"/>
    <w:semiHidden/>
    <w:unhideWhenUsed/>
    <w:locked/>
    <w:rsid w:val="00AA6162"/>
    <w:rPr>
      <w:vertAlign w:val="superscript"/>
    </w:rPr>
  </w:style>
  <w:style w:type="paragraph" w:styleId="NormalWeb">
    <w:name w:val="Normal (Web)"/>
    <w:basedOn w:val="Normal"/>
    <w:uiPriority w:val="99"/>
    <w:unhideWhenUsed/>
    <w:locked/>
    <w:rsid w:val="00AA6162"/>
    <w:pPr>
      <w:spacing w:before="100" w:beforeAutospacing="1" w:after="100" w:afterAutospacing="1"/>
    </w:pPr>
    <w:rPr>
      <w:rFonts w:eastAsiaTheme="minorEastAsia"/>
    </w:rPr>
  </w:style>
  <w:style w:type="paragraph" w:styleId="TOCHeading">
    <w:name w:val="TOC Heading"/>
    <w:basedOn w:val="Heading1"/>
    <w:next w:val="Normal"/>
    <w:uiPriority w:val="39"/>
    <w:qFormat/>
    <w:locked/>
    <w:rsid w:val="00A10486"/>
    <w:pPr>
      <w:keepLines/>
      <w:pageBreakBefore w:val="0"/>
      <w:numPr>
        <w:numId w:val="0"/>
      </w:numPr>
      <w:spacing w:before="240" w:after="0" w:line="240" w:lineRule="auto"/>
      <w:outlineLvl w:val="9"/>
    </w:pPr>
    <w:rPr>
      <w:rFonts w:asciiTheme="majorHAnsi" w:eastAsiaTheme="majorEastAsia" w:hAnsiTheme="majorHAnsi" w:cstheme="majorBidi"/>
      <w:b w:val="0"/>
      <w:color w:val="365F91" w:themeColor="accent1" w:themeShade="BF"/>
      <w:sz w:val="32"/>
      <w:szCs w:val="32"/>
    </w:rPr>
  </w:style>
  <w:style w:type="character" w:customStyle="1" w:styleId="Heading4Char">
    <w:name w:val="Heading 4 Char"/>
    <w:basedOn w:val="DefaultParagraphFont"/>
    <w:link w:val="Heading4"/>
    <w:uiPriority w:val="9"/>
    <w:rsid w:val="00A10486"/>
    <w:rPr>
      <w:rFonts w:ascii="Arial Bold" w:eastAsia="Arial Bold" w:hAnsi="Arial Bold" w:cs="Arial"/>
      <w:b/>
      <w:color w:val="000000"/>
      <w:sz w:val="22"/>
      <w:szCs w:val="40"/>
    </w:rPr>
  </w:style>
  <w:style w:type="character" w:customStyle="1" w:styleId="Heading5Char">
    <w:name w:val="Heading 5 Char"/>
    <w:basedOn w:val="DefaultParagraphFont"/>
    <w:link w:val="Heading5"/>
    <w:uiPriority w:val="9"/>
    <w:semiHidden/>
    <w:rsid w:val="00A10486"/>
    <w:rPr>
      <w:rFonts w:ascii="Verdana" w:hAnsi="Verdana"/>
      <w:sz w:val="22"/>
      <w:lang w:eastAsia="en-US"/>
    </w:rPr>
  </w:style>
  <w:style w:type="character" w:customStyle="1" w:styleId="Heading6Char">
    <w:name w:val="Heading 6 Char"/>
    <w:basedOn w:val="DefaultParagraphFont"/>
    <w:link w:val="Heading6"/>
    <w:uiPriority w:val="9"/>
    <w:semiHidden/>
    <w:rsid w:val="00A10486"/>
    <w:rPr>
      <w:rFonts w:ascii="Verdana" w:hAnsi="Verdana"/>
      <w:sz w:val="22"/>
      <w:lang w:eastAsia="en-US"/>
    </w:rPr>
  </w:style>
  <w:style w:type="character" w:customStyle="1" w:styleId="Heading7Char">
    <w:name w:val="Heading 7 Char"/>
    <w:basedOn w:val="DefaultParagraphFont"/>
    <w:link w:val="Heading7"/>
    <w:uiPriority w:val="9"/>
    <w:semiHidden/>
    <w:rsid w:val="00A10486"/>
    <w:rPr>
      <w:rFonts w:ascii="Arial" w:hAnsi="Arial"/>
      <w:lang w:eastAsia="en-US"/>
    </w:rPr>
  </w:style>
  <w:style w:type="character" w:customStyle="1" w:styleId="Heading8Char">
    <w:name w:val="Heading 8 Char"/>
    <w:basedOn w:val="DefaultParagraphFont"/>
    <w:link w:val="Heading8"/>
    <w:uiPriority w:val="9"/>
    <w:semiHidden/>
    <w:rsid w:val="00A10486"/>
    <w:rPr>
      <w:rFonts w:ascii="Arial" w:hAnsi="Arial"/>
      <w:i/>
      <w:lang w:eastAsia="en-US"/>
    </w:rPr>
  </w:style>
  <w:style w:type="character" w:customStyle="1" w:styleId="Heading9Char">
    <w:name w:val="Heading 9 Char"/>
    <w:basedOn w:val="DefaultParagraphFont"/>
    <w:link w:val="Heading9"/>
    <w:uiPriority w:val="9"/>
    <w:semiHidden/>
    <w:rsid w:val="00A10486"/>
    <w:rPr>
      <w:rFonts w:ascii="Arial" w:hAnsi="Arial"/>
      <w:i/>
      <w:sz w:val="18"/>
      <w:lang w:eastAsia="en-US"/>
    </w:rPr>
  </w:style>
  <w:style w:type="numbering" w:styleId="ArticleSection">
    <w:name w:val="Outline List 3"/>
    <w:basedOn w:val="NoList"/>
    <w:semiHidden/>
    <w:locked/>
    <w:rsid w:val="00A10486"/>
    <w:pPr>
      <w:numPr>
        <w:numId w:val="23"/>
      </w:numPr>
    </w:pPr>
  </w:style>
  <w:style w:type="paragraph" w:customStyle="1" w:styleId="SubPara">
    <w:name w:val="Sub Para"/>
    <w:basedOn w:val="BodyText"/>
    <w:uiPriority w:val="2"/>
    <w:locked/>
    <w:rsid w:val="00A10486"/>
    <w:pPr>
      <w:numPr>
        <w:numId w:val="24"/>
      </w:numPr>
      <w:spacing w:before="40" w:after="40" w:line="280" w:lineRule="atLeast"/>
    </w:pPr>
    <w:rPr>
      <w:rFonts w:ascii="Arial Narrow" w:hAnsi="Arial Narrow"/>
      <w:color w:val="000000"/>
      <w:sz w:val="21"/>
      <w:lang w:eastAsia="en-AU"/>
    </w:rPr>
  </w:style>
  <w:style w:type="character" w:styleId="Strong">
    <w:name w:val="Strong"/>
    <w:basedOn w:val="DefaultParagraphFont"/>
    <w:uiPriority w:val="22"/>
    <w:qFormat/>
    <w:locked/>
    <w:rsid w:val="00A10486"/>
    <w:rPr>
      <w:b/>
      <w:bCs/>
    </w:rPr>
  </w:style>
  <w:style w:type="character" w:customStyle="1" w:styleId="HeaderChar">
    <w:name w:val="Header Char"/>
    <w:basedOn w:val="DefaultParagraphFont"/>
    <w:link w:val="Header"/>
    <w:uiPriority w:val="99"/>
    <w:rsid w:val="00A10486"/>
    <w:rPr>
      <w:sz w:val="24"/>
      <w:szCs w:val="24"/>
    </w:rPr>
  </w:style>
  <w:style w:type="paragraph" w:customStyle="1" w:styleId="FooterNumber">
    <w:name w:val="Footer Number"/>
    <w:basedOn w:val="Footer"/>
    <w:link w:val="FooterNumberChar"/>
    <w:semiHidden/>
    <w:rsid w:val="00A10486"/>
    <w:pPr>
      <w:pBdr>
        <w:top w:val="single" w:sz="4" w:space="1" w:color="auto"/>
      </w:pBdr>
      <w:tabs>
        <w:tab w:val="clear" w:pos="4153"/>
        <w:tab w:val="clear" w:pos="8306"/>
        <w:tab w:val="right" w:pos="9360"/>
      </w:tabs>
    </w:pPr>
    <w:rPr>
      <w:rFonts w:ascii="Arial Narrow" w:hAnsi="Arial Narrow"/>
      <w:color w:val="000000"/>
      <w:sz w:val="16"/>
      <w:szCs w:val="16"/>
    </w:rPr>
  </w:style>
  <w:style w:type="character" w:customStyle="1" w:styleId="FooterNumberChar">
    <w:name w:val="Footer Number Char"/>
    <w:basedOn w:val="FooterChar"/>
    <w:link w:val="FooterNumber"/>
    <w:semiHidden/>
    <w:rsid w:val="00A10486"/>
    <w:rPr>
      <w:rFonts w:ascii="Arial Narrow" w:hAnsi="Arial Narrow"/>
      <w:color w:val="000000"/>
      <w:sz w:val="16"/>
      <w:szCs w:val="16"/>
    </w:rPr>
  </w:style>
  <w:style w:type="paragraph" w:customStyle="1" w:styleId="TableDotPoint">
    <w:name w:val="Table Dot Point"/>
    <w:basedOn w:val="Normal"/>
    <w:uiPriority w:val="2"/>
    <w:locked/>
    <w:rsid w:val="00A10486"/>
    <w:pPr>
      <w:keepLines/>
      <w:numPr>
        <w:numId w:val="26"/>
      </w:numPr>
      <w:tabs>
        <w:tab w:val="left" w:pos="176"/>
        <w:tab w:val="left" w:pos="1800"/>
      </w:tabs>
      <w:overflowPunct w:val="0"/>
      <w:autoSpaceDE w:val="0"/>
      <w:autoSpaceDN w:val="0"/>
      <w:adjustRightInd w:val="0"/>
      <w:spacing w:line="240" w:lineRule="atLeast"/>
      <w:contextualSpacing/>
      <w:textAlignment w:val="baseline"/>
    </w:pPr>
    <w:rPr>
      <w:rFonts w:ascii="Arial" w:hAnsi="Arial"/>
      <w:sz w:val="20"/>
      <w:szCs w:val="20"/>
      <w:lang w:eastAsia="en-US"/>
    </w:rPr>
  </w:style>
  <w:style w:type="paragraph" w:customStyle="1" w:styleId="AppendixH2">
    <w:name w:val="Appendix H2"/>
    <w:basedOn w:val="Heading2"/>
    <w:uiPriority w:val="4"/>
    <w:locked/>
    <w:rsid w:val="00A10486"/>
    <w:pPr>
      <w:keepLines/>
      <w:numPr>
        <w:ilvl w:val="0"/>
        <w:numId w:val="0"/>
      </w:numPr>
      <w:shd w:val="clear" w:color="00FFFF" w:fill="auto"/>
      <w:tabs>
        <w:tab w:val="num" w:pos="1134"/>
      </w:tabs>
      <w:suppressAutoHyphens/>
      <w:spacing w:before="360" w:line="240" w:lineRule="auto"/>
      <w:ind w:left="720" w:hanging="720"/>
      <w:jc w:val="both"/>
    </w:pPr>
    <w:rPr>
      <w:rFonts w:asciiTheme="minorHAnsi" w:eastAsiaTheme="majorEastAsia" w:hAnsiTheme="minorHAnsi" w:cs="Times New Roman"/>
      <w:iCs/>
      <w:kern w:val="28"/>
      <w:sz w:val="22"/>
      <w:szCs w:val="20"/>
      <w:lang w:eastAsia="en-US"/>
    </w:rPr>
  </w:style>
  <w:style w:type="paragraph" w:customStyle="1" w:styleId="AppendixH3">
    <w:name w:val="Appendix H3"/>
    <w:basedOn w:val="Heading3"/>
    <w:uiPriority w:val="4"/>
    <w:locked/>
    <w:rsid w:val="00A10486"/>
    <w:pPr>
      <w:keepLines/>
      <w:numPr>
        <w:ilvl w:val="0"/>
        <w:numId w:val="0"/>
      </w:numPr>
      <w:tabs>
        <w:tab w:val="num" w:pos="1134"/>
      </w:tabs>
      <w:suppressAutoHyphens/>
      <w:spacing w:before="360" w:after="0" w:line="240" w:lineRule="auto"/>
      <w:ind w:left="720" w:hanging="720"/>
    </w:pPr>
    <w:rPr>
      <w:rFonts w:ascii="Arial" w:eastAsiaTheme="majorEastAsia" w:hAnsi="Arial" w:cs="Times New Roman"/>
      <w:b w:val="0"/>
      <w:bCs/>
      <w:color w:val="1F497D" w:themeColor="text2"/>
      <w:kern w:val="28"/>
      <w:sz w:val="22"/>
      <w:szCs w:val="20"/>
      <w:lang w:eastAsia="en-US"/>
    </w:rPr>
  </w:style>
  <w:style w:type="paragraph" w:customStyle="1" w:styleId="AppendixHeading">
    <w:name w:val="Appendix Heading"/>
    <w:basedOn w:val="Normal"/>
    <w:uiPriority w:val="4"/>
    <w:rsid w:val="00A10486"/>
    <w:pPr>
      <w:keepNext/>
      <w:pageBreakBefore/>
      <w:numPr>
        <w:numId w:val="25"/>
      </w:numPr>
      <w:shd w:val="clear" w:color="auto" w:fill="EAF1DD" w:themeFill="accent3" w:themeFillTint="33"/>
      <w:overflowPunct w:val="0"/>
      <w:autoSpaceDE w:val="0"/>
      <w:autoSpaceDN w:val="0"/>
      <w:adjustRightInd w:val="0"/>
      <w:spacing w:before="240" w:after="100" w:afterAutospacing="1" w:line="300" w:lineRule="atLeast"/>
      <w:ind w:right="96"/>
      <w:textAlignment w:val="baseline"/>
      <w:outlineLvl w:val="0"/>
    </w:pPr>
    <w:rPr>
      <w:rFonts w:ascii="Arial Narrow" w:hAnsi="Arial Narrow"/>
      <w:b/>
      <w:bCs/>
      <w:kern w:val="28"/>
      <w:sz w:val="40"/>
      <w:szCs w:val="36"/>
      <w:lang w:eastAsia="en-US"/>
    </w:rPr>
  </w:style>
  <w:style w:type="paragraph" w:styleId="Title">
    <w:name w:val="Title"/>
    <w:basedOn w:val="Normal"/>
    <w:next w:val="Normal"/>
    <w:link w:val="TitleChar"/>
    <w:uiPriority w:val="10"/>
    <w:qFormat/>
    <w:locked/>
    <w:rsid w:val="00A10486"/>
    <w:pPr>
      <w:contextualSpacing/>
    </w:pPr>
    <w:rPr>
      <w:rFonts w:asciiTheme="majorHAnsi" w:eastAsiaTheme="majorEastAsia" w:hAnsiTheme="majorHAnsi" w:cstheme="majorBidi"/>
      <w:color w:val="4F81BD" w:themeColor="accent1"/>
      <w:spacing w:val="-10"/>
      <w:sz w:val="56"/>
      <w:szCs w:val="56"/>
      <w:lang w:eastAsia="en-US"/>
    </w:rPr>
  </w:style>
  <w:style w:type="character" w:customStyle="1" w:styleId="TitleChar">
    <w:name w:val="Title Char"/>
    <w:basedOn w:val="DefaultParagraphFont"/>
    <w:link w:val="Title"/>
    <w:uiPriority w:val="10"/>
    <w:rsid w:val="00A10486"/>
    <w:rPr>
      <w:rFonts w:asciiTheme="majorHAnsi" w:eastAsiaTheme="majorEastAsia" w:hAnsiTheme="majorHAnsi" w:cstheme="majorBidi"/>
      <w:color w:val="4F81BD" w:themeColor="accent1"/>
      <w:spacing w:val="-10"/>
      <w:sz w:val="56"/>
      <w:szCs w:val="56"/>
      <w:lang w:eastAsia="en-US"/>
    </w:rPr>
  </w:style>
  <w:style w:type="paragraph" w:styleId="Subtitle">
    <w:name w:val="Subtitle"/>
    <w:basedOn w:val="Normal"/>
    <w:next w:val="Normal"/>
    <w:link w:val="SubtitleChar"/>
    <w:uiPriority w:val="11"/>
    <w:qFormat/>
    <w:locked/>
    <w:rsid w:val="00A10486"/>
    <w:pPr>
      <w:numPr>
        <w:ilvl w:val="1"/>
      </w:numPr>
      <w:spacing w:after="120"/>
    </w:pPr>
    <w:rPr>
      <w:rFonts w:asciiTheme="majorHAnsi" w:eastAsiaTheme="majorEastAsia" w:hAnsiTheme="majorHAnsi" w:cstheme="majorBidi"/>
      <w:lang w:eastAsia="en-US"/>
    </w:rPr>
  </w:style>
  <w:style w:type="character" w:customStyle="1" w:styleId="SubtitleChar">
    <w:name w:val="Subtitle Char"/>
    <w:basedOn w:val="DefaultParagraphFont"/>
    <w:link w:val="Subtitle"/>
    <w:uiPriority w:val="11"/>
    <w:rsid w:val="00A10486"/>
    <w:rPr>
      <w:rFonts w:asciiTheme="majorHAnsi" w:eastAsiaTheme="majorEastAsia" w:hAnsiTheme="majorHAnsi" w:cstheme="majorBidi"/>
      <w:sz w:val="24"/>
      <w:szCs w:val="24"/>
      <w:lang w:eastAsia="en-US"/>
    </w:rPr>
  </w:style>
  <w:style w:type="character" w:styleId="Emphasis">
    <w:name w:val="Emphasis"/>
    <w:basedOn w:val="DefaultParagraphFont"/>
    <w:uiPriority w:val="20"/>
    <w:qFormat/>
    <w:locked/>
    <w:rsid w:val="00A10486"/>
    <w:rPr>
      <w:i/>
      <w:iCs/>
    </w:rPr>
  </w:style>
  <w:style w:type="paragraph" w:styleId="NoSpacing">
    <w:name w:val="No Spacing"/>
    <w:uiPriority w:val="1"/>
    <w:qFormat/>
    <w:locked/>
    <w:rsid w:val="00A10486"/>
    <w:rPr>
      <w:rFonts w:asciiTheme="minorHAnsi" w:eastAsiaTheme="minorEastAsia" w:hAnsiTheme="minorHAnsi" w:cstheme="minorBidi"/>
      <w:lang w:eastAsia="en-US"/>
    </w:rPr>
  </w:style>
  <w:style w:type="paragraph" w:styleId="Quote">
    <w:name w:val="Quote"/>
    <w:basedOn w:val="Normal"/>
    <w:next w:val="Normal"/>
    <w:link w:val="QuoteChar"/>
    <w:uiPriority w:val="29"/>
    <w:qFormat/>
    <w:locked/>
    <w:rsid w:val="00A10486"/>
    <w:pPr>
      <w:spacing w:before="160" w:after="120" w:line="264" w:lineRule="auto"/>
      <w:ind w:left="720" w:right="720"/>
    </w:pPr>
    <w:rPr>
      <w:rFonts w:asciiTheme="minorHAnsi" w:eastAsiaTheme="minorEastAsia" w:hAnsiTheme="minorHAnsi" w:cstheme="minorBidi"/>
      <w:i/>
      <w:iCs/>
      <w:color w:val="404040" w:themeColor="text1" w:themeTint="BF"/>
      <w:sz w:val="20"/>
      <w:szCs w:val="20"/>
      <w:lang w:eastAsia="en-US"/>
    </w:rPr>
  </w:style>
  <w:style w:type="character" w:customStyle="1" w:styleId="QuoteChar">
    <w:name w:val="Quote Char"/>
    <w:basedOn w:val="DefaultParagraphFont"/>
    <w:link w:val="Quote"/>
    <w:uiPriority w:val="29"/>
    <w:rsid w:val="00A10486"/>
    <w:rPr>
      <w:rFonts w:asciiTheme="minorHAnsi" w:eastAsiaTheme="minorEastAsia" w:hAnsiTheme="minorHAnsi" w:cstheme="minorBidi"/>
      <w:i/>
      <w:iCs/>
      <w:color w:val="404040" w:themeColor="text1" w:themeTint="BF"/>
      <w:lang w:eastAsia="en-US"/>
    </w:rPr>
  </w:style>
  <w:style w:type="paragraph" w:styleId="IntenseQuote">
    <w:name w:val="Intense Quote"/>
    <w:basedOn w:val="Normal"/>
    <w:next w:val="Normal"/>
    <w:link w:val="IntenseQuoteChar"/>
    <w:uiPriority w:val="30"/>
    <w:qFormat/>
    <w:locked/>
    <w:rsid w:val="00A10486"/>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eastAsia="en-US"/>
    </w:rPr>
  </w:style>
  <w:style w:type="character" w:customStyle="1" w:styleId="IntenseQuoteChar">
    <w:name w:val="Intense Quote Char"/>
    <w:basedOn w:val="DefaultParagraphFont"/>
    <w:link w:val="IntenseQuote"/>
    <w:uiPriority w:val="30"/>
    <w:rsid w:val="00A10486"/>
    <w:rPr>
      <w:rFonts w:asciiTheme="majorHAnsi" w:eastAsiaTheme="majorEastAsia" w:hAnsiTheme="majorHAnsi" w:cstheme="majorBidi"/>
      <w:color w:val="4F81BD" w:themeColor="accent1"/>
      <w:sz w:val="28"/>
      <w:szCs w:val="28"/>
      <w:lang w:eastAsia="en-US"/>
    </w:rPr>
  </w:style>
  <w:style w:type="character" w:styleId="SubtleEmphasis">
    <w:name w:val="Subtle Emphasis"/>
    <w:basedOn w:val="DefaultParagraphFont"/>
    <w:uiPriority w:val="19"/>
    <w:qFormat/>
    <w:locked/>
    <w:rsid w:val="00A10486"/>
    <w:rPr>
      <w:i/>
      <w:iCs/>
      <w:color w:val="404040" w:themeColor="text1" w:themeTint="BF"/>
    </w:rPr>
  </w:style>
  <w:style w:type="character" w:styleId="IntenseEmphasis">
    <w:name w:val="Intense Emphasis"/>
    <w:basedOn w:val="DefaultParagraphFont"/>
    <w:uiPriority w:val="21"/>
    <w:qFormat/>
    <w:locked/>
    <w:rsid w:val="00A10486"/>
    <w:rPr>
      <w:b/>
      <w:bCs/>
      <w:i/>
      <w:iCs/>
    </w:rPr>
  </w:style>
  <w:style w:type="character" w:styleId="SubtleReference">
    <w:name w:val="Subtle Reference"/>
    <w:basedOn w:val="DefaultParagraphFont"/>
    <w:uiPriority w:val="31"/>
    <w:qFormat/>
    <w:locked/>
    <w:rsid w:val="00A10486"/>
    <w:rPr>
      <w:smallCaps/>
      <w:color w:val="404040" w:themeColor="text1" w:themeTint="BF"/>
      <w:u w:val="single" w:color="7F7F7F" w:themeColor="text1" w:themeTint="80"/>
    </w:rPr>
  </w:style>
  <w:style w:type="character" w:styleId="IntenseReference">
    <w:name w:val="Intense Reference"/>
    <w:basedOn w:val="DefaultParagraphFont"/>
    <w:uiPriority w:val="32"/>
    <w:qFormat/>
    <w:locked/>
    <w:rsid w:val="00A10486"/>
    <w:rPr>
      <w:b/>
      <w:bCs/>
      <w:smallCaps/>
      <w:spacing w:val="5"/>
      <w:u w:val="single"/>
    </w:rPr>
  </w:style>
  <w:style w:type="character" w:styleId="BookTitle">
    <w:name w:val="Book Title"/>
    <w:basedOn w:val="DefaultParagraphFont"/>
    <w:uiPriority w:val="33"/>
    <w:qFormat/>
    <w:locked/>
    <w:rsid w:val="00A10486"/>
    <w:rPr>
      <w:b/>
      <w:bCs/>
      <w:smallCaps/>
    </w:rPr>
  </w:style>
  <w:style w:type="character" w:customStyle="1" w:styleId="bcx0">
    <w:name w:val="bcx0"/>
    <w:basedOn w:val="DefaultParagraphFont"/>
    <w:rsid w:val="00A10486"/>
  </w:style>
  <w:style w:type="character" w:customStyle="1" w:styleId="spellingerror">
    <w:name w:val="spellingerror"/>
    <w:basedOn w:val="DefaultParagraphFont"/>
    <w:rsid w:val="00A10486"/>
  </w:style>
  <w:style w:type="character" w:customStyle="1" w:styleId="findhit">
    <w:name w:val="findhit"/>
    <w:basedOn w:val="DefaultParagraphFont"/>
    <w:rsid w:val="00A10486"/>
  </w:style>
  <w:style w:type="table" w:customStyle="1" w:styleId="TableGrid1">
    <w:name w:val="Table Grid1"/>
    <w:basedOn w:val="TableNormal"/>
    <w:next w:val="TableGrid"/>
    <w:uiPriority w:val="39"/>
    <w:rsid w:val="00A104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07E27"/>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
    <w:name w:val="List Bullet"/>
    <w:basedOn w:val="Normal"/>
    <w:semiHidden/>
    <w:locked/>
    <w:rsid w:val="00BC7457"/>
    <w:pPr>
      <w:contextualSpacing/>
    </w:pPr>
  </w:style>
  <w:style w:type="table" w:styleId="ListTable4-Accent1">
    <w:name w:val="List Table 4 Accent 1"/>
    <w:basedOn w:val="TableNormal"/>
    <w:uiPriority w:val="49"/>
    <w:rsid w:val="00854277"/>
    <w:rPr>
      <w:rFonts w:asciiTheme="minorHAnsi" w:eastAsiaTheme="minorHAnsi" w:hAnsiTheme="minorHAnsi" w:cstheme="minorBidi"/>
      <w:sz w:val="22"/>
      <w:szCs w:val="22"/>
      <w:lang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3-Accent1">
    <w:name w:val="Grid Table 3 Accent 1"/>
    <w:basedOn w:val="TableNormal"/>
    <w:uiPriority w:val="48"/>
    <w:rsid w:val="00D26131"/>
    <w:rPr>
      <w:rFonts w:asciiTheme="minorHAnsi" w:eastAsiaTheme="minorHAnsi" w:hAnsiTheme="minorHAnsi" w:cstheme="minorBidi"/>
      <w:sz w:val="22"/>
      <w:szCs w:val="22"/>
      <w:lang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D26131"/>
    <w:rPr>
      <w:rFonts w:asciiTheme="minorHAnsi" w:eastAsiaTheme="minorHAnsi" w:hAnsiTheme="minorHAnsi" w:cstheme="minorBidi"/>
      <w:sz w:val="22"/>
      <w:szCs w:val="22"/>
      <w:lang w:eastAsia="en-US"/>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4-Accent1">
    <w:name w:val="Grid Table 4 Accent 1"/>
    <w:basedOn w:val="TableNormal"/>
    <w:uiPriority w:val="49"/>
    <w:rsid w:val="00EF5FBB"/>
    <w:rPr>
      <w:rFonts w:asciiTheme="minorHAnsi" w:eastAsiaTheme="minorHAnsi" w:hAnsiTheme="minorHAnsi" w:cstheme="minorBidi"/>
      <w:sz w:val="22"/>
      <w:szCs w:val="22"/>
      <w:lang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val="0"/>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PlaceholderText">
    <w:name w:val="Placeholder Text"/>
    <w:basedOn w:val="DefaultParagraphFont"/>
    <w:uiPriority w:val="99"/>
    <w:semiHidden/>
    <w:locked/>
    <w:rsid w:val="00836013"/>
    <w:rPr>
      <w:color w:val="808080"/>
    </w:rPr>
  </w:style>
  <w:style w:type="character" w:customStyle="1" w:styleId="BodytextChar0">
    <w:name w:val="Body text Char"/>
    <w:basedOn w:val="DefaultParagraphFont"/>
    <w:link w:val="BodyText1"/>
    <w:locked/>
    <w:rsid w:val="00D978A4"/>
    <w:rPr>
      <w:rFonts w:ascii="Arial" w:hAnsi="Arial" w:cs="Arial"/>
      <w:sz w:val="22"/>
      <w:szCs w:val="22"/>
      <w:lang w:eastAsia="en-US"/>
    </w:rPr>
  </w:style>
  <w:style w:type="paragraph" w:customStyle="1" w:styleId="BodyText1">
    <w:name w:val="Body Text1"/>
    <w:basedOn w:val="Normal"/>
    <w:link w:val="BodytextChar0"/>
    <w:qFormat/>
    <w:rsid w:val="00D978A4"/>
    <w:pPr>
      <w:spacing w:after="120"/>
      <w:ind w:right="284"/>
    </w:pPr>
    <w:rPr>
      <w:rFonts w:ascii="Arial" w:hAnsi="Arial" w:cs="Arial"/>
      <w:sz w:val="22"/>
      <w:szCs w:val="22"/>
      <w:lang w:eastAsia="en-US"/>
    </w:rPr>
  </w:style>
  <w:style w:type="character" w:customStyle="1" w:styleId="SubheadingChar">
    <w:name w:val="Subheading Char"/>
    <w:basedOn w:val="DefaultParagraphFont"/>
    <w:link w:val="Subheading"/>
    <w:locked/>
    <w:rsid w:val="00D978A4"/>
    <w:rPr>
      <w:rFonts w:ascii="Arial" w:hAnsi="Arial" w:cs="Arial"/>
      <w:b/>
      <w:color w:val="002664"/>
      <w:sz w:val="22"/>
      <w:szCs w:val="22"/>
      <w:lang w:eastAsia="en-US"/>
    </w:rPr>
  </w:style>
  <w:style w:type="paragraph" w:customStyle="1" w:styleId="Subheading">
    <w:name w:val="Subheading"/>
    <w:basedOn w:val="Normal"/>
    <w:link w:val="SubheadingChar"/>
    <w:qFormat/>
    <w:rsid w:val="00D978A4"/>
    <w:pPr>
      <w:spacing w:before="240" w:after="120"/>
      <w:ind w:right="284"/>
    </w:pPr>
    <w:rPr>
      <w:rFonts w:ascii="Arial" w:hAnsi="Arial" w:cs="Arial"/>
      <w:b/>
      <w:color w:val="002664"/>
      <w:sz w:val="22"/>
      <w:szCs w:val="22"/>
      <w:lang w:eastAsia="en-US"/>
    </w:rPr>
  </w:style>
  <w:style w:type="paragraph" w:customStyle="1" w:styleId="xmsonormal">
    <w:name w:val="x_msonormal"/>
    <w:basedOn w:val="Normal"/>
    <w:rsid w:val="00426E20"/>
    <w:rPr>
      <w:rFonts w:ascii="Calibri" w:eastAsiaTheme="minorHAnsi" w:hAnsi="Calibri" w:cs="Calibri"/>
      <w:sz w:val="22"/>
      <w:szCs w:val="22"/>
    </w:rPr>
  </w:style>
  <w:style w:type="character" w:customStyle="1" w:styleId="hgkelc">
    <w:name w:val="hgkelc"/>
    <w:basedOn w:val="DefaultParagraphFont"/>
    <w:rsid w:val="00C946F7"/>
  </w:style>
  <w:style w:type="character" w:styleId="Mention">
    <w:name w:val="Mention"/>
    <w:basedOn w:val="DefaultParagraphFont"/>
    <w:uiPriority w:val="99"/>
    <w:unhideWhenUsed/>
    <w:rsid w:val="00AF452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358295">
      <w:bodyDiv w:val="1"/>
      <w:marLeft w:val="0"/>
      <w:marRight w:val="0"/>
      <w:marTop w:val="0"/>
      <w:marBottom w:val="0"/>
      <w:divBdr>
        <w:top w:val="none" w:sz="0" w:space="0" w:color="auto"/>
        <w:left w:val="none" w:sz="0" w:space="0" w:color="auto"/>
        <w:bottom w:val="none" w:sz="0" w:space="0" w:color="auto"/>
        <w:right w:val="none" w:sz="0" w:space="0" w:color="auto"/>
      </w:divBdr>
    </w:div>
    <w:div w:id="292684876">
      <w:bodyDiv w:val="1"/>
      <w:marLeft w:val="0"/>
      <w:marRight w:val="0"/>
      <w:marTop w:val="0"/>
      <w:marBottom w:val="0"/>
      <w:divBdr>
        <w:top w:val="none" w:sz="0" w:space="0" w:color="auto"/>
        <w:left w:val="none" w:sz="0" w:space="0" w:color="auto"/>
        <w:bottom w:val="none" w:sz="0" w:space="0" w:color="auto"/>
        <w:right w:val="none" w:sz="0" w:space="0" w:color="auto"/>
      </w:divBdr>
    </w:div>
    <w:div w:id="332103091">
      <w:bodyDiv w:val="1"/>
      <w:marLeft w:val="0"/>
      <w:marRight w:val="0"/>
      <w:marTop w:val="0"/>
      <w:marBottom w:val="0"/>
      <w:divBdr>
        <w:top w:val="none" w:sz="0" w:space="0" w:color="auto"/>
        <w:left w:val="none" w:sz="0" w:space="0" w:color="auto"/>
        <w:bottom w:val="none" w:sz="0" w:space="0" w:color="auto"/>
        <w:right w:val="none" w:sz="0" w:space="0" w:color="auto"/>
      </w:divBdr>
    </w:div>
    <w:div w:id="370419608">
      <w:bodyDiv w:val="1"/>
      <w:marLeft w:val="0"/>
      <w:marRight w:val="0"/>
      <w:marTop w:val="0"/>
      <w:marBottom w:val="0"/>
      <w:divBdr>
        <w:top w:val="none" w:sz="0" w:space="0" w:color="auto"/>
        <w:left w:val="none" w:sz="0" w:space="0" w:color="auto"/>
        <w:bottom w:val="none" w:sz="0" w:space="0" w:color="auto"/>
        <w:right w:val="none" w:sz="0" w:space="0" w:color="auto"/>
      </w:divBdr>
    </w:div>
    <w:div w:id="462045148">
      <w:bodyDiv w:val="1"/>
      <w:marLeft w:val="0"/>
      <w:marRight w:val="0"/>
      <w:marTop w:val="0"/>
      <w:marBottom w:val="0"/>
      <w:divBdr>
        <w:top w:val="none" w:sz="0" w:space="0" w:color="auto"/>
        <w:left w:val="none" w:sz="0" w:space="0" w:color="auto"/>
        <w:bottom w:val="none" w:sz="0" w:space="0" w:color="auto"/>
        <w:right w:val="none" w:sz="0" w:space="0" w:color="auto"/>
      </w:divBdr>
    </w:div>
    <w:div w:id="487326694">
      <w:bodyDiv w:val="1"/>
      <w:marLeft w:val="0"/>
      <w:marRight w:val="0"/>
      <w:marTop w:val="0"/>
      <w:marBottom w:val="0"/>
      <w:divBdr>
        <w:top w:val="none" w:sz="0" w:space="0" w:color="auto"/>
        <w:left w:val="none" w:sz="0" w:space="0" w:color="auto"/>
        <w:bottom w:val="none" w:sz="0" w:space="0" w:color="auto"/>
        <w:right w:val="none" w:sz="0" w:space="0" w:color="auto"/>
      </w:divBdr>
    </w:div>
    <w:div w:id="612631967">
      <w:bodyDiv w:val="1"/>
      <w:marLeft w:val="0"/>
      <w:marRight w:val="0"/>
      <w:marTop w:val="0"/>
      <w:marBottom w:val="0"/>
      <w:divBdr>
        <w:top w:val="none" w:sz="0" w:space="0" w:color="auto"/>
        <w:left w:val="none" w:sz="0" w:space="0" w:color="auto"/>
        <w:bottom w:val="none" w:sz="0" w:space="0" w:color="auto"/>
        <w:right w:val="none" w:sz="0" w:space="0" w:color="auto"/>
      </w:divBdr>
    </w:div>
    <w:div w:id="619456314">
      <w:bodyDiv w:val="1"/>
      <w:marLeft w:val="0"/>
      <w:marRight w:val="0"/>
      <w:marTop w:val="0"/>
      <w:marBottom w:val="0"/>
      <w:divBdr>
        <w:top w:val="none" w:sz="0" w:space="0" w:color="auto"/>
        <w:left w:val="none" w:sz="0" w:space="0" w:color="auto"/>
        <w:bottom w:val="none" w:sz="0" w:space="0" w:color="auto"/>
        <w:right w:val="none" w:sz="0" w:space="0" w:color="auto"/>
      </w:divBdr>
    </w:div>
    <w:div w:id="629823640">
      <w:bodyDiv w:val="1"/>
      <w:marLeft w:val="0"/>
      <w:marRight w:val="0"/>
      <w:marTop w:val="0"/>
      <w:marBottom w:val="0"/>
      <w:divBdr>
        <w:top w:val="none" w:sz="0" w:space="0" w:color="auto"/>
        <w:left w:val="none" w:sz="0" w:space="0" w:color="auto"/>
        <w:bottom w:val="none" w:sz="0" w:space="0" w:color="auto"/>
        <w:right w:val="none" w:sz="0" w:space="0" w:color="auto"/>
      </w:divBdr>
    </w:div>
    <w:div w:id="644507002">
      <w:bodyDiv w:val="1"/>
      <w:marLeft w:val="0"/>
      <w:marRight w:val="0"/>
      <w:marTop w:val="0"/>
      <w:marBottom w:val="0"/>
      <w:divBdr>
        <w:top w:val="none" w:sz="0" w:space="0" w:color="auto"/>
        <w:left w:val="none" w:sz="0" w:space="0" w:color="auto"/>
        <w:bottom w:val="none" w:sz="0" w:space="0" w:color="auto"/>
        <w:right w:val="none" w:sz="0" w:space="0" w:color="auto"/>
      </w:divBdr>
    </w:div>
    <w:div w:id="649091014">
      <w:bodyDiv w:val="1"/>
      <w:marLeft w:val="0"/>
      <w:marRight w:val="0"/>
      <w:marTop w:val="0"/>
      <w:marBottom w:val="0"/>
      <w:divBdr>
        <w:top w:val="none" w:sz="0" w:space="0" w:color="auto"/>
        <w:left w:val="none" w:sz="0" w:space="0" w:color="auto"/>
        <w:bottom w:val="none" w:sz="0" w:space="0" w:color="auto"/>
        <w:right w:val="none" w:sz="0" w:space="0" w:color="auto"/>
      </w:divBdr>
    </w:div>
    <w:div w:id="702244041">
      <w:bodyDiv w:val="1"/>
      <w:marLeft w:val="0"/>
      <w:marRight w:val="0"/>
      <w:marTop w:val="0"/>
      <w:marBottom w:val="0"/>
      <w:divBdr>
        <w:top w:val="none" w:sz="0" w:space="0" w:color="auto"/>
        <w:left w:val="none" w:sz="0" w:space="0" w:color="auto"/>
        <w:bottom w:val="none" w:sz="0" w:space="0" w:color="auto"/>
        <w:right w:val="none" w:sz="0" w:space="0" w:color="auto"/>
      </w:divBdr>
    </w:div>
    <w:div w:id="940531394">
      <w:bodyDiv w:val="1"/>
      <w:marLeft w:val="0"/>
      <w:marRight w:val="0"/>
      <w:marTop w:val="0"/>
      <w:marBottom w:val="0"/>
      <w:divBdr>
        <w:top w:val="none" w:sz="0" w:space="0" w:color="auto"/>
        <w:left w:val="none" w:sz="0" w:space="0" w:color="auto"/>
        <w:bottom w:val="none" w:sz="0" w:space="0" w:color="auto"/>
        <w:right w:val="none" w:sz="0" w:space="0" w:color="auto"/>
      </w:divBdr>
    </w:div>
    <w:div w:id="1001469777">
      <w:bodyDiv w:val="1"/>
      <w:marLeft w:val="0"/>
      <w:marRight w:val="0"/>
      <w:marTop w:val="0"/>
      <w:marBottom w:val="0"/>
      <w:divBdr>
        <w:top w:val="none" w:sz="0" w:space="0" w:color="auto"/>
        <w:left w:val="none" w:sz="0" w:space="0" w:color="auto"/>
        <w:bottom w:val="none" w:sz="0" w:space="0" w:color="auto"/>
        <w:right w:val="none" w:sz="0" w:space="0" w:color="auto"/>
      </w:divBdr>
    </w:div>
    <w:div w:id="1038431947">
      <w:bodyDiv w:val="1"/>
      <w:marLeft w:val="0"/>
      <w:marRight w:val="0"/>
      <w:marTop w:val="0"/>
      <w:marBottom w:val="0"/>
      <w:divBdr>
        <w:top w:val="none" w:sz="0" w:space="0" w:color="auto"/>
        <w:left w:val="none" w:sz="0" w:space="0" w:color="auto"/>
        <w:bottom w:val="none" w:sz="0" w:space="0" w:color="auto"/>
        <w:right w:val="none" w:sz="0" w:space="0" w:color="auto"/>
      </w:divBdr>
    </w:div>
    <w:div w:id="1048577890">
      <w:bodyDiv w:val="1"/>
      <w:marLeft w:val="0"/>
      <w:marRight w:val="0"/>
      <w:marTop w:val="0"/>
      <w:marBottom w:val="0"/>
      <w:divBdr>
        <w:top w:val="none" w:sz="0" w:space="0" w:color="auto"/>
        <w:left w:val="none" w:sz="0" w:space="0" w:color="auto"/>
        <w:bottom w:val="none" w:sz="0" w:space="0" w:color="auto"/>
        <w:right w:val="none" w:sz="0" w:space="0" w:color="auto"/>
      </w:divBdr>
    </w:div>
    <w:div w:id="1052386885">
      <w:bodyDiv w:val="1"/>
      <w:marLeft w:val="0"/>
      <w:marRight w:val="0"/>
      <w:marTop w:val="0"/>
      <w:marBottom w:val="0"/>
      <w:divBdr>
        <w:top w:val="none" w:sz="0" w:space="0" w:color="auto"/>
        <w:left w:val="none" w:sz="0" w:space="0" w:color="auto"/>
        <w:bottom w:val="none" w:sz="0" w:space="0" w:color="auto"/>
        <w:right w:val="none" w:sz="0" w:space="0" w:color="auto"/>
      </w:divBdr>
    </w:div>
    <w:div w:id="1094011803">
      <w:bodyDiv w:val="1"/>
      <w:marLeft w:val="0"/>
      <w:marRight w:val="0"/>
      <w:marTop w:val="0"/>
      <w:marBottom w:val="0"/>
      <w:divBdr>
        <w:top w:val="none" w:sz="0" w:space="0" w:color="auto"/>
        <w:left w:val="none" w:sz="0" w:space="0" w:color="auto"/>
        <w:bottom w:val="none" w:sz="0" w:space="0" w:color="auto"/>
        <w:right w:val="none" w:sz="0" w:space="0" w:color="auto"/>
      </w:divBdr>
    </w:div>
    <w:div w:id="1116174812">
      <w:bodyDiv w:val="1"/>
      <w:marLeft w:val="0"/>
      <w:marRight w:val="0"/>
      <w:marTop w:val="0"/>
      <w:marBottom w:val="0"/>
      <w:divBdr>
        <w:top w:val="none" w:sz="0" w:space="0" w:color="auto"/>
        <w:left w:val="none" w:sz="0" w:space="0" w:color="auto"/>
        <w:bottom w:val="none" w:sz="0" w:space="0" w:color="auto"/>
        <w:right w:val="none" w:sz="0" w:space="0" w:color="auto"/>
      </w:divBdr>
    </w:div>
    <w:div w:id="1202279006">
      <w:bodyDiv w:val="1"/>
      <w:marLeft w:val="0"/>
      <w:marRight w:val="0"/>
      <w:marTop w:val="0"/>
      <w:marBottom w:val="0"/>
      <w:divBdr>
        <w:top w:val="none" w:sz="0" w:space="0" w:color="auto"/>
        <w:left w:val="none" w:sz="0" w:space="0" w:color="auto"/>
        <w:bottom w:val="none" w:sz="0" w:space="0" w:color="auto"/>
        <w:right w:val="none" w:sz="0" w:space="0" w:color="auto"/>
      </w:divBdr>
    </w:div>
    <w:div w:id="1352301595">
      <w:bodyDiv w:val="1"/>
      <w:marLeft w:val="0"/>
      <w:marRight w:val="0"/>
      <w:marTop w:val="0"/>
      <w:marBottom w:val="0"/>
      <w:divBdr>
        <w:top w:val="none" w:sz="0" w:space="0" w:color="auto"/>
        <w:left w:val="none" w:sz="0" w:space="0" w:color="auto"/>
        <w:bottom w:val="none" w:sz="0" w:space="0" w:color="auto"/>
        <w:right w:val="none" w:sz="0" w:space="0" w:color="auto"/>
      </w:divBdr>
    </w:div>
    <w:div w:id="1364668571">
      <w:bodyDiv w:val="1"/>
      <w:marLeft w:val="0"/>
      <w:marRight w:val="0"/>
      <w:marTop w:val="0"/>
      <w:marBottom w:val="0"/>
      <w:divBdr>
        <w:top w:val="none" w:sz="0" w:space="0" w:color="auto"/>
        <w:left w:val="none" w:sz="0" w:space="0" w:color="auto"/>
        <w:bottom w:val="none" w:sz="0" w:space="0" w:color="auto"/>
        <w:right w:val="none" w:sz="0" w:space="0" w:color="auto"/>
      </w:divBdr>
    </w:div>
    <w:div w:id="1379433423">
      <w:bodyDiv w:val="1"/>
      <w:marLeft w:val="0"/>
      <w:marRight w:val="0"/>
      <w:marTop w:val="0"/>
      <w:marBottom w:val="0"/>
      <w:divBdr>
        <w:top w:val="none" w:sz="0" w:space="0" w:color="auto"/>
        <w:left w:val="none" w:sz="0" w:space="0" w:color="auto"/>
        <w:bottom w:val="none" w:sz="0" w:space="0" w:color="auto"/>
        <w:right w:val="none" w:sz="0" w:space="0" w:color="auto"/>
      </w:divBdr>
    </w:div>
    <w:div w:id="1382510282">
      <w:bodyDiv w:val="1"/>
      <w:marLeft w:val="0"/>
      <w:marRight w:val="0"/>
      <w:marTop w:val="0"/>
      <w:marBottom w:val="0"/>
      <w:divBdr>
        <w:top w:val="none" w:sz="0" w:space="0" w:color="auto"/>
        <w:left w:val="none" w:sz="0" w:space="0" w:color="auto"/>
        <w:bottom w:val="none" w:sz="0" w:space="0" w:color="auto"/>
        <w:right w:val="none" w:sz="0" w:space="0" w:color="auto"/>
      </w:divBdr>
    </w:div>
    <w:div w:id="1427648811">
      <w:bodyDiv w:val="1"/>
      <w:marLeft w:val="0"/>
      <w:marRight w:val="0"/>
      <w:marTop w:val="0"/>
      <w:marBottom w:val="0"/>
      <w:divBdr>
        <w:top w:val="none" w:sz="0" w:space="0" w:color="auto"/>
        <w:left w:val="none" w:sz="0" w:space="0" w:color="auto"/>
        <w:bottom w:val="none" w:sz="0" w:space="0" w:color="auto"/>
        <w:right w:val="none" w:sz="0" w:space="0" w:color="auto"/>
      </w:divBdr>
    </w:div>
    <w:div w:id="1587571156">
      <w:bodyDiv w:val="1"/>
      <w:marLeft w:val="0"/>
      <w:marRight w:val="0"/>
      <w:marTop w:val="0"/>
      <w:marBottom w:val="0"/>
      <w:divBdr>
        <w:top w:val="none" w:sz="0" w:space="0" w:color="auto"/>
        <w:left w:val="none" w:sz="0" w:space="0" w:color="auto"/>
        <w:bottom w:val="none" w:sz="0" w:space="0" w:color="auto"/>
        <w:right w:val="none" w:sz="0" w:space="0" w:color="auto"/>
      </w:divBdr>
    </w:div>
    <w:div w:id="1646467752">
      <w:bodyDiv w:val="1"/>
      <w:marLeft w:val="0"/>
      <w:marRight w:val="0"/>
      <w:marTop w:val="0"/>
      <w:marBottom w:val="0"/>
      <w:divBdr>
        <w:top w:val="none" w:sz="0" w:space="0" w:color="auto"/>
        <w:left w:val="none" w:sz="0" w:space="0" w:color="auto"/>
        <w:bottom w:val="none" w:sz="0" w:space="0" w:color="auto"/>
        <w:right w:val="none" w:sz="0" w:space="0" w:color="auto"/>
      </w:divBdr>
    </w:div>
    <w:div w:id="1646854785">
      <w:bodyDiv w:val="1"/>
      <w:marLeft w:val="0"/>
      <w:marRight w:val="0"/>
      <w:marTop w:val="0"/>
      <w:marBottom w:val="0"/>
      <w:divBdr>
        <w:top w:val="none" w:sz="0" w:space="0" w:color="auto"/>
        <w:left w:val="none" w:sz="0" w:space="0" w:color="auto"/>
        <w:bottom w:val="none" w:sz="0" w:space="0" w:color="auto"/>
        <w:right w:val="none" w:sz="0" w:space="0" w:color="auto"/>
      </w:divBdr>
    </w:div>
    <w:div w:id="1695038426">
      <w:bodyDiv w:val="1"/>
      <w:marLeft w:val="0"/>
      <w:marRight w:val="0"/>
      <w:marTop w:val="0"/>
      <w:marBottom w:val="0"/>
      <w:divBdr>
        <w:top w:val="none" w:sz="0" w:space="0" w:color="auto"/>
        <w:left w:val="none" w:sz="0" w:space="0" w:color="auto"/>
        <w:bottom w:val="none" w:sz="0" w:space="0" w:color="auto"/>
        <w:right w:val="none" w:sz="0" w:space="0" w:color="auto"/>
      </w:divBdr>
    </w:div>
    <w:div w:id="1803187783">
      <w:bodyDiv w:val="1"/>
      <w:marLeft w:val="0"/>
      <w:marRight w:val="0"/>
      <w:marTop w:val="0"/>
      <w:marBottom w:val="0"/>
      <w:divBdr>
        <w:top w:val="none" w:sz="0" w:space="0" w:color="auto"/>
        <w:left w:val="none" w:sz="0" w:space="0" w:color="auto"/>
        <w:bottom w:val="none" w:sz="0" w:space="0" w:color="auto"/>
        <w:right w:val="none" w:sz="0" w:space="0" w:color="auto"/>
      </w:divBdr>
    </w:div>
    <w:div w:id="1906527211">
      <w:bodyDiv w:val="1"/>
      <w:marLeft w:val="0"/>
      <w:marRight w:val="0"/>
      <w:marTop w:val="0"/>
      <w:marBottom w:val="0"/>
      <w:divBdr>
        <w:top w:val="none" w:sz="0" w:space="0" w:color="auto"/>
        <w:left w:val="none" w:sz="0" w:space="0" w:color="auto"/>
        <w:bottom w:val="none" w:sz="0" w:space="0" w:color="auto"/>
        <w:right w:val="none" w:sz="0" w:space="0" w:color="auto"/>
      </w:divBdr>
    </w:div>
    <w:div w:id="1924334529">
      <w:bodyDiv w:val="1"/>
      <w:marLeft w:val="0"/>
      <w:marRight w:val="0"/>
      <w:marTop w:val="0"/>
      <w:marBottom w:val="0"/>
      <w:divBdr>
        <w:top w:val="none" w:sz="0" w:space="0" w:color="auto"/>
        <w:left w:val="none" w:sz="0" w:space="0" w:color="auto"/>
        <w:bottom w:val="none" w:sz="0" w:space="0" w:color="auto"/>
        <w:right w:val="none" w:sz="0" w:space="0" w:color="auto"/>
      </w:divBdr>
    </w:div>
    <w:div w:id="2042129233">
      <w:bodyDiv w:val="1"/>
      <w:marLeft w:val="0"/>
      <w:marRight w:val="0"/>
      <w:marTop w:val="0"/>
      <w:marBottom w:val="0"/>
      <w:divBdr>
        <w:top w:val="none" w:sz="0" w:space="0" w:color="auto"/>
        <w:left w:val="none" w:sz="0" w:space="0" w:color="auto"/>
        <w:bottom w:val="none" w:sz="0" w:space="0" w:color="auto"/>
        <w:right w:val="none" w:sz="0" w:space="0" w:color="auto"/>
      </w:divBdr>
    </w:div>
    <w:div w:id="2058313641">
      <w:bodyDiv w:val="1"/>
      <w:marLeft w:val="0"/>
      <w:marRight w:val="0"/>
      <w:marTop w:val="0"/>
      <w:marBottom w:val="0"/>
      <w:divBdr>
        <w:top w:val="none" w:sz="0" w:space="0" w:color="auto"/>
        <w:left w:val="none" w:sz="0" w:space="0" w:color="auto"/>
        <w:bottom w:val="none" w:sz="0" w:space="0" w:color="auto"/>
        <w:right w:val="none" w:sz="0" w:space="0" w:color="auto"/>
      </w:divBdr>
    </w:div>
    <w:div w:id="2080521857">
      <w:bodyDiv w:val="1"/>
      <w:marLeft w:val="0"/>
      <w:marRight w:val="0"/>
      <w:marTop w:val="0"/>
      <w:marBottom w:val="0"/>
      <w:divBdr>
        <w:top w:val="none" w:sz="0" w:space="0" w:color="auto"/>
        <w:left w:val="none" w:sz="0" w:space="0" w:color="auto"/>
        <w:bottom w:val="none" w:sz="0" w:space="0" w:color="auto"/>
        <w:right w:val="none" w:sz="0" w:space="0" w:color="auto"/>
      </w:divBdr>
    </w:div>
    <w:div w:id="2094352314">
      <w:bodyDiv w:val="1"/>
      <w:marLeft w:val="0"/>
      <w:marRight w:val="0"/>
      <w:marTop w:val="0"/>
      <w:marBottom w:val="0"/>
      <w:divBdr>
        <w:top w:val="none" w:sz="0" w:space="0" w:color="auto"/>
        <w:left w:val="none" w:sz="0" w:space="0" w:color="auto"/>
        <w:bottom w:val="none" w:sz="0" w:space="0" w:color="auto"/>
        <w:right w:val="none" w:sz="0" w:space="0" w:color="auto"/>
      </w:divBdr>
    </w:div>
    <w:div w:id="2118526303">
      <w:bodyDiv w:val="1"/>
      <w:marLeft w:val="0"/>
      <w:marRight w:val="0"/>
      <w:marTop w:val="0"/>
      <w:marBottom w:val="0"/>
      <w:divBdr>
        <w:top w:val="none" w:sz="0" w:space="0" w:color="auto"/>
        <w:left w:val="none" w:sz="0" w:space="0" w:color="auto"/>
        <w:bottom w:val="none" w:sz="0" w:space="0" w:color="auto"/>
        <w:right w:val="none" w:sz="0" w:space="0" w:color="auto"/>
      </w:divBdr>
    </w:div>
    <w:div w:id="213308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nsw.gov.au/" TargetMode="External"/><Relationship Id="rId299" Type="http://schemas.openxmlformats.org/officeDocument/2006/relationships/hyperlink" Target="https://www.dpc.nsw.gov.au/tools-and-resources/evaluation-toolkit/" TargetMode="External"/><Relationship Id="rId303" Type="http://schemas.openxmlformats.org/officeDocument/2006/relationships/hyperlink" Target="https://www.ipc.nsw.gov.au/information-access/information-access-resources-public-sector-agencies/fact-sheets-guidelines-and-other-resources" TargetMode="External"/><Relationship Id="rId21" Type="http://schemas.openxmlformats.org/officeDocument/2006/relationships/hyperlink" Target="https://wiki.european-iot-pilots.eu/index.php?title=HANDBOOK_TO_THE_IOT_LARGE-SCALE_PILOTS_PROGRAMME" TargetMode="External"/><Relationship Id="rId42" Type="http://schemas.openxmlformats.org/officeDocument/2006/relationships/hyperlink" Target="https://data.nsw.gov.au/information-management-framework" TargetMode="External"/><Relationship Id="rId63" Type="http://schemas.openxmlformats.org/officeDocument/2006/relationships/hyperlink" Target="https://communications.dpc.nsw.gov.au/assets/dpc-nsw-gov-au/files/Communications-and-Engagement/bd1cfa8d64/preparing-for-effectiveengagement-a-guide-to-developing-eng-1.pdf" TargetMode="External"/><Relationship Id="rId84" Type="http://schemas.openxmlformats.org/officeDocument/2006/relationships/hyperlink" Target="https://www.legislation.nsw.gov.au/" TargetMode="External"/><Relationship Id="rId138" Type="http://schemas.openxmlformats.org/officeDocument/2006/relationships/hyperlink" Target="https://www.ipc.nsw.gov.au/information-governance-agency-self-assessment-tools-privacy" TargetMode="External"/><Relationship Id="rId159" Type="http://schemas.openxmlformats.org/officeDocument/2006/relationships/hyperlink" Target="https://www.iotsecurityfoundation.org/wp-content/uploads/2019/03/Best-Practice-Guides-Release-1.2.1.pdf" TargetMode="External"/><Relationship Id="rId324" Type="http://schemas.openxmlformats.org/officeDocument/2006/relationships/hyperlink" Target="https://www.ipc.nsw.gov.au/information-governance-agency-self-assessment-tools-privacy" TargetMode="External"/><Relationship Id="rId345" Type="http://schemas.openxmlformats.org/officeDocument/2006/relationships/hyperlink" Target="https://arp.nsw.gov.au/sites/default/files/NSW%20Government%20Program%20Evaluation%20Guideline%20January%202016_1.pdf" TargetMode="External"/><Relationship Id="rId170" Type="http://schemas.openxmlformats.org/officeDocument/2006/relationships/hyperlink" Target="https://www.digital.nsw.gov.au/policy/data-information/making-data-open/nsw-open-data-policy" TargetMode="External"/><Relationship Id="rId191" Type="http://schemas.openxmlformats.org/officeDocument/2006/relationships/hyperlink" Target="https://www.acma.gov.au/Industry/Suppliers/Regulatory-arrangements/Telecommunications-customer-equipment-and-cabling/telecommunications-standards-list" TargetMode="External"/><Relationship Id="rId205" Type="http://schemas.openxmlformats.org/officeDocument/2006/relationships/hyperlink" Target="mailto:gateway@treasury.nsw.gov.au" TargetMode="External"/><Relationship Id="rId226" Type="http://schemas.openxmlformats.org/officeDocument/2006/relationships/image" Target="media/image18.png"/><Relationship Id="rId247" Type="http://schemas.openxmlformats.org/officeDocument/2006/relationships/hyperlink" Target="https://buy.nsw.gov.au/buyer-guidance/before-you-buy/procurement-framework" TargetMode="External"/><Relationship Id="rId107" Type="http://schemas.openxmlformats.org/officeDocument/2006/relationships/hyperlink" Target="https://www.safework.nsw.gov.au/resource-library/list-of-all-codes-of-practice" TargetMode="External"/><Relationship Id="rId268" Type="http://schemas.openxmlformats.org/officeDocument/2006/relationships/hyperlink" Target="https://www.treasury.nsw.gov.au/finance-resource/asset-management-policies" TargetMode="External"/><Relationship Id="rId289" Type="http://schemas.openxmlformats.org/officeDocument/2006/relationships/hyperlink" Target="https://www.dpc.nsw.gov.au/tools-and-resources/evaluation-toolkit/" TargetMode="External"/><Relationship Id="rId11" Type="http://schemas.openxmlformats.org/officeDocument/2006/relationships/footer" Target="footer1.xml"/><Relationship Id="rId32" Type="http://schemas.openxmlformats.org/officeDocument/2006/relationships/hyperlink" Target="https://www.idc.com/getdoc.jsp?containerId=prUS45213219" TargetMode="External"/><Relationship Id="rId53" Type="http://schemas.openxmlformats.org/officeDocument/2006/relationships/hyperlink" Target="https://www.australiansmartcommunities.org.au/" TargetMode="External"/><Relationship Id="rId74" Type="http://schemas.openxmlformats.org/officeDocument/2006/relationships/hyperlink" Target="https://cloud.google.com/solutions/iot-overview" TargetMode="External"/><Relationship Id="rId128" Type="http://schemas.openxmlformats.org/officeDocument/2006/relationships/hyperlink" Target="https://www.ipc.nsw.gov.au/fact-sheet-nsw-public-sector-agencies-and-gdpr" TargetMode="External"/><Relationship Id="rId149" Type="http://schemas.openxmlformats.org/officeDocument/2006/relationships/hyperlink" Target="https://www.digital.nsw.gov.au/policy/cyber-security-policy/mandatory-requirements" TargetMode="External"/><Relationship Id="rId314" Type="http://schemas.openxmlformats.org/officeDocument/2006/relationships/hyperlink" Target="https://arp.nsw.gov.au/dfsi-2015-01-nsw-government-information-classification-labelling-and-handling-guidelines" TargetMode="External"/><Relationship Id="rId335" Type="http://schemas.openxmlformats.org/officeDocument/2006/relationships/hyperlink" Target="https://www.procurepoint.nsw.gov.au/policy-and-reform/nsw-government-procurement-policy-framework" TargetMode="External"/><Relationship Id="rId5" Type="http://schemas.openxmlformats.org/officeDocument/2006/relationships/numbering" Target="numbering.xml"/><Relationship Id="rId95" Type="http://schemas.openxmlformats.org/officeDocument/2006/relationships/hyperlink" Target="https://www.treasury.nsw.gov.au/information-public-entities/governance-risk-and-assurance/internal-audit-and-risk-management/risk" TargetMode="External"/><Relationship Id="rId160" Type="http://schemas.openxmlformats.org/officeDocument/2006/relationships/hyperlink" Target="https://www.owasp.org/index.php/IoT_Security_Guidance" TargetMode="External"/><Relationship Id="rId181" Type="http://schemas.openxmlformats.org/officeDocument/2006/relationships/hyperlink" Target="https://www.switchyourthinking.com/smart-cities/" TargetMode="External"/><Relationship Id="rId216" Type="http://schemas.openxmlformats.org/officeDocument/2006/relationships/hyperlink" Target="https://buy.nsw.gov.au/policy-library/policies/procurement-policy-framework" TargetMode="External"/><Relationship Id="rId237" Type="http://schemas.openxmlformats.org/officeDocument/2006/relationships/hyperlink" Target="https://www.procurepoint.nsw.gov.au/policy-and-reform/goods-and-services-procurement-policies/commercial-approaches-contracts" TargetMode="External"/><Relationship Id="rId258" Type="http://schemas.openxmlformats.org/officeDocument/2006/relationships/hyperlink" Target="https://www.lgnsw.org.au/files/imce-uploads/361/change-management-best-practice-guide-QLD_0.pdf" TargetMode="External"/><Relationship Id="rId279" Type="http://schemas.openxmlformats.org/officeDocument/2006/relationships/hyperlink" Target="https://www.treasury.nsw.gov.au/finance-resource/asset-management-policy" TargetMode="External"/><Relationship Id="rId22" Type="http://schemas.openxmlformats.org/officeDocument/2006/relationships/image" Target="media/image2.png"/><Relationship Id="rId43" Type="http://schemas.openxmlformats.org/officeDocument/2006/relationships/hyperlink" Target="https://www.spatial.nsw.gov.au/what_we_do/projects/digital_twin" TargetMode="External"/><Relationship Id="rId64" Type="http://schemas.openxmlformats.org/officeDocument/2006/relationships/hyperlink" Target="https://www.ipc.nsw.gov.au/resources/charter-public-participation-guide-assist-agencies-and-promote-citizen-engagement" TargetMode="External"/><Relationship Id="rId118" Type="http://schemas.openxmlformats.org/officeDocument/2006/relationships/hyperlink" Target="https://www.legislation.nsw.gov.au/" TargetMode="External"/><Relationship Id="rId139" Type="http://schemas.openxmlformats.org/officeDocument/2006/relationships/hyperlink" Target="https://www.legislation.nsw.gov.au/view/html/inforce/current/act-2009-052" TargetMode="External"/><Relationship Id="rId290" Type="http://schemas.openxmlformats.org/officeDocument/2006/relationships/hyperlink" Target="https://arp.nsw.gov.au/sites/default/files/NSW%20Government%20Program%20Evaluation%20Guideline%20January%202016_1.pdf" TargetMode="External"/><Relationship Id="rId304" Type="http://schemas.openxmlformats.org/officeDocument/2006/relationships/hyperlink" Target="https://www.thethingsnetwork.org/country/australia/" TargetMode="External"/><Relationship Id="rId325" Type="http://schemas.openxmlformats.org/officeDocument/2006/relationships/hyperlink" Target="https://www.ipc.nsw.gov.au/sites/default/files/file_manager/2016.12.13_Privacy_Impact_Assessment_Guide.pdf" TargetMode="External"/><Relationship Id="rId346" Type="http://schemas.openxmlformats.org/officeDocument/2006/relationships/hyperlink" Target="https://www.digital.nsw.gov.au/policy/smart-infrastructure-policy" TargetMode="External"/><Relationship Id="rId85" Type="http://schemas.openxmlformats.org/officeDocument/2006/relationships/hyperlink" Target="https://www.ncbi.nlm.nih.gov/pmc/articles/PMC5588847/" TargetMode="External"/><Relationship Id="rId150" Type="http://schemas.openxmlformats.org/officeDocument/2006/relationships/hyperlink" Target="https://www.iso.org/isoiec-27001-information-security.html" TargetMode="External"/><Relationship Id="rId171" Type="http://schemas.openxmlformats.org/officeDocument/2006/relationships/hyperlink" Target="https://data.nsw.gov.au/" TargetMode="External"/><Relationship Id="rId192" Type="http://schemas.openxmlformats.org/officeDocument/2006/relationships/hyperlink" Target="https://www.acma.gov.au/Industry/Suppliers/Regulatory-arrangements/Telecommunications-customer-equipment-and-cabling/telecommunications-standards-list" TargetMode="External"/><Relationship Id="rId206" Type="http://schemas.openxmlformats.org/officeDocument/2006/relationships/hyperlink" Target="https://www.digital.nsw.gov.au/policy/ict-assurance" TargetMode="External"/><Relationship Id="rId227" Type="http://schemas.openxmlformats.org/officeDocument/2006/relationships/hyperlink" Target="https://buy.nsw.gov.au/buyer-guidance/before-you-buy/industry-engagement/run" TargetMode="External"/><Relationship Id="rId248" Type="http://schemas.openxmlformats.org/officeDocument/2006/relationships/hyperlink" Target="https://buy.nsw.gov.au/buyer-guidance/before-you-buy/other-considerations/board-directions" TargetMode="External"/><Relationship Id="rId269" Type="http://schemas.openxmlformats.org/officeDocument/2006/relationships/hyperlink" Target="https://www.treasury.nsw.gov.au/finance-resource/asset-management-policies" TargetMode="External"/><Relationship Id="rId12" Type="http://schemas.openxmlformats.org/officeDocument/2006/relationships/header" Target="header1.xml"/><Relationship Id="rId33" Type="http://schemas.openxmlformats.org/officeDocument/2006/relationships/hyperlink" Target="https://www.pwc.com.au/consulting/assets/publications/acs-pwc-iot-report-web.pdf" TargetMode="External"/><Relationship Id="rId108" Type="http://schemas.openxmlformats.org/officeDocument/2006/relationships/hyperlink" Target="https://www.safework.nsw.gov.au/" TargetMode="External"/><Relationship Id="rId129" Type="http://schemas.openxmlformats.org/officeDocument/2006/relationships/hyperlink" Target="https://www.ipc.nsw.gov.au/sites/default/files/2019-03/Fact_Sheet_Reasonably_ascertainable_identity_August_2017.pdf" TargetMode="External"/><Relationship Id="rId280" Type="http://schemas.openxmlformats.org/officeDocument/2006/relationships/hyperlink" Target="https://www.standards.org.au/standards-catalogue/sa-snz/publicsafety/mb-019/as--iso--55000-colon-2014" TargetMode="External"/><Relationship Id="rId315" Type="http://schemas.openxmlformats.org/officeDocument/2006/relationships/hyperlink" Target="https://www.digital.nsw.gov.au/sites/default/files/Cloud%20Policy%20%28for%20publication%29-%20April%202018.pdf" TargetMode="External"/><Relationship Id="rId336" Type="http://schemas.openxmlformats.org/officeDocument/2006/relationships/hyperlink" Target="https://www.procurepoint.nsw.gov.au/policy-and-reform/nsw-procurement-board/nsw-procurement-board-directions" TargetMode="External"/><Relationship Id="rId54" Type="http://schemas.openxmlformats.org/officeDocument/2006/relationships/hyperlink" Target="https://www.standards.org.au/" TargetMode="External"/><Relationship Id="rId75" Type="http://schemas.openxmlformats.org/officeDocument/2006/relationships/hyperlink" Target="https://arp.nsw.gov.au/dfsi-2015-01-nsw-government-information-classification-labelling-and-handling-guidelines" TargetMode="External"/><Relationship Id="rId96" Type="http://schemas.openxmlformats.org/officeDocument/2006/relationships/hyperlink" Target="https://www.ipc.nsw.gov.au/privacy/privacy-resources-public-sector-agencies/privacy-impact-assessment-ipc-gipa-tool" TargetMode="External"/><Relationship Id="rId140" Type="http://schemas.openxmlformats.org/officeDocument/2006/relationships/hyperlink" Target="https://www.ipc.nsw.gov.au/privacy/voluntary-data-breach-notification" TargetMode="External"/><Relationship Id="rId161" Type="http://schemas.openxmlformats.org/officeDocument/2006/relationships/hyperlink" Target="https://www.enisa.europa.eu/publications/baseline-security-recommendations-for-iot" TargetMode="External"/><Relationship Id="rId182" Type="http://schemas.openxmlformats.org/officeDocument/2006/relationships/hyperlink" Target="https://www.switchyourthinking.com/smart-cities/" TargetMode="External"/><Relationship Id="rId217" Type="http://schemas.openxmlformats.org/officeDocument/2006/relationships/hyperlink" Target="https://www.legislation.nsw.gov.au/" TargetMode="External"/><Relationship Id="rId6" Type="http://schemas.openxmlformats.org/officeDocument/2006/relationships/styles" Target="styles.xml"/><Relationship Id="rId238" Type="http://schemas.openxmlformats.org/officeDocument/2006/relationships/hyperlink" Target="https://buy.nsw.gov.au" TargetMode="External"/><Relationship Id="rId259" Type="http://schemas.openxmlformats.org/officeDocument/2006/relationships/hyperlink" Target="https://publicsector.sa.gov.au/culture/change-management-toolkit-2/" TargetMode="External"/><Relationship Id="rId23" Type="http://schemas.openxmlformats.org/officeDocument/2006/relationships/image" Target="media/image3.png"/><Relationship Id="rId119" Type="http://schemas.openxmlformats.org/officeDocument/2006/relationships/hyperlink" Target="https://www.legislation.nsw.gov.au/" TargetMode="External"/><Relationship Id="rId270" Type="http://schemas.openxmlformats.org/officeDocument/2006/relationships/hyperlink" Target="https://www.digital.nsw.gov.au/policy/smart-infrastructure-policy" TargetMode="External"/><Relationship Id="rId291" Type="http://schemas.openxmlformats.org/officeDocument/2006/relationships/hyperlink" Target="https://www.dpc.nsw.gov.au/tools-and-resources/evaluation-toolkit/evaluation-in-the-nsw-government/" TargetMode="External"/><Relationship Id="rId305" Type="http://schemas.openxmlformats.org/officeDocument/2006/relationships/hyperlink" Target="http://www.sigfox.com/en/sigfox-iot-technology-overview" TargetMode="External"/><Relationship Id="rId326" Type="http://schemas.openxmlformats.org/officeDocument/2006/relationships/hyperlink" Target="https://www.digital.nsw.gov.au/policy/data-information/making-data-open/nsw-open-data-policy" TargetMode="External"/><Relationship Id="rId347" Type="http://schemas.openxmlformats.org/officeDocument/2006/relationships/hyperlink" Target="https://www.dpie.nsw.gov.au/__data/assets/pdf_file/0009/334359/Smart-Places-Strategy-11-2020.pdf" TargetMode="External"/><Relationship Id="rId44" Type="http://schemas.openxmlformats.org/officeDocument/2006/relationships/image" Target="media/image9.png"/><Relationship Id="rId65" Type="http://schemas.openxmlformats.org/officeDocument/2006/relationships/hyperlink" Target="https://communications.dpc.nsw.gov.au/assets/dpc-nsw-gov-au/files/Communications-and-Engagement/bd1cfa8d64/preparing-for-effectiveengagement-a-guide-to-developing-eng-1.pdf" TargetMode="External"/><Relationship Id="rId86" Type="http://schemas.openxmlformats.org/officeDocument/2006/relationships/hyperlink" Target="https://arp.nsw.gov.au/tpp15-03-internal-audit-and-risk-management-policy-nsw-public-sector" TargetMode="External"/><Relationship Id="rId130" Type="http://schemas.openxmlformats.org/officeDocument/2006/relationships/hyperlink" Target="https://www.data61.csiro.au/en/Our-Work/Safety-and-Security/Privacy-Preservation/De-identification-Decision-Making-Framework" TargetMode="External"/><Relationship Id="rId151" Type="http://schemas.openxmlformats.org/officeDocument/2006/relationships/hyperlink" Target="https://arxiv.org/ftp/arxiv/papers/1601/1601.02752.pdf" TargetMode="External"/><Relationship Id="rId172" Type="http://schemas.openxmlformats.org/officeDocument/2006/relationships/hyperlink" Target="https://www.legislation.nsw.gov.au/" TargetMode="External"/><Relationship Id="rId193" Type="http://schemas.openxmlformats.org/officeDocument/2006/relationships/hyperlink" Target="https://www.acma.gov.au/theACMA/s042" TargetMode="External"/><Relationship Id="rId207" Type="http://schemas.openxmlformats.org/officeDocument/2006/relationships/hyperlink" Target="http://www.infrastructure.nsw.gov.au/project-assurance/" TargetMode="External"/><Relationship Id="rId228" Type="http://schemas.openxmlformats.org/officeDocument/2006/relationships/hyperlink" Target="https://buy.nsw.gov.au/__data/assets/pdf_file/0007/728359/market_approaches_guide_ver_2_0.pdf" TargetMode="External"/><Relationship Id="rId249" Type="http://schemas.openxmlformats.org/officeDocument/2006/relationships/hyperlink" Target="https://www.legislation.nsw.gov.au/" TargetMode="External"/><Relationship Id="rId13" Type="http://schemas.openxmlformats.org/officeDocument/2006/relationships/footer" Target="footer2.xml"/><Relationship Id="rId109" Type="http://schemas.openxmlformats.org/officeDocument/2006/relationships/hyperlink" Target="https://legislation.nsw.gov.au/" TargetMode="External"/><Relationship Id="rId260" Type="http://schemas.openxmlformats.org/officeDocument/2006/relationships/hyperlink" Target="https://www.icsm.gov.au/australian-geospatial-reference-system" TargetMode="External"/><Relationship Id="rId281" Type="http://schemas.openxmlformats.org/officeDocument/2006/relationships/hyperlink" Target="https://www.legislation.nsw.gov.au/view/html/inforce/current/act-1998-017" TargetMode="External"/><Relationship Id="rId316" Type="http://schemas.openxmlformats.org/officeDocument/2006/relationships/hyperlink" Target="https://arp.nsw.gov.au/tpp15-03-internal-audit-and-risk-management-policy-nsw-public-sector" TargetMode="External"/><Relationship Id="rId337" Type="http://schemas.openxmlformats.org/officeDocument/2006/relationships/hyperlink" Target="https://www.procurepoint.nsw.gov.au/policy-and-reform/goods-and-services-procurement-policies/nsw-government-small-and-medium-enterprise" TargetMode="External"/><Relationship Id="rId34" Type="http://schemas.openxmlformats.org/officeDocument/2006/relationships/hyperlink" Target="https://www.gartner.com/en/newsroom/press-releases/2018-11-07-gartner-identifies-top-10-strategic-iot-technologies-and-trends" TargetMode="External"/><Relationship Id="rId55" Type="http://schemas.openxmlformats.org/officeDocument/2006/relationships/hyperlink" Target="https://www.legislation.nsw.gov.au/" TargetMode="External"/><Relationship Id="rId76" Type="http://schemas.openxmlformats.org/officeDocument/2006/relationships/hyperlink" Target="https://www.legislation.nsw.gov.au/" TargetMode="External"/><Relationship Id="rId97" Type="http://schemas.openxmlformats.org/officeDocument/2006/relationships/hyperlink" Target="https://www.procurepoint.nsw.gov.au/system/files/documents/guidelines_risk_management.pdf" TargetMode="External"/><Relationship Id="rId120" Type="http://schemas.openxmlformats.org/officeDocument/2006/relationships/hyperlink" Target="https://www.ipc.nsw.gov.au/information-protection-principles-ipps-agencies" TargetMode="External"/><Relationship Id="rId141" Type="http://schemas.openxmlformats.org/officeDocument/2006/relationships/hyperlink" Target="https://www.oaic.gov.au/privacy/guidance-and-advice/data-breach-preparation-and-response" TargetMode="External"/><Relationship Id="rId7" Type="http://schemas.openxmlformats.org/officeDocument/2006/relationships/settings" Target="settings.xml"/><Relationship Id="rId162" Type="http://schemas.openxmlformats.org/officeDocument/2006/relationships/hyperlink" Target="https://www.iot.org.au/wp/wp-content/uploads/2016/12/IoTAA-Security-Guideline-V1.2.pdf" TargetMode="External"/><Relationship Id="rId183" Type="http://schemas.openxmlformats.org/officeDocument/2006/relationships/image" Target="media/image16.png"/><Relationship Id="rId218" Type="http://schemas.openxmlformats.org/officeDocument/2006/relationships/hyperlink" Target="https://buy.nsw.gov.au/news/2020/new-procurement-board-direction-pbd-2020-05-approved-procurement-arrangements-for-the-ict-services-scheme" TargetMode="External"/><Relationship Id="rId239" Type="http://schemas.openxmlformats.org/officeDocument/2006/relationships/hyperlink" Target="https://nswdfsi-search.squiz.cloud/s/redirect?collection=procurement-nsw-meta&amp;url=https%3A%2F%2Fbuy.nsw.gov.au%2F__data%2Fassets%2Fexcel_doc%2F0006%2F717009%2Fprocurement_risk_register_2.xlsx&amp;auth=RDilNYSIlShJWaFBFjaxMw&amp;profile=_default&amp;rank=3&amp;query=procurement+risks+register" TargetMode="External"/><Relationship Id="rId250" Type="http://schemas.openxmlformats.org/officeDocument/2006/relationships/hyperlink" Target="https://www.legislation.nsw.gov.au/" TargetMode="External"/><Relationship Id="rId271" Type="http://schemas.openxmlformats.org/officeDocument/2006/relationships/hyperlink" Target="https://data.nsw.gov.au/idmf" TargetMode="External"/><Relationship Id="rId292" Type="http://schemas.openxmlformats.org/officeDocument/2006/relationships/hyperlink" Target="https://www.treasury.nsw.gov.au/projects-initiatives/centre-program-evaluation" TargetMode="External"/><Relationship Id="rId306" Type="http://schemas.openxmlformats.org/officeDocument/2006/relationships/hyperlink" Target="https://www.thinxtra.com/" TargetMode="External"/><Relationship Id="rId24" Type="http://schemas.microsoft.com/office/2007/relationships/hdphoto" Target="media/hdphoto1.wdp"/><Relationship Id="rId45" Type="http://schemas.openxmlformats.org/officeDocument/2006/relationships/image" Target="media/image10.svg"/><Relationship Id="rId66" Type="http://schemas.openxmlformats.org/officeDocument/2006/relationships/hyperlink" Target="https://www.safework.nsw.gov.au/__data/assets/pdf_file/0003/90534/SW08267-0818-427096.pdf" TargetMode="External"/><Relationship Id="rId87" Type="http://schemas.openxmlformats.org/officeDocument/2006/relationships/hyperlink" Target="https://www.audit.nsw.gov.au/sites/default/files/auditoffice/Governance-and-Policies---Current/Risk%20Management%20Framework.pdf" TargetMode="External"/><Relationship Id="rId110" Type="http://schemas.openxmlformats.org/officeDocument/2006/relationships/hyperlink" Target="https://www.legislation.nsw.gov.au/" TargetMode="External"/><Relationship Id="rId131" Type="http://schemas.openxmlformats.org/officeDocument/2006/relationships/hyperlink" Target="https://www.oaic.gov.au/updates/news-and-media/australian-information-commissioner-and-privacy-commissioners-investigation-into-published-mbs-pbs-dataset-finalised/" TargetMode="External"/><Relationship Id="rId327" Type="http://schemas.openxmlformats.org/officeDocument/2006/relationships/hyperlink" Target="https://arp.nsw.gov.au/tpp17-01-nsw-gateway-policy" TargetMode="External"/><Relationship Id="rId348" Type="http://schemas.openxmlformats.org/officeDocument/2006/relationships/fontTable" Target="fontTable.xml"/><Relationship Id="rId152" Type="http://schemas.openxmlformats.org/officeDocument/2006/relationships/hyperlink" Target="https://www.owasp.org/index.php/OWASP_Internet_of_Things_Project" TargetMode="External"/><Relationship Id="rId173" Type="http://schemas.openxmlformats.org/officeDocument/2006/relationships/hyperlink" Target="https://www.legislation.nsw.gov.au/" TargetMode="External"/><Relationship Id="rId194" Type="http://schemas.openxmlformats.org/officeDocument/2006/relationships/hyperlink" Target="https://www.acma.gov.au/theACMA/s042" TargetMode="External"/><Relationship Id="rId208" Type="http://schemas.openxmlformats.org/officeDocument/2006/relationships/hyperlink" Target="https://www.treasury.nsw.gov.au/information-public-entities/governance-risk-and-assurance/recurrent-expenditure-assurance-framework" TargetMode="External"/><Relationship Id="rId229" Type="http://schemas.openxmlformats.org/officeDocument/2006/relationships/hyperlink" Target="https://www.procurepoint.nsw.gov.au/policy-and-reform/nsw-government-procurement-information/nsw-procurements-approach" TargetMode="External"/><Relationship Id="rId240" Type="http://schemas.openxmlformats.org/officeDocument/2006/relationships/hyperlink" Target="https://buy.nsw.gov.au/__data/assets/pdf_file/0003/717051/industry_engagement_guide.pdf" TargetMode="External"/><Relationship Id="rId261" Type="http://schemas.openxmlformats.org/officeDocument/2006/relationships/hyperlink" Target="https://www.spatial.nsw.gov.au/__data/assets/pdf_file/0009/224397/GDA2020_Update_InformationSheet.pdf" TargetMode="External"/><Relationship Id="rId14" Type="http://schemas.openxmlformats.org/officeDocument/2006/relationships/header" Target="header2.xml"/><Relationship Id="rId35" Type="http://schemas.openxmlformats.org/officeDocument/2006/relationships/image" Target="media/image8.png"/><Relationship Id="rId56" Type="http://schemas.openxmlformats.org/officeDocument/2006/relationships/hyperlink" Target="https://www.dpc.nsw.gov.au/tools-and-resources/evaluation-toolkit/" TargetMode="External"/><Relationship Id="rId77" Type="http://schemas.openxmlformats.org/officeDocument/2006/relationships/hyperlink" Target="https://www.legislation.nsw.gov.au/" TargetMode="External"/><Relationship Id="rId100" Type="http://schemas.openxmlformats.org/officeDocument/2006/relationships/hyperlink" Target="https://www.digital.nsw.gov.au/sites/default/files/NSW%20Data%20and%20Information%20Custodianship%20Policy%20v1-0.pdf" TargetMode="External"/><Relationship Id="rId282" Type="http://schemas.openxmlformats.org/officeDocument/2006/relationships/hyperlink" Target="https://www.legislation.nsw.gov.au/" TargetMode="External"/><Relationship Id="rId317" Type="http://schemas.openxmlformats.org/officeDocument/2006/relationships/hyperlink" Target="https://www.audit.nsw.gov.au/our-work/reports/internal-controls-and-governance-2018" TargetMode="External"/><Relationship Id="rId338" Type="http://schemas.openxmlformats.org/officeDocument/2006/relationships/hyperlink" Target="https://search.procurepoint.nsw.gov.au/s/redirect?collection=nswp-meta&amp;url=https%3A%2F%2Fwww.procurepoint.nsw.gov.au%2Fsystem%2Ffiles%2Fdocuments%2Fprocurement_risk_register_2.xlsx&amp;auth=KNC80pFXqBrf7r19Ksreeg&amp;profile=_default&amp;rank=1&amp;query=procurement+risk+register" TargetMode="External"/><Relationship Id="rId8" Type="http://schemas.openxmlformats.org/officeDocument/2006/relationships/webSettings" Target="webSettings.xml"/><Relationship Id="rId98" Type="http://schemas.openxmlformats.org/officeDocument/2006/relationships/hyperlink" Target="https://www.treasury.nsw.gov.au/information-public-entities/governance-risk-and-assurance/internal-audit-and-risk-management/risk" TargetMode="External"/><Relationship Id="rId121" Type="http://schemas.openxmlformats.org/officeDocument/2006/relationships/hyperlink" Target="https://www.ipc.nsw.gov.au/health-privacy-principles-hpps-explained-members-public" TargetMode="External"/><Relationship Id="rId142" Type="http://schemas.openxmlformats.org/officeDocument/2006/relationships/hyperlink" Target="https://www.ipc.nsw.gov.au/privacy/nsw-privacy-laws" TargetMode="External"/><Relationship Id="rId163" Type="http://schemas.openxmlformats.org/officeDocument/2006/relationships/hyperlink" Target="https://www.gsma.com/iot/iot-security/iot-security-guidelines/" TargetMode="External"/><Relationship Id="rId184" Type="http://schemas.openxmlformats.org/officeDocument/2006/relationships/hyperlink" Target="https://nswgov.sharepoint.com/sites/DFSICPO/Shared%20Documents/Internet%20of%20Things/IoT%20Policy%20refresh%202020/Version%203%20-%20Dec%202020/Version%20for%20consultation%20and%20edit/Framework%20%20https:/www.iot.org.au/wp/wp-content/uploads/2016/12/IoT-Reference-Framework-Application-Guide-v1.0.pdf" TargetMode="External"/><Relationship Id="rId219" Type="http://schemas.openxmlformats.org/officeDocument/2006/relationships/hyperlink" Target="https://arp.nsw.gov.au/pbd-2019-05-enforceable-procurement-provisions" TargetMode="External"/><Relationship Id="rId230" Type="http://schemas.openxmlformats.org/officeDocument/2006/relationships/hyperlink" Target="https://buy.nsw.gov.au/policy-library/policies/sme-and-regional-procurement-policy" TargetMode="External"/><Relationship Id="rId251" Type="http://schemas.openxmlformats.org/officeDocument/2006/relationships/hyperlink" Target="https://www.legislation.nsw.gov.au/" TargetMode="External"/><Relationship Id="rId25" Type="http://schemas.openxmlformats.org/officeDocument/2006/relationships/image" Target="media/image4.jpg"/><Relationship Id="rId46" Type="http://schemas.openxmlformats.org/officeDocument/2006/relationships/hyperlink" Target="mailto:cybersecuritypolicy@customerservice.nsw.gov.au" TargetMode="External"/><Relationship Id="rId67" Type="http://schemas.openxmlformats.org/officeDocument/2006/relationships/hyperlink" Target="https://www.pmc.gov.au/sites/default/files/files/pmc/implementation-toolkit-3-engaging-stakeholders.pdf" TargetMode="External"/><Relationship Id="rId272" Type="http://schemas.openxmlformats.org/officeDocument/2006/relationships/hyperlink" Target="https://www.legislation.nsw.gov.au/" TargetMode="External"/><Relationship Id="rId293" Type="http://schemas.openxmlformats.org/officeDocument/2006/relationships/hyperlink" Target="https://arp.nsw.gov.au/tc18-03-program-evaluation" TargetMode="External"/><Relationship Id="rId307" Type="http://schemas.openxmlformats.org/officeDocument/2006/relationships/hyperlink" Target="http://www.lora-alliance.org/what-is-lora" TargetMode="External"/><Relationship Id="rId328" Type="http://schemas.openxmlformats.org/officeDocument/2006/relationships/hyperlink" Target="https://www.digital.nsw.gov.au/policy/ict-assurance" TargetMode="External"/><Relationship Id="rId349"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hyperlink" Target="https://data.nsw.gov.au/IDMF" TargetMode="External"/><Relationship Id="rId62" Type="http://schemas.openxmlformats.org/officeDocument/2006/relationships/image" Target="media/image14.jpg"/><Relationship Id="rId83" Type="http://schemas.openxmlformats.org/officeDocument/2006/relationships/hyperlink" Target="https://www.procurepoint.nsw.gov.au/scm0020" TargetMode="External"/><Relationship Id="rId88" Type="http://schemas.openxmlformats.org/officeDocument/2006/relationships/hyperlink" Target="https://www.treasury.nsw.gov.au/information-public-entities/governance-risk-and-assurance/internal-audit-and-risk-management/risk" TargetMode="External"/><Relationship Id="rId111" Type="http://schemas.openxmlformats.org/officeDocument/2006/relationships/hyperlink" Target="https://www.treasury.nsw.gov.au/information-public-entities/governance-risk-and-assurance/internal-audit-and-risk-management/risk" TargetMode="External"/><Relationship Id="rId132" Type="http://schemas.openxmlformats.org/officeDocument/2006/relationships/hyperlink" Target="https://www.oaic.gov.au/updates/news-and-media/australian-information-commissioner-and-privacy-commissioners-investigation-into-published-mbs-pbs-dataset-finalised/" TargetMode="External"/><Relationship Id="rId153" Type="http://schemas.openxmlformats.org/officeDocument/2006/relationships/hyperlink" Target="https://www.cyber.gov.au/ism" TargetMode="External"/><Relationship Id="rId174" Type="http://schemas.openxmlformats.org/officeDocument/2006/relationships/hyperlink" Target="https://www.legislation.nsw.gov.au/" TargetMode="External"/><Relationship Id="rId179" Type="http://schemas.openxmlformats.org/officeDocument/2006/relationships/hyperlink" Target="https://www.legislation.gov.au/Details/C2018A00029" TargetMode="External"/><Relationship Id="rId195" Type="http://schemas.openxmlformats.org/officeDocument/2006/relationships/hyperlink" Target="http://www.erac.gov.au/?option=com_content&amp;view=article&amp;id=93&amp;Itemid=538" TargetMode="External"/><Relationship Id="rId209" Type="http://schemas.openxmlformats.org/officeDocument/2006/relationships/hyperlink" Target="https://www.treasury.nsw.gov.au/sites/default/files/2018-08/TPP18-06%20%20NSW%20Government%20Business%20Case%20Guidelines.pdf" TargetMode="External"/><Relationship Id="rId190" Type="http://schemas.openxmlformats.org/officeDocument/2006/relationships/hyperlink" Target="https://nswconnect.csod.com/phnx/driver.aspx?routename=Social/UniversalProfile/Snapshot/Reviews&amp;TargetUser=15202" TargetMode="External"/><Relationship Id="rId204" Type="http://schemas.openxmlformats.org/officeDocument/2006/relationships/hyperlink" Target="https://arp.nsw.gov.au/sites/default/files/TPP17-01_NSW_Gateway_Policy.pdf" TargetMode="External"/><Relationship Id="rId220" Type="http://schemas.openxmlformats.org/officeDocument/2006/relationships/hyperlink" Target="https://www.legislation.nsw.gov.au/" TargetMode="External"/><Relationship Id="rId225" Type="http://schemas.openxmlformats.org/officeDocument/2006/relationships/hyperlink" Target="https://buy.nsw.gov.au/buyer-guidance/plan/best-practice-procurement" TargetMode="External"/><Relationship Id="rId241" Type="http://schemas.openxmlformats.org/officeDocument/2006/relationships/hyperlink" Target="https://tenders.nsw.gov.au/" TargetMode="External"/><Relationship Id="rId246" Type="http://schemas.openxmlformats.org/officeDocument/2006/relationships/hyperlink" Target="https://www.legislation.nsw.gov.au/" TargetMode="External"/><Relationship Id="rId267" Type="http://schemas.openxmlformats.org/officeDocument/2006/relationships/hyperlink" Target="http://spatialservices.finance.nsw.gov.au/__data/assets/pdf_file/0005/219281/NSW_Standard_for_Spatially_Enabling_Information.pdf" TargetMode="External"/><Relationship Id="rId288" Type="http://schemas.openxmlformats.org/officeDocument/2006/relationships/hyperlink" Target="https://www.treasury.nsw.gov.au/projects-initiatives/centre-program-evaluation" TargetMode="External"/><Relationship Id="rId15" Type="http://schemas.openxmlformats.org/officeDocument/2006/relationships/header" Target="header3.xml"/><Relationship Id="rId36" Type="http://schemas.openxmlformats.org/officeDocument/2006/relationships/hyperlink" Target="https://www.dpie.nsw.gov.au/__data/assets/pdf_file/0009/334359/Smart-Places-Strategy-11-2020.pdf" TargetMode="External"/><Relationship Id="rId57" Type="http://schemas.openxmlformats.org/officeDocument/2006/relationships/image" Target="media/image11.jpg"/><Relationship Id="rId106" Type="http://schemas.openxmlformats.org/officeDocument/2006/relationships/hyperlink" Target="https://www.safework.nsw.gov.au/resource-library/list-of-all-codes-of-practice" TargetMode="External"/><Relationship Id="rId127" Type="http://schemas.openxmlformats.org/officeDocument/2006/relationships/hyperlink" Target="https://www.oaic.gov.au/agencies-and-organisations/business-resources/privacy-business-resource-21-australian-businesses-and-the-eu-general-data-protection-regulation" TargetMode="External"/><Relationship Id="rId262" Type="http://schemas.openxmlformats.org/officeDocument/2006/relationships/hyperlink" Target="https://proj4.org/" TargetMode="External"/><Relationship Id="rId283" Type="http://schemas.openxmlformats.org/officeDocument/2006/relationships/hyperlink" Target="https://www.legislation.nsw.gov.au/view/html/inforce/current/act-1998-133" TargetMode="External"/><Relationship Id="rId313" Type="http://schemas.openxmlformats.org/officeDocument/2006/relationships/hyperlink" Target="https://communications.dpc.nsw.gov.au/assets/dpc-nsw-gov-au/files/Communications-and-Engagement/bd1cfa8d64/preparing-for-effectiveengagement-a-guide-to-developing-eng-1.pdf" TargetMode="External"/><Relationship Id="rId318" Type="http://schemas.openxmlformats.org/officeDocument/2006/relationships/hyperlink" Target="https://www.audit.nsw.gov.au/sites/default/files/auditoffice/Governance-and-Policies---Current/Risk%20Management%20Framework.pdf" TargetMode="External"/><Relationship Id="rId339" Type="http://schemas.openxmlformats.org/officeDocument/2006/relationships/hyperlink" Target="https://www.procurepoint.nsw.gov.au/system/files/documents/industry_engagement_guide.pdf" TargetMode="External"/><Relationship Id="rId10" Type="http://schemas.openxmlformats.org/officeDocument/2006/relationships/endnotes" Target="endnotes.xml"/><Relationship Id="rId31" Type="http://schemas.openxmlformats.org/officeDocument/2006/relationships/hyperlink" Target="https://www.homeaffairs.gov.au/reports-and-pubs/files/code-of-practice.pdf" TargetMode="External"/><Relationship Id="rId52" Type="http://schemas.openxmlformats.org/officeDocument/2006/relationships/hyperlink" Target="https://designfuturescouncil.com/" TargetMode="External"/><Relationship Id="rId73" Type="http://schemas.openxmlformats.org/officeDocument/2006/relationships/hyperlink" Target="https://data.nsw.gov.au/" TargetMode="External"/><Relationship Id="rId78" Type="http://schemas.openxmlformats.org/officeDocument/2006/relationships/hyperlink" Target="file:///C:/Users/MIRIM/Desktop/IoT-Policy%20Package/records.nsw.gov.au" TargetMode="External"/><Relationship Id="rId94" Type="http://schemas.openxmlformats.org/officeDocument/2006/relationships/hyperlink" Target="https://www.legislation.nsw.gov.au/" TargetMode="External"/><Relationship Id="rId99" Type="http://schemas.openxmlformats.org/officeDocument/2006/relationships/hyperlink" Target="https://www.digital.nsw.gov.au/policy/cyber-security/cyber-security-policy" TargetMode="External"/><Relationship Id="rId101" Type="http://schemas.openxmlformats.org/officeDocument/2006/relationships/hyperlink" Target="https://www.legislation.nsw.gov.au/" TargetMode="External"/><Relationship Id="rId122" Type="http://schemas.openxmlformats.org/officeDocument/2006/relationships/hyperlink" Target="https://www.legislation.gov.au/Details/C2019C00025" TargetMode="External"/><Relationship Id="rId143" Type="http://schemas.openxmlformats.org/officeDocument/2006/relationships/hyperlink" Target="https://www.oaic.gov.au/privacy/guidance-and-advice/" TargetMode="External"/><Relationship Id="rId148" Type="http://schemas.openxmlformats.org/officeDocument/2006/relationships/hyperlink" Target="https://www.digital.nsw.gov.au/policy/cyber-security-policy" TargetMode="External"/><Relationship Id="rId164" Type="http://schemas.openxmlformats.org/officeDocument/2006/relationships/hyperlink" Target="https://www.homeaffairs.gov.au/reports-and-pubs/files/code-of-practice.pdf" TargetMode="External"/><Relationship Id="rId169" Type="http://schemas.openxmlformats.org/officeDocument/2006/relationships/hyperlink" Target="https://www.digital.nsw.gov.au/sites/default/files/NSW%20Government%20Cyber%20Security%20Policy.pdf" TargetMode="External"/><Relationship Id="rId185" Type="http://schemas.openxmlformats.org/officeDocument/2006/relationships/hyperlink" Target="https://www.homeaffairs.gov.au/reports-and-pubs/files/code-of-practice.pdf" TargetMode="External"/><Relationship Id="rId334" Type="http://schemas.openxmlformats.org/officeDocument/2006/relationships/hyperlink" Target="https://www.finance.nsw.gov.au/publication-and-resources/benefits-realisation-management-framework"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tisn.gov.au/the-tisn" TargetMode="External"/><Relationship Id="rId210" Type="http://schemas.openxmlformats.org/officeDocument/2006/relationships/hyperlink" Target="https://www.treasury.nsw.gov.au/sites/default/files/2018-08/TPP18-06%20%20NSW%20Government%20Business%20Case%20Guidelines.pdf" TargetMode="External"/><Relationship Id="rId215" Type="http://schemas.openxmlformats.org/officeDocument/2006/relationships/hyperlink" Target="https://www.finance.nsw.gov.au/publication-and-resources/benefits-realisation-management-framework" TargetMode="External"/><Relationship Id="rId236" Type="http://schemas.openxmlformats.org/officeDocument/2006/relationships/hyperlink" Target="https://buy.nsw.gov.au" TargetMode="External"/><Relationship Id="rId257" Type="http://schemas.openxmlformats.org/officeDocument/2006/relationships/hyperlink" Target="https://buy.nsw.gov.au/" TargetMode="External"/><Relationship Id="rId278" Type="http://schemas.openxmlformats.org/officeDocument/2006/relationships/hyperlink" Target="https://nswgov.sharepoint.com/sites/DFSIIDPP/Shared%20Documents/Internet%20of%20Things%20project/Template%20MoU%20for%20Info%20Sharing.docx" TargetMode="External"/><Relationship Id="rId26" Type="http://schemas.openxmlformats.org/officeDocument/2006/relationships/image" Target="media/image5.jpg"/><Relationship Id="rId231" Type="http://schemas.openxmlformats.org/officeDocument/2006/relationships/hyperlink" Target="https://arp.nsw.gov.au/pbd-2019-03-construction-procurement-opportunities-SME" TargetMode="External"/><Relationship Id="rId252" Type="http://schemas.openxmlformats.org/officeDocument/2006/relationships/hyperlink" Target="https://www.digital.nsw.gov.au/digital-design-system/components/apinsw" TargetMode="External"/><Relationship Id="rId273" Type="http://schemas.openxmlformats.org/officeDocument/2006/relationships/hyperlink" Target="https://data.nsw.gov.au/developing-business-case-data-sharing%20" TargetMode="External"/><Relationship Id="rId294" Type="http://schemas.openxmlformats.org/officeDocument/2006/relationships/hyperlink" Target="https://arp.nsw.gov.au/sites/default/files/NSW%20Government%20Program%20Evaluation%20Guideline%20January%202016_1.pdf" TargetMode="External"/><Relationship Id="rId308" Type="http://schemas.openxmlformats.org/officeDocument/2006/relationships/hyperlink" Target="https://www.nnnco.com.au/" TargetMode="External"/><Relationship Id="rId329" Type="http://schemas.openxmlformats.org/officeDocument/2006/relationships/hyperlink" Target="http://www.infrastructure.nsw.gov.au/project-assurance/" TargetMode="External"/><Relationship Id="rId47" Type="http://schemas.openxmlformats.org/officeDocument/2006/relationships/hyperlink" Target="mailto:datansw@customerservice.nsw.gov.au" TargetMode="External"/><Relationship Id="rId68" Type="http://schemas.openxmlformats.org/officeDocument/2006/relationships/hyperlink" Target="https://gcs.civilservice.gov.uk/wp-content/uploads/2016/04/Stakeholder-Toolkit-210316.pdf" TargetMode="External"/><Relationship Id="rId89" Type="http://schemas.openxmlformats.org/officeDocument/2006/relationships/hyperlink" Target="https://www.digital.nsw.gov.au/policy/cyber-security/cyber-security-policy" TargetMode="External"/><Relationship Id="rId112" Type="http://schemas.openxmlformats.org/officeDocument/2006/relationships/hyperlink" Target="https://www.treasury.nsw.gov.au/information-public-entities/governance-risk-and-assurance/internal-audit-and-risk-management/risk" TargetMode="External"/><Relationship Id="rId133" Type="http://schemas.openxmlformats.org/officeDocument/2006/relationships/hyperlink" Target="https://www.ipc.on.ca/wp-content/uploads/resources/7foundationalprinciples.pdf" TargetMode="External"/><Relationship Id="rId154" Type="http://schemas.openxmlformats.org/officeDocument/2006/relationships/hyperlink" Target="https://www.cyber.gov.au/acsc/view-all-content/publications/creating-strong-passphrases" TargetMode="External"/><Relationship Id="rId175" Type="http://schemas.openxmlformats.org/officeDocument/2006/relationships/hyperlink" Target="https://www.legislation.nsw.gov.au/" TargetMode="External"/><Relationship Id="rId340" Type="http://schemas.openxmlformats.org/officeDocument/2006/relationships/hyperlink" Target="https://www.procurepoint.nsw.gov.au/documents/procurement-strategy-template.docx" TargetMode="External"/><Relationship Id="rId196" Type="http://schemas.openxmlformats.org/officeDocument/2006/relationships/hyperlink" Target="https://www.erac.gov.au/?option=com_content&amp;view=article&amp;id=93&amp;Itemid=538" TargetMode="External"/><Relationship Id="rId200" Type="http://schemas.openxmlformats.org/officeDocument/2006/relationships/hyperlink" Target="https://www.digital.nsw.gov.au/digital-design-system/components/apinsw" TargetMode="External"/><Relationship Id="rId16" Type="http://schemas.openxmlformats.org/officeDocument/2006/relationships/header" Target="header4.xml"/><Relationship Id="rId221" Type="http://schemas.openxmlformats.org/officeDocument/2006/relationships/hyperlink" Target="https://www.legislation.nsw.gov.au/" TargetMode="External"/><Relationship Id="rId242" Type="http://schemas.openxmlformats.org/officeDocument/2006/relationships/hyperlink" Target="https://nswdfsi-search.squiz.cloud/s/redirect?collection=procurement-nsw-meta&amp;url=https%3A%2F%2Fbuy.nsw.gov.au%2F__data%2Fassets%2Fword_doc%2F0005%2F717080%2Fprocurement_strategy_1.docx&amp;auth=tizUYwfx5DhZxi8hAQ2s7A&amp;profile=_default&amp;rank=1&amp;query=procurement+strategy+template" TargetMode="External"/><Relationship Id="rId263" Type="http://schemas.openxmlformats.org/officeDocument/2006/relationships/hyperlink" Target="https://www.epsg-registry.org/" TargetMode="External"/><Relationship Id="rId284" Type="http://schemas.openxmlformats.org/officeDocument/2006/relationships/hyperlink" Target="https://www.legislation.nsw.gov.au/" TargetMode="External"/><Relationship Id="rId319" Type="http://schemas.openxmlformats.org/officeDocument/2006/relationships/hyperlink" Target="https://www.treasury.nsw.gov.au/information-public-entities/governance-risk-and-assurance/internal-audit-and-risk-management/risk" TargetMode="External"/><Relationship Id="rId37" Type="http://schemas.openxmlformats.org/officeDocument/2006/relationships/hyperlink" Target="https://www.dpie.nsw.gov.au/__data/assets/pdf_file/0009/334359/Smart-Places-Strategy-11-2020.pdf" TargetMode="External"/><Relationship Id="rId58" Type="http://schemas.openxmlformats.org/officeDocument/2006/relationships/hyperlink" Target="https://www.legislation.nsw.gov.au/" TargetMode="External"/><Relationship Id="rId79" Type="http://schemas.openxmlformats.org/officeDocument/2006/relationships/hyperlink" Target="https://www.digital.nsw.gov.au/policy/buying-ict/cloud-guidance-and-policy" TargetMode="External"/><Relationship Id="rId102" Type="http://schemas.openxmlformats.org/officeDocument/2006/relationships/hyperlink" Target="https://www.treasury.nsw.gov.au/information-public-entities/governance-risk-and-assurance/internal-audit-and-risk-management/risk" TargetMode="External"/><Relationship Id="rId123" Type="http://schemas.openxmlformats.org/officeDocument/2006/relationships/hyperlink" Target="https://www.oaic.gov.au/privacy/australian-privacy-principles/australian-privacy-principles-quick-reference/" TargetMode="External"/><Relationship Id="rId144" Type="http://schemas.openxmlformats.org/officeDocument/2006/relationships/hyperlink" Target="https://www.usenix.org/system/files/conference/usenixsecurity18/sec18-soltan.pdf" TargetMode="External"/><Relationship Id="rId330" Type="http://schemas.openxmlformats.org/officeDocument/2006/relationships/hyperlink" Target="https://www.treasury.nsw.gov.au/information-public-entities/governance-risk-and-assurance/recurrent-expenditure-assurance-framework" TargetMode="External"/><Relationship Id="rId90" Type="http://schemas.openxmlformats.org/officeDocument/2006/relationships/hyperlink" Target="https://www.isa.org/training-and-certifications/isa-certification/isa99iec-62443/isa99iec-62443-cybersecurity-certificate-programs/" TargetMode="External"/><Relationship Id="rId165" Type="http://schemas.openxmlformats.org/officeDocument/2006/relationships/hyperlink" Target="http://www.iot.org.au/wp/wp-content/uploads/2016/12/IoT-Reference-Framework-v1.0.pdf" TargetMode="External"/><Relationship Id="rId186" Type="http://schemas.openxmlformats.org/officeDocument/2006/relationships/hyperlink" Target="http://www.iot.org.au/wp/wp-content/uploads/2016/12/WS7-Platform-Selection-Guidelines-V1.0.pdf" TargetMode="External"/><Relationship Id="rId211" Type="http://schemas.openxmlformats.org/officeDocument/2006/relationships/hyperlink" Target="https://www.treasury.nsw.gov.au/sites/default/files/2018-08/TPP18-06%20%20NSW%20Government%20Business%20Case%20Guidelines.pdf" TargetMode="External"/><Relationship Id="rId232" Type="http://schemas.openxmlformats.org/officeDocument/2006/relationships/hyperlink" Target="https://www.legislation.nsw.gov.au/" TargetMode="External"/><Relationship Id="rId253" Type="http://schemas.openxmlformats.org/officeDocument/2006/relationships/hyperlink" Target="https://suppliers.buy.nsw.gov.au/browse/suppliers" TargetMode="External"/><Relationship Id="rId274" Type="http://schemas.openxmlformats.org/officeDocument/2006/relationships/hyperlink" Target="https://www.ipc.nsw.gov.au/" TargetMode="External"/><Relationship Id="rId295" Type="http://schemas.openxmlformats.org/officeDocument/2006/relationships/hyperlink" Target="https://www.dpc.nsw.gov.au/tools-and-resources/evaluation-toolkit/how-to-use-the-evaluation-toolkit/" TargetMode="External"/><Relationship Id="rId309" Type="http://schemas.openxmlformats.org/officeDocument/2006/relationships/hyperlink" Target="https://www.acma.gov.au/Citizen/Internet/Internet-services/Wireless-local-area-networks/wireless-lans-licensing-requirements-i-acma" TargetMode="External"/><Relationship Id="rId27" Type="http://schemas.openxmlformats.org/officeDocument/2006/relationships/image" Target="media/image6.jpg"/><Relationship Id="rId48" Type="http://schemas.openxmlformats.org/officeDocument/2006/relationships/hyperlink" Target="https://www.comprac.nsw.gov.au/join-a-community-of-practice/register-here" TargetMode="External"/><Relationship Id="rId69" Type="http://schemas.openxmlformats.org/officeDocument/2006/relationships/hyperlink" Target="https://www.iap2.org.au/Home" TargetMode="External"/><Relationship Id="rId113" Type="http://schemas.openxmlformats.org/officeDocument/2006/relationships/hyperlink" Target="https://www.treasury.nsw.gov.au/information-public-entities/governance-risk-and-assurance/internal-audit-and-risk-management/risk" TargetMode="External"/><Relationship Id="rId134" Type="http://schemas.openxmlformats.org/officeDocument/2006/relationships/hyperlink" Target="https://www.caselaw.nsw.gov.au/decision/58dd93a7e4b0e71e17f58564" TargetMode="External"/><Relationship Id="rId320" Type="http://schemas.openxmlformats.org/officeDocument/2006/relationships/hyperlink" Target="https://www.digital.nsw.gov.au/policy/cyber-security/cyber-security-policy" TargetMode="External"/><Relationship Id="rId80" Type="http://schemas.openxmlformats.org/officeDocument/2006/relationships/hyperlink" Target="https://buy.nsw.gov.au/ict/" TargetMode="External"/><Relationship Id="rId155" Type="http://schemas.openxmlformats.org/officeDocument/2006/relationships/hyperlink" Target="https://archive.homeaffairs.gov.au/nationalsecurity/Documents/cic-best-practice-guidance-supply-chains.pdf" TargetMode="External"/><Relationship Id="rId176" Type="http://schemas.openxmlformats.org/officeDocument/2006/relationships/hyperlink" Target="https://arp.nsw.gov.au/dfsi-2015-01-nsw-government-information-classification-labelling-and-handling-guidelines" TargetMode="External"/><Relationship Id="rId197" Type="http://schemas.openxmlformats.org/officeDocument/2006/relationships/header" Target="header8.xml"/><Relationship Id="rId341" Type="http://schemas.openxmlformats.org/officeDocument/2006/relationships/hyperlink" Target="http://spatialservices.finance.nsw.gov.au/__data/assets/pdf_file/0005/219281/NSW_Standard_for_Spatially_Enabling_Information.pdf" TargetMode="External"/><Relationship Id="rId201" Type="http://schemas.openxmlformats.org/officeDocument/2006/relationships/image" Target="media/image17.jpg"/><Relationship Id="rId222" Type="http://schemas.openxmlformats.org/officeDocument/2006/relationships/hyperlink" Target="https://buy.nsw.gov.au/schemes" TargetMode="External"/><Relationship Id="rId243" Type="http://schemas.openxmlformats.org/officeDocument/2006/relationships/hyperlink" Target="https://arp.nsw.gov.au/pbd-2019-05-enforceable-procurement-provisions" TargetMode="External"/><Relationship Id="rId264" Type="http://schemas.openxmlformats.org/officeDocument/2006/relationships/hyperlink" Target="https://www.opengeospatial.org/standards/wkt-crs" TargetMode="External"/><Relationship Id="rId285" Type="http://schemas.openxmlformats.org/officeDocument/2006/relationships/hyperlink" Target="https://www.legislation.nsw.gov.au/view/html/inforce/current/act-2002-071" TargetMode="External"/><Relationship Id="rId17" Type="http://schemas.openxmlformats.org/officeDocument/2006/relationships/footer" Target="footer3.xml"/><Relationship Id="rId38" Type="http://schemas.openxmlformats.org/officeDocument/2006/relationships/hyperlink" Target="https://www.digital.nsw.gov.au/policy/smart-infrastructure-policy" TargetMode="External"/><Relationship Id="rId59" Type="http://schemas.openxmlformats.org/officeDocument/2006/relationships/hyperlink" Target="https://www.praxisframework.org/en/knowledge/governance" TargetMode="External"/><Relationship Id="rId103" Type="http://schemas.openxmlformats.org/officeDocument/2006/relationships/hyperlink" Target="https://www.ipc.nsw.gov.au/privacy/privacy-resources-public-sector-agencies/privacy-impact-assessment-ipc-gipa-tool" TargetMode="External"/><Relationship Id="rId124" Type="http://schemas.openxmlformats.org/officeDocument/2006/relationships/hyperlink" Target="https://legislation.nsw.gov.au/" TargetMode="External"/><Relationship Id="rId310" Type="http://schemas.openxmlformats.org/officeDocument/2006/relationships/hyperlink" Target="https://www.telstra.com.au/business-enterprise/solutions/internet-of-things/iot-coverage" TargetMode="External"/><Relationship Id="rId70" Type="http://schemas.openxmlformats.org/officeDocument/2006/relationships/hyperlink" Target="https://www.beca.com/ignite-your-thinking/ignite-your-thinking/january-2018/what-every-business-needs-to-know-about-iot" TargetMode="External"/><Relationship Id="rId91" Type="http://schemas.openxmlformats.org/officeDocument/2006/relationships/hyperlink" Target="https://www.treasury.nsw.gov.au/information-public-entities/governance-risk-and-assurance/internal-audit-and-risk-management/risk" TargetMode="External"/><Relationship Id="rId145" Type="http://schemas.openxmlformats.org/officeDocument/2006/relationships/hyperlink" Target="https://www.wired.com/2016/10/internet-outage-ddos-dns-dyn/" TargetMode="External"/><Relationship Id="rId166" Type="http://schemas.openxmlformats.org/officeDocument/2006/relationships/hyperlink" Target="https://azure.microsoft.com/en-au/overview/iot/security/" TargetMode="External"/><Relationship Id="rId187" Type="http://schemas.openxmlformats.org/officeDocument/2006/relationships/hyperlink" Target="https://www.acma.gov.au/Industry/Suppliers/Regulatory-arrangements/Radiocommunications-devices/radiocommunications-standards-list" TargetMode="External"/><Relationship Id="rId331" Type="http://schemas.openxmlformats.org/officeDocument/2006/relationships/hyperlink" Target="https://www.treasury.nsw.gov.au/sites/default/files/2018-08/TPP18-06%20%20NSW%20Government%20Business%20Case%20Guidelines.pdf" TargetMode="External"/><Relationship Id="rId1" Type="http://schemas.openxmlformats.org/officeDocument/2006/relationships/customXml" Target="../customXml/item1.xml"/><Relationship Id="rId212" Type="http://schemas.openxmlformats.org/officeDocument/2006/relationships/hyperlink" Target="https://www.treasury.nsw.gov.au/information-public-entities/business-cases" TargetMode="External"/><Relationship Id="rId233" Type="http://schemas.openxmlformats.org/officeDocument/2006/relationships/hyperlink" Target="https://www.legislation.nsw.gov.au/" TargetMode="External"/><Relationship Id="rId254" Type="http://schemas.openxmlformats.org/officeDocument/2006/relationships/hyperlink" Target="https://www.legislation.nsw.gov.au/" TargetMode="External"/><Relationship Id="rId28" Type="http://schemas.openxmlformats.org/officeDocument/2006/relationships/image" Target="media/image7.jpg"/><Relationship Id="rId49" Type="http://schemas.openxmlformats.org/officeDocument/2006/relationships/hyperlink" Target="https://www.iot.org.au/" TargetMode="External"/><Relationship Id="rId114" Type="http://schemas.openxmlformats.org/officeDocument/2006/relationships/footer" Target="footer4.xml"/><Relationship Id="rId275" Type="http://schemas.openxmlformats.org/officeDocument/2006/relationships/hyperlink" Target="https://www.legislation.nsw.gov.au/" TargetMode="External"/><Relationship Id="rId296" Type="http://schemas.openxmlformats.org/officeDocument/2006/relationships/hyperlink" Target="mailto:evaluation@treasury.nsw.gov.au" TargetMode="External"/><Relationship Id="rId300" Type="http://schemas.openxmlformats.org/officeDocument/2006/relationships/hyperlink" Target="https://www.treasury.nsw.gov.au/sites/default/files/pdf/TPP15-03_Internal_Audit_and_Risk_Management_Policy_for_the_NSW_Public_Sector.pdf" TargetMode="External"/><Relationship Id="rId60" Type="http://schemas.openxmlformats.org/officeDocument/2006/relationships/image" Target="media/image12.jpg"/><Relationship Id="rId81" Type="http://schemas.openxmlformats.org/officeDocument/2006/relationships/hyperlink" Target="https://www.legislation.nsw.gov.au/" TargetMode="External"/><Relationship Id="rId135" Type="http://schemas.openxmlformats.org/officeDocument/2006/relationships/hyperlink" Target="https://www.caselaw.nsw.gov.au/decision/58dd93a7e4b0e71e17f58564" TargetMode="External"/><Relationship Id="rId156" Type="http://schemas.openxmlformats.org/officeDocument/2006/relationships/hyperlink" Target="https://www.cyber.gov.au/sites/default/files/2019-05/22.%20ISM%20-%20Guidelines%20for%20Using%20Cryptography%20%28MAY19%29.pdf" TargetMode="External"/><Relationship Id="rId177" Type="http://schemas.openxmlformats.org/officeDocument/2006/relationships/hyperlink" Target="http://data.nsw.gov.au/data-sharing-principles" TargetMode="External"/><Relationship Id="rId198" Type="http://schemas.openxmlformats.org/officeDocument/2006/relationships/header" Target="header9.xml"/><Relationship Id="rId321" Type="http://schemas.openxmlformats.org/officeDocument/2006/relationships/hyperlink" Target="https://www.procurepoint.nsw.gov.au/system/files/documents/guidelines_risk_management.pdf" TargetMode="External"/><Relationship Id="rId342" Type="http://schemas.openxmlformats.org/officeDocument/2006/relationships/hyperlink" Target="https://www.digital.nsw.gov.au/data-quality-tool-archived" TargetMode="External"/><Relationship Id="rId202" Type="http://schemas.openxmlformats.org/officeDocument/2006/relationships/hyperlink" Target="https://arp.nsw.gov.au/tpp17-01-nsw-gateway-policy" TargetMode="External"/><Relationship Id="rId223" Type="http://schemas.openxmlformats.org/officeDocument/2006/relationships/hyperlink" Target="https://buy.nsw.gov.au/" TargetMode="External"/><Relationship Id="rId244" Type="http://schemas.openxmlformats.org/officeDocument/2006/relationships/hyperlink" Target="https://tenders.nsw.gov.au/" TargetMode="External"/><Relationship Id="rId18" Type="http://schemas.openxmlformats.org/officeDocument/2006/relationships/header" Target="header5.xml"/><Relationship Id="rId39" Type="http://schemas.openxmlformats.org/officeDocument/2006/relationships/hyperlink" Target="https://www.digital.nsw.gov.au/policy/artificial-intelligence-ai/ai-strategy" TargetMode="External"/><Relationship Id="rId265" Type="http://schemas.openxmlformats.org/officeDocument/2006/relationships/hyperlink" Target="https://www.earthdatascience.org/courses/earth-analytics/spatial-data-r/understand-epsg-wkt-and-other-crs-definition-file-types/" TargetMode="External"/><Relationship Id="rId286" Type="http://schemas.openxmlformats.org/officeDocument/2006/relationships/hyperlink" Target="https://www.legislation.nsw.gov.au/" TargetMode="External"/><Relationship Id="rId50" Type="http://schemas.openxmlformats.org/officeDocument/2006/relationships/hyperlink" Target="https://au.opencities.com/Home" TargetMode="External"/><Relationship Id="rId104" Type="http://schemas.openxmlformats.org/officeDocument/2006/relationships/hyperlink" Target="https://www.procurepoint.nsw.gov.au/system/files/documents/guidelines_risk_management.pdf" TargetMode="External"/><Relationship Id="rId125" Type="http://schemas.openxmlformats.org/officeDocument/2006/relationships/hyperlink" Target="https://www.legislation.nsw.gov.au/" TargetMode="External"/><Relationship Id="rId146" Type="http://schemas.openxmlformats.org/officeDocument/2006/relationships/hyperlink" Target="https://www.usenix.org/system/files/conference/usenixsecurity18/sec18-soltan.pdf" TargetMode="External"/><Relationship Id="rId167" Type="http://schemas.openxmlformats.org/officeDocument/2006/relationships/hyperlink" Target="https://aws.amazon.com/iot-device-defender/" TargetMode="External"/><Relationship Id="rId188" Type="http://schemas.openxmlformats.org/officeDocument/2006/relationships/hyperlink" Target="https://www.acma.gov.au/Industry/Suppliers/Regulatory-arrangements/Radiocommunications-devices/radiocommunications-standards-list" TargetMode="External"/><Relationship Id="rId311" Type="http://schemas.openxmlformats.org/officeDocument/2006/relationships/hyperlink" Target="https://www.telstra.com.au/content/dam/tcom/business-enterprise/machine-to-machine/pdf/telstra-m2m-certified-devices-modules.pdf" TargetMode="External"/><Relationship Id="rId332" Type="http://schemas.openxmlformats.org/officeDocument/2006/relationships/hyperlink" Target="http://www.infrastructure.nsw.gov.au/project-assurance/resources/business-case-toolkit/" TargetMode="External"/><Relationship Id="rId71" Type="http://schemas.openxmlformats.org/officeDocument/2006/relationships/hyperlink" Target="https://xo.xello.com.au/blog/iot-australia-innovative-use-cases" TargetMode="External"/><Relationship Id="rId92" Type="http://schemas.openxmlformats.org/officeDocument/2006/relationships/hyperlink" Target="https://www.legislation.nsw.gov.au/" TargetMode="External"/><Relationship Id="rId213" Type="http://schemas.openxmlformats.org/officeDocument/2006/relationships/hyperlink" Target="http://www.infrastructure.nsw.gov.au/project-assurance/resources/business-case-toolkit/" TargetMode="External"/><Relationship Id="rId234" Type="http://schemas.openxmlformats.org/officeDocument/2006/relationships/hyperlink" Target="https://www.legislation.nsw.gov.au/" TargetMode="External"/><Relationship Id="rId2" Type="http://schemas.openxmlformats.org/officeDocument/2006/relationships/customXml" Target="../customXml/item2.xml"/><Relationship Id="rId29" Type="http://schemas.openxmlformats.org/officeDocument/2006/relationships/hyperlink" Target="https://www.pwc.com.au/consulting/assets/publications/acs-pwc-iot-report-web.pdf" TargetMode="External"/><Relationship Id="rId255" Type="http://schemas.openxmlformats.org/officeDocument/2006/relationships/hyperlink" Target="https://www.legislation.nsw.gov.au/" TargetMode="External"/><Relationship Id="rId276" Type="http://schemas.openxmlformats.org/officeDocument/2006/relationships/hyperlink" Target="https://www.digital.nsw.gov.au/policy/data-information/making-data-open/nsw-open-data-policy" TargetMode="External"/><Relationship Id="rId297" Type="http://schemas.openxmlformats.org/officeDocument/2006/relationships/hyperlink" Target="https://arp.nsw.gov.au/tc18-03-program-evaluation" TargetMode="External"/><Relationship Id="rId40" Type="http://schemas.openxmlformats.org/officeDocument/2006/relationships/hyperlink" Target="https://www.digital.nsw.gov.au/policy/artificial-intelligence-ai/user-guide" TargetMode="External"/><Relationship Id="rId115" Type="http://schemas.openxmlformats.org/officeDocument/2006/relationships/hyperlink" Target="https://www.treasury.nsw.gov.au/information-public-entities/governance-risk-and-assurance/internal-audit-and-risk-management/risk" TargetMode="External"/><Relationship Id="rId136" Type="http://schemas.openxmlformats.org/officeDocument/2006/relationships/image" Target="media/image15.jpeg"/><Relationship Id="rId157" Type="http://schemas.openxmlformats.org/officeDocument/2006/relationships/hyperlink" Target="https://www.iotsecurityfoundation.org/iotsf-issues-update-to-popular-iot-security-compliance-framework/" TargetMode="External"/><Relationship Id="rId178" Type="http://schemas.openxmlformats.org/officeDocument/2006/relationships/hyperlink" Target="https://www.datacommissioner.gov.au/sites/default/files/2019-08/sharing-data-safety-brochure-march-2019.pdf" TargetMode="External"/><Relationship Id="rId301" Type="http://schemas.openxmlformats.org/officeDocument/2006/relationships/hyperlink" Target="https://www.legislation.nsw.gov.au/" TargetMode="External"/><Relationship Id="rId322" Type="http://schemas.openxmlformats.org/officeDocument/2006/relationships/hyperlink" Target="https://www.digital.nsw.gov.au/sites/default/files/NSW%20Data%20and%20Information%20Custodianship%20Policy%20v1-0.pdf" TargetMode="External"/><Relationship Id="rId343" Type="http://schemas.openxmlformats.org/officeDocument/2006/relationships/hyperlink" Target="http://nswtreasury.prod.acquia-sites.com/sites/default/files/2017-03/TAM06-3%20Asset%20Maintenance%20Strategic%20Planning.pdf" TargetMode="External"/><Relationship Id="rId61" Type="http://schemas.openxmlformats.org/officeDocument/2006/relationships/image" Target="media/image13.jpg"/><Relationship Id="rId82" Type="http://schemas.openxmlformats.org/officeDocument/2006/relationships/hyperlink" Target="https://buy.nsw.gov.au/ict/" TargetMode="External"/><Relationship Id="rId199" Type="http://schemas.openxmlformats.org/officeDocument/2006/relationships/header" Target="header10.xml"/><Relationship Id="rId203" Type="http://schemas.openxmlformats.org/officeDocument/2006/relationships/hyperlink" Target="https://www.treasury.nsw.gov.au/gateway-review-system-overview" TargetMode="External"/><Relationship Id="rId19" Type="http://schemas.openxmlformats.org/officeDocument/2006/relationships/header" Target="header6.xml"/><Relationship Id="rId224" Type="http://schemas.openxmlformats.org/officeDocument/2006/relationships/hyperlink" Target="https://buy.nsw.gov.au/contact-us" TargetMode="External"/><Relationship Id="rId245" Type="http://schemas.openxmlformats.org/officeDocument/2006/relationships/hyperlink" Target="https://www.ungm.org/Areas/Public/pph/ch04s01.html" TargetMode="External"/><Relationship Id="rId266" Type="http://schemas.openxmlformats.org/officeDocument/2006/relationships/hyperlink" Target="https://www.spatial.nsw.gov.au/__data/assets/pdf_file/0017/224432/NSW_GDA2020_AGRS_Policy.pdf" TargetMode="External"/><Relationship Id="rId287" Type="http://schemas.openxmlformats.org/officeDocument/2006/relationships/hyperlink" Target="https://www.records.nsw.gov.au/" TargetMode="External"/><Relationship Id="rId30" Type="http://schemas.openxmlformats.org/officeDocument/2006/relationships/hyperlink" Target="https://nswgov.sharepoint.com/sites/DFSICPO/Shared%20Documents/Internet%20of%20Things/IoT%20Policy%20refresh%202020/Version%203%20-%20Dec%202020/Version%20for%20consultation%20and%20edit/Framework%20%20https:/www.iot.org.au/wp/wp-content/uploads/2016/12/IoT-Reference-Framework-Application-Guide-v1.0.pdf" TargetMode="External"/><Relationship Id="rId105" Type="http://schemas.openxmlformats.org/officeDocument/2006/relationships/hyperlink" Target="https://www.treasury.nsw.gov.au/information-public-entities/governance-risk-and-assurance/internal-audit-and-risk-management/risk" TargetMode="External"/><Relationship Id="rId126" Type="http://schemas.openxmlformats.org/officeDocument/2006/relationships/hyperlink" Target="https://www.legislation.gov.au/Details/C2019C00010" TargetMode="External"/><Relationship Id="rId147" Type="http://schemas.openxmlformats.org/officeDocument/2006/relationships/hyperlink" Target="https://www.wired.com/2016/10/internet-outage-ddos-dns-dyn/" TargetMode="External"/><Relationship Id="rId168" Type="http://schemas.openxmlformats.org/officeDocument/2006/relationships/hyperlink" Target="https://www.treasury.nsw.gov.au/information-public-entities/governance-risk-and-assurance/internal-audit-and-risk-management/risk" TargetMode="External"/><Relationship Id="rId312" Type="http://schemas.openxmlformats.org/officeDocument/2006/relationships/hyperlink" Target="https://www.pmc.gov.au/sites/default/files/publications/data-sharing-principles-best-practice-guide-15-mar-2019.pdf" TargetMode="External"/><Relationship Id="rId333" Type="http://schemas.openxmlformats.org/officeDocument/2006/relationships/hyperlink" Target="https://www.treasury.nsw.gov.au/sites/default/files/2017-03/TPP17-03%20NSW%20Government%20Guide%20to%20Cost-Benefit%20Analysis%20-%20pdf_0.pdf" TargetMode="External"/><Relationship Id="rId51" Type="http://schemas.openxmlformats.org/officeDocument/2006/relationships/hyperlink" Target="https://www.commsalliance.com.au/" TargetMode="External"/><Relationship Id="rId72" Type="http://schemas.openxmlformats.org/officeDocument/2006/relationships/hyperlink" Target="https://xo.xello.com.au/blog/iot-australia-innovative-use-cases" TargetMode="External"/><Relationship Id="rId93" Type="http://schemas.openxmlformats.org/officeDocument/2006/relationships/hyperlink" Target="https://www.legislation.gov.au/Series/C2004A03712" TargetMode="External"/><Relationship Id="rId189" Type="http://schemas.openxmlformats.org/officeDocument/2006/relationships/hyperlink" Target="https://www.acma.gov.au/Industry/Spectrum/Radiocomms-licensing/Register-of-radiocommunications-licences/radiocommunications-licensing-overview" TargetMode="External"/><Relationship Id="rId3" Type="http://schemas.openxmlformats.org/officeDocument/2006/relationships/customXml" Target="../customXml/item3.xml"/><Relationship Id="rId214" Type="http://schemas.openxmlformats.org/officeDocument/2006/relationships/hyperlink" Target="https://www.treasury.nsw.gov.au/sites/default/files/2017-03/TPP17-03%20NSW%20Government%20Guide%20to%20Cost-Benefit%20Analysis%20-%20pdf_0.pdf" TargetMode="External"/><Relationship Id="rId235" Type="http://schemas.openxmlformats.org/officeDocument/2006/relationships/hyperlink" Target="https://www.legislation.nsw.gov.au/" TargetMode="External"/><Relationship Id="rId256" Type="http://schemas.openxmlformats.org/officeDocument/2006/relationships/hyperlink" Target="https://www.legislation.nsw.gov.au/" TargetMode="External"/><Relationship Id="rId277" Type="http://schemas.openxmlformats.org/officeDocument/2006/relationships/hyperlink" Target="https://www.digital.nsw.gov.au/data-quality-tool/identify" TargetMode="External"/><Relationship Id="rId298" Type="http://schemas.openxmlformats.org/officeDocument/2006/relationships/hyperlink" Target="https://arp.nsw.gov.au/sites/default/files/NSW%20Government%20Program%20Evaluation%20Guideline%20January%202016_1.pdf" TargetMode="External"/><Relationship Id="rId116" Type="http://schemas.openxmlformats.org/officeDocument/2006/relationships/footer" Target="footer5.xml"/><Relationship Id="rId137" Type="http://schemas.openxmlformats.org/officeDocument/2006/relationships/hyperlink" Target="https://www.ipc.nsw.gov.au/sites/default/files/file_manager/2016.12.13_Privacy_Impact_Assessment_Guide.pdf" TargetMode="External"/><Relationship Id="rId158" Type="http://schemas.openxmlformats.org/officeDocument/2006/relationships/hyperlink" Target="https://www.iotsecurityfoundation.org/wp-content/uploads/2018/12/IoTSF-Compliance-Questionnaire-Release-2.0-December-2018.xlsx" TargetMode="External"/><Relationship Id="rId302" Type="http://schemas.openxmlformats.org/officeDocument/2006/relationships/hyperlink" Target="https://www.records.nsw.gov.au/recordkeeping" TargetMode="External"/><Relationship Id="rId323" Type="http://schemas.openxmlformats.org/officeDocument/2006/relationships/hyperlink" Target="https://www.safework.nsw.gov.au/resource-library/list-of-all-codes-of-practice" TargetMode="External"/><Relationship Id="rId344" Type="http://schemas.openxmlformats.org/officeDocument/2006/relationships/hyperlink" Target="https://www.dpc.nsw.gov.au/tools-and-resources/evaluation-toolk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SICL\Downloads\DCS-Polic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ASI20</b:Tag>
    <b:SourceType>Book</b:SourceType>
    <b:Guid>{F14140E2-9CBC-43FE-94BC-DF07DC5A596E}</b:Guid>
    <b:Author>
      <b:Author>
        <b:Corporate>AS ISO/IEC </b:Corporate>
      </b:Author>
    </b:Author>
    <b:Title>21823.1.20202</b:Title>
    <b:Year>4 December 2020</b:Year>
    <b:RefOrder>2</b:RefOrder>
  </b:Source>
  <b:Source>
    <b:Tag>ASI201</b:Tag>
    <b:SourceType>JournalArticle</b:SourceType>
    <b:Guid>{3BDBC296-355C-41B1-BF6D-B4C1678FAB93}</b:Guid>
    <b:Title>Internet of things (IoT) - Interoperability for internet of things systems, Part 1: Framework</b:Title>
    <b:Year>2020</b:Year>
    <b:Author>
      <b:Author>
        <b:NameList>
          <b:Person>
            <b:Last>21823.1:2020</b:Last>
            <b:First>AS</b:First>
            <b:Middle>ISO/IEC</b:Middle>
          </b:Person>
        </b:NameList>
      </b:Author>
    </b:Author>
    <b:RefOrder>3</b:RefOrder>
  </b:Source>
  <b:Source>
    <b:Tag>ASI202</b:Tag>
    <b:SourceType>Book</b:SourceType>
    <b:Guid>{DB792002-50FC-4D49-9577-EA9F42EB243E}</b:Guid>
    <b:Title>Internet of things (IoT) - Interoperability for internet of things systems, Part 1: Framework</b:Title>
    <b:Year>2020</b:Year>
    <b:Author>
      <b:Author>
        <b:NameList>
          <b:Person>
            <b:Last>21823.1:2020</b:Last>
            <b:First>AS</b:First>
            <b:Middle>ISO/IEC</b:Middle>
          </b:Person>
        </b:NameList>
      </b:Author>
    </b:Author>
    <b:Publisher>Standards Australia</b:Publisher>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71442a78-d832-4f95-b52b-64d9753d3749">
      <UserInfo>
        <DisplayName>Joel McDonald</DisplayName>
        <AccountId>225</AccountId>
        <AccountType/>
      </UserInfo>
      <UserInfo>
        <DisplayName>Lily Kisic</DisplayName>
        <AccountId>25</AccountId>
        <AccountType/>
      </UserInfo>
      <UserInfo>
        <DisplayName>Swapnil Narkhede</DisplayName>
        <AccountId>226</AccountId>
        <AccountType/>
      </UserInfo>
      <UserInfo>
        <DisplayName>Thomas Dreger</DisplayName>
        <AccountId>227</AccountId>
        <AccountType/>
      </UserInfo>
      <UserInfo>
        <DisplayName>Timothy Millar</DisplayName>
        <AccountId>23</AccountId>
        <AccountType/>
      </UserInfo>
      <UserInfo>
        <DisplayName>Filiz Archer</DisplayName>
        <AccountId>21</AccountId>
        <AccountType/>
      </UserInfo>
      <UserInfo>
        <DisplayName>Sam Kidman</DisplayName>
        <AccountId>189</AccountId>
        <AccountType/>
      </UserInfo>
      <UserInfo>
        <DisplayName>Madhusmita Miri</DisplayName>
        <AccountId>144</AccountId>
        <AccountType/>
      </UserInfo>
      <UserInfo>
        <DisplayName>Ben Thielemans</DisplayName>
        <AccountId>468</AccountId>
        <AccountType/>
      </UserInfo>
      <UserInfo>
        <DisplayName>Calvin Galloway</DisplayName>
        <AccountId>787</AccountId>
        <AccountType/>
      </UserInfo>
      <UserInfo>
        <DisplayName>Aruni Babhoota</DisplayName>
        <AccountId>299</AccountId>
        <AccountType/>
      </UserInfo>
      <UserInfo>
        <DisplayName>Sharen Alaaeddin</DisplayName>
        <AccountId>960</AccountId>
        <AccountType/>
      </UserInfo>
      <UserInfo>
        <DisplayName>Norman Cossey</DisplayName>
        <AccountId>202</AccountId>
        <AccountType/>
      </UserInfo>
      <UserInfo>
        <DisplayName>Alistair Tegart</DisplayName>
        <AccountId>213</AccountId>
        <AccountType/>
      </UserInfo>
      <UserInfo>
        <DisplayName>Narelle Grayson</DisplayName>
        <AccountId>212</AccountId>
        <AccountType/>
      </UserInfo>
      <UserInfo>
        <DisplayName>Roderick Brown</DisplayName>
        <AccountId>310</AccountId>
        <AccountType/>
      </UserInfo>
      <UserInfo>
        <DisplayName>Daniel Roelink</DisplayName>
        <AccountId>364</AccountId>
        <AccountType/>
      </UserInfo>
      <UserInfo>
        <DisplayName>Elizabeth Owers</DisplayName>
        <AccountId>721</AccountId>
        <AccountType/>
      </UserInfo>
      <UserInfo>
        <DisplayName>Emma Robinson</DisplayName>
        <AccountId>146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7DFF2E0050551488E40232F57030EF4" ma:contentTypeVersion="12" ma:contentTypeDescription="Create a new document." ma:contentTypeScope="" ma:versionID="3cd3807fd92308acc9549d2d0d436a35">
  <xsd:schema xmlns:xsd="http://www.w3.org/2001/XMLSchema" xmlns:xs="http://www.w3.org/2001/XMLSchema" xmlns:p="http://schemas.microsoft.com/office/2006/metadata/properties" xmlns:ns2="668287de-69f9-489b-9b65-b48d49065107" xmlns:ns3="71442a78-d832-4f95-b52b-64d9753d3749" targetNamespace="http://schemas.microsoft.com/office/2006/metadata/properties" ma:root="true" ma:fieldsID="e30adbfddf228f7982a11e97232230c7" ns2:_="" ns3:_="">
    <xsd:import namespace="668287de-69f9-489b-9b65-b48d49065107"/>
    <xsd:import namespace="71442a78-d832-4f95-b52b-64d9753d374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287de-69f9-489b-9b65-b48d490651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442a78-d832-4f95-b52b-64d9753d374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D72A8F-AA3D-4F49-A78F-28F180A17AF6}">
  <ds:schemaRefs>
    <ds:schemaRef ds:uri="http://schemas.openxmlformats.org/officeDocument/2006/bibliography"/>
  </ds:schemaRefs>
</ds:datastoreItem>
</file>

<file path=customXml/itemProps2.xml><?xml version="1.0" encoding="utf-8"?>
<ds:datastoreItem xmlns:ds="http://schemas.openxmlformats.org/officeDocument/2006/customXml" ds:itemID="{790C99CC-B362-43A3-BF9E-05EBCCF9EBBF}">
  <ds:schemaRefs>
    <ds:schemaRef ds:uri="http://schemas.microsoft.com/office/2006/metadata/properties"/>
    <ds:schemaRef ds:uri="http://schemas.microsoft.com/office/infopath/2007/PartnerControls"/>
    <ds:schemaRef ds:uri="71442a78-d832-4f95-b52b-64d9753d3749"/>
  </ds:schemaRefs>
</ds:datastoreItem>
</file>

<file path=customXml/itemProps3.xml><?xml version="1.0" encoding="utf-8"?>
<ds:datastoreItem xmlns:ds="http://schemas.openxmlformats.org/officeDocument/2006/customXml" ds:itemID="{0E332650-625E-4A3B-B731-6844B853C881}">
  <ds:schemaRefs>
    <ds:schemaRef ds:uri="http://schemas.microsoft.com/sharepoint/v3/contenttype/forms"/>
  </ds:schemaRefs>
</ds:datastoreItem>
</file>

<file path=customXml/itemProps4.xml><?xml version="1.0" encoding="utf-8"?>
<ds:datastoreItem xmlns:ds="http://schemas.openxmlformats.org/officeDocument/2006/customXml" ds:itemID="{AC4ACF64-ADFB-4246-A866-21B6AB4E96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287de-69f9-489b-9b65-b48d49065107"/>
    <ds:schemaRef ds:uri="71442a78-d832-4f95-b52b-64d9753d37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DCS-Policy (3)</Template>
  <TotalTime>115</TotalTime>
  <Pages>168</Pages>
  <Words>50266</Words>
  <Characters>286521</Characters>
  <Application>Microsoft Office Word</Application>
  <DocSecurity>0</DocSecurity>
  <Lines>2387</Lines>
  <Paragraphs>672</Paragraphs>
  <ScaleCrop>false</ScaleCrop>
  <HeadingPairs>
    <vt:vector size="2" baseType="variant">
      <vt:variant>
        <vt:lpstr>Title</vt:lpstr>
      </vt:variant>
      <vt:variant>
        <vt:i4>1</vt:i4>
      </vt:variant>
    </vt:vector>
  </HeadingPairs>
  <TitlesOfParts>
    <vt:vector size="1" baseType="lpstr">
      <vt:lpstr/>
    </vt:vector>
  </TitlesOfParts>
  <Company>Office of Finance and Services</Company>
  <LinksUpToDate>false</LinksUpToDate>
  <CharactersWithSpaces>336115</CharactersWithSpaces>
  <SharedDoc>false</SharedDoc>
  <HLinks>
    <vt:vector size="3516" baseType="variant">
      <vt:variant>
        <vt:i4>5242993</vt:i4>
      </vt:variant>
      <vt:variant>
        <vt:i4>2213</vt:i4>
      </vt:variant>
      <vt:variant>
        <vt:i4>0</vt:i4>
      </vt:variant>
      <vt:variant>
        <vt:i4>5</vt:i4>
      </vt:variant>
      <vt:variant>
        <vt:lpwstr/>
      </vt:variant>
      <vt:variant>
        <vt:lpwstr>_Existing_policies_and</vt:lpwstr>
      </vt:variant>
      <vt:variant>
        <vt:i4>1048610</vt:i4>
      </vt:variant>
      <vt:variant>
        <vt:i4>2210</vt:i4>
      </vt:variant>
      <vt:variant>
        <vt:i4>0</vt:i4>
      </vt:variant>
      <vt:variant>
        <vt:i4>5</vt:i4>
      </vt:variant>
      <vt:variant>
        <vt:lpwstr>https://www.dpie.nsw.gov.au/__data/assets/pdf_file/0009/334359/Smart-Places-Strategy-11-2020.pdf</vt:lpwstr>
      </vt:variant>
      <vt:variant>
        <vt:lpwstr/>
      </vt:variant>
      <vt:variant>
        <vt:i4>5242993</vt:i4>
      </vt:variant>
      <vt:variant>
        <vt:i4>2207</vt:i4>
      </vt:variant>
      <vt:variant>
        <vt:i4>0</vt:i4>
      </vt:variant>
      <vt:variant>
        <vt:i4>5</vt:i4>
      </vt:variant>
      <vt:variant>
        <vt:lpwstr/>
      </vt:variant>
      <vt:variant>
        <vt:lpwstr>_Existing_policies_and</vt:lpwstr>
      </vt:variant>
      <vt:variant>
        <vt:i4>1900614</vt:i4>
      </vt:variant>
      <vt:variant>
        <vt:i4>2204</vt:i4>
      </vt:variant>
      <vt:variant>
        <vt:i4>0</vt:i4>
      </vt:variant>
      <vt:variant>
        <vt:i4>5</vt:i4>
      </vt:variant>
      <vt:variant>
        <vt:lpwstr>https://www.digital.nsw.gov.au/policy/smart-infrastructure-policy</vt:lpwstr>
      </vt:variant>
      <vt:variant>
        <vt:lpwstr/>
      </vt:variant>
      <vt:variant>
        <vt:i4>6946893</vt:i4>
      </vt:variant>
      <vt:variant>
        <vt:i4>2201</vt:i4>
      </vt:variant>
      <vt:variant>
        <vt:i4>0</vt:i4>
      </vt:variant>
      <vt:variant>
        <vt:i4>5</vt:i4>
      </vt:variant>
      <vt:variant>
        <vt:lpwstr/>
      </vt:variant>
      <vt:variant>
        <vt:lpwstr>_Evaluation</vt:lpwstr>
      </vt:variant>
      <vt:variant>
        <vt:i4>3538958</vt:i4>
      </vt:variant>
      <vt:variant>
        <vt:i4>2198</vt:i4>
      </vt:variant>
      <vt:variant>
        <vt:i4>0</vt:i4>
      </vt:variant>
      <vt:variant>
        <vt:i4>5</vt:i4>
      </vt:variant>
      <vt:variant>
        <vt:lpwstr>https://arp.nsw.gov.au/sites/default/files/NSW Government Program Evaluation Guideline January 2016_1.pdf</vt:lpwstr>
      </vt:variant>
      <vt:variant>
        <vt:lpwstr/>
      </vt:variant>
      <vt:variant>
        <vt:i4>6946893</vt:i4>
      </vt:variant>
      <vt:variant>
        <vt:i4>2195</vt:i4>
      </vt:variant>
      <vt:variant>
        <vt:i4>0</vt:i4>
      </vt:variant>
      <vt:variant>
        <vt:i4>5</vt:i4>
      </vt:variant>
      <vt:variant>
        <vt:lpwstr/>
      </vt:variant>
      <vt:variant>
        <vt:lpwstr>_Evaluation</vt:lpwstr>
      </vt:variant>
      <vt:variant>
        <vt:i4>7602214</vt:i4>
      </vt:variant>
      <vt:variant>
        <vt:i4>2192</vt:i4>
      </vt:variant>
      <vt:variant>
        <vt:i4>0</vt:i4>
      </vt:variant>
      <vt:variant>
        <vt:i4>5</vt:i4>
      </vt:variant>
      <vt:variant>
        <vt:lpwstr>https://www.dpc.nsw.gov.au/tools-and-resources/evaluation-toolkit/</vt:lpwstr>
      </vt:variant>
      <vt:variant>
        <vt:lpwstr/>
      </vt:variant>
      <vt:variant>
        <vt:i4>7536710</vt:i4>
      </vt:variant>
      <vt:variant>
        <vt:i4>2189</vt:i4>
      </vt:variant>
      <vt:variant>
        <vt:i4>0</vt:i4>
      </vt:variant>
      <vt:variant>
        <vt:i4>5</vt:i4>
      </vt:variant>
      <vt:variant>
        <vt:lpwstr/>
      </vt:variant>
      <vt:variant>
        <vt:lpwstr>_Asset_and_data</vt:lpwstr>
      </vt:variant>
      <vt:variant>
        <vt:i4>4653148</vt:i4>
      </vt:variant>
      <vt:variant>
        <vt:i4>2186</vt:i4>
      </vt:variant>
      <vt:variant>
        <vt:i4>0</vt:i4>
      </vt:variant>
      <vt:variant>
        <vt:i4>5</vt:i4>
      </vt:variant>
      <vt:variant>
        <vt:lpwstr>http://nswtreasury.prod.acquia-sites.com/sites/default/files/2017-03/TAM06-3 Asset Maintenance Strategic Planning.pdf</vt:lpwstr>
      </vt:variant>
      <vt:variant>
        <vt:lpwstr/>
      </vt:variant>
      <vt:variant>
        <vt:i4>3866660</vt:i4>
      </vt:variant>
      <vt:variant>
        <vt:i4>2183</vt:i4>
      </vt:variant>
      <vt:variant>
        <vt:i4>0</vt:i4>
      </vt:variant>
      <vt:variant>
        <vt:i4>5</vt:i4>
      </vt:variant>
      <vt:variant>
        <vt:lpwstr/>
      </vt:variant>
      <vt:variant>
        <vt:lpwstr>_Data_sharing</vt:lpwstr>
      </vt:variant>
      <vt:variant>
        <vt:i4>1966151</vt:i4>
      </vt:variant>
      <vt:variant>
        <vt:i4>2180</vt:i4>
      </vt:variant>
      <vt:variant>
        <vt:i4>0</vt:i4>
      </vt:variant>
      <vt:variant>
        <vt:i4>5</vt:i4>
      </vt:variant>
      <vt:variant>
        <vt:lpwstr>https://www.digital.nsw.gov.au/data-quality-tool-archived</vt:lpwstr>
      </vt:variant>
      <vt:variant>
        <vt:lpwstr/>
      </vt:variant>
      <vt:variant>
        <vt:i4>7864356</vt:i4>
      </vt:variant>
      <vt:variant>
        <vt:i4>2177</vt:i4>
      </vt:variant>
      <vt:variant>
        <vt:i4>0</vt:i4>
      </vt:variant>
      <vt:variant>
        <vt:i4>5</vt:i4>
      </vt:variant>
      <vt:variant>
        <vt:lpwstr/>
      </vt:variant>
      <vt:variant>
        <vt:lpwstr>_Spatial_data_requirements_2</vt:lpwstr>
      </vt:variant>
      <vt:variant>
        <vt:i4>7143521</vt:i4>
      </vt:variant>
      <vt:variant>
        <vt:i4>2174</vt:i4>
      </vt:variant>
      <vt:variant>
        <vt:i4>0</vt:i4>
      </vt:variant>
      <vt:variant>
        <vt:i4>5</vt:i4>
      </vt:variant>
      <vt:variant>
        <vt:lpwstr>http://spatialservices.finance.nsw.gov.au/__data/assets/pdf_file/0005/219281/NSW_Standard_for_Spatially_Enabling_Information.pdf</vt:lpwstr>
      </vt:variant>
      <vt:variant>
        <vt:lpwstr/>
      </vt:variant>
      <vt:variant>
        <vt:i4>1966131</vt:i4>
      </vt:variant>
      <vt:variant>
        <vt:i4>2171</vt:i4>
      </vt:variant>
      <vt:variant>
        <vt:i4>0</vt:i4>
      </vt:variant>
      <vt:variant>
        <vt:i4>5</vt:i4>
      </vt:variant>
      <vt:variant>
        <vt:lpwstr/>
      </vt:variant>
      <vt:variant>
        <vt:lpwstr>_Toc14690044</vt:lpwstr>
      </vt:variant>
      <vt:variant>
        <vt:i4>5767241</vt:i4>
      </vt:variant>
      <vt:variant>
        <vt:i4>2168</vt:i4>
      </vt:variant>
      <vt:variant>
        <vt:i4>0</vt:i4>
      </vt:variant>
      <vt:variant>
        <vt:i4>5</vt:i4>
      </vt:variant>
      <vt:variant>
        <vt:lpwstr>https://www.procurepoint.nsw.gov.au/documents/procurement-strategy-template.docx</vt:lpwstr>
      </vt:variant>
      <vt:variant>
        <vt:lpwstr/>
      </vt:variant>
      <vt:variant>
        <vt:i4>1966131</vt:i4>
      </vt:variant>
      <vt:variant>
        <vt:i4>2165</vt:i4>
      </vt:variant>
      <vt:variant>
        <vt:i4>0</vt:i4>
      </vt:variant>
      <vt:variant>
        <vt:i4>5</vt:i4>
      </vt:variant>
      <vt:variant>
        <vt:lpwstr/>
      </vt:variant>
      <vt:variant>
        <vt:lpwstr>_Toc14690044</vt:lpwstr>
      </vt:variant>
      <vt:variant>
        <vt:i4>3866672</vt:i4>
      </vt:variant>
      <vt:variant>
        <vt:i4>2162</vt:i4>
      </vt:variant>
      <vt:variant>
        <vt:i4>0</vt:i4>
      </vt:variant>
      <vt:variant>
        <vt:i4>5</vt:i4>
      </vt:variant>
      <vt:variant>
        <vt:lpwstr>https://www.procurepoint.nsw.gov.au/system/files/documents/industry_engagement_guide.pdf</vt:lpwstr>
      </vt:variant>
      <vt:variant>
        <vt:lpwstr/>
      </vt:variant>
      <vt:variant>
        <vt:i4>1966131</vt:i4>
      </vt:variant>
      <vt:variant>
        <vt:i4>2159</vt:i4>
      </vt:variant>
      <vt:variant>
        <vt:i4>0</vt:i4>
      </vt:variant>
      <vt:variant>
        <vt:i4>5</vt:i4>
      </vt:variant>
      <vt:variant>
        <vt:lpwstr/>
      </vt:variant>
      <vt:variant>
        <vt:lpwstr>_Toc14690044</vt:lpwstr>
      </vt:variant>
      <vt:variant>
        <vt:i4>852058</vt:i4>
      </vt:variant>
      <vt:variant>
        <vt:i4>2156</vt:i4>
      </vt:variant>
      <vt:variant>
        <vt:i4>0</vt:i4>
      </vt:variant>
      <vt:variant>
        <vt:i4>5</vt:i4>
      </vt:variant>
      <vt:variant>
        <vt:lpwstr>https://search.procurepoint.nsw.gov.au/s/redirect?collection=nswp-meta&amp;url=https%3A%2F%2Fwww.procurepoint.nsw.gov.au%2Fsystem%2Ffiles%2Fdocuments%2Fprocurement_risk_register_2.xlsx&amp;auth=KNC80pFXqBrf7r19Ksreeg&amp;profile=_default&amp;rank=1&amp;query=procurement+risk+register</vt:lpwstr>
      </vt:variant>
      <vt:variant>
        <vt:lpwstr/>
      </vt:variant>
      <vt:variant>
        <vt:i4>1966131</vt:i4>
      </vt:variant>
      <vt:variant>
        <vt:i4>2153</vt:i4>
      </vt:variant>
      <vt:variant>
        <vt:i4>0</vt:i4>
      </vt:variant>
      <vt:variant>
        <vt:i4>5</vt:i4>
      </vt:variant>
      <vt:variant>
        <vt:lpwstr/>
      </vt:variant>
      <vt:variant>
        <vt:lpwstr>_Toc14690044</vt:lpwstr>
      </vt:variant>
      <vt:variant>
        <vt:i4>8323107</vt:i4>
      </vt:variant>
      <vt:variant>
        <vt:i4>2150</vt:i4>
      </vt:variant>
      <vt:variant>
        <vt:i4>0</vt:i4>
      </vt:variant>
      <vt:variant>
        <vt:i4>5</vt:i4>
      </vt:variant>
      <vt:variant>
        <vt:lpwstr>https://www.procurepoint.nsw.gov.au/policy-and-reform/goods-and-services-procurement-policies/nsw-government-small-and-medium-enterprise</vt:lpwstr>
      </vt:variant>
      <vt:variant>
        <vt:lpwstr>Initiatives</vt:lpwstr>
      </vt:variant>
      <vt:variant>
        <vt:i4>1966131</vt:i4>
      </vt:variant>
      <vt:variant>
        <vt:i4>2147</vt:i4>
      </vt:variant>
      <vt:variant>
        <vt:i4>0</vt:i4>
      </vt:variant>
      <vt:variant>
        <vt:i4>5</vt:i4>
      </vt:variant>
      <vt:variant>
        <vt:lpwstr/>
      </vt:variant>
      <vt:variant>
        <vt:lpwstr>_Toc14690044</vt:lpwstr>
      </vt:variant>
      <vt:variant>
        <vt:i4>5570573</vt:i4>
      </vt:variant>
      <vt:variant>
        <vt:i4>2144</vt:i4>
      </vt:variant>
      <vt:variant>
        <vt:i4>0</vt:i4>
      </vt:variant>
      <vt:variant>
        <vt:i4>5</vt:i4>
      </vt:variant>
      <vt:variant>
        <vt:lpwstr>https://www.procurepoint.nsw.gov.au/policy-and-reform/nsw-procurement-board/nsw-procurement-board-directions</vt:lpwstr>
      </vt:variant>
      <vt:variant>
        <vt:lpwstr/>
      </vt:variant>
      <vt:variant>
        <vt:i4>1966131</vt:i4>
      </vt:variant>
      <vt:variant>
        <vt:i4>2141</vt:i4>
      </vt:variant>
      <vt:variant>
        <vt:i4>0</vt:i4>
      </vt:variant>
      <vt:variant>
        <vt:i4>5</vt:i4>
      </vt:variant>
      <vt:variant>
        <vt:lpwstr/>
      </vt:variant>
      <vt:variant>
        <vt:lpwstr>_Toc14690044</vt:lpwstr>
      </vt:variant>
      <vt:variant>
        <vt:i4>5111828</vt:i4>
      </vt:variant>
      <vt:variant>
        <vt:i4>2138</vt:i4>
      </vt:variant>
      <vt:variant>
        <vt:i4>0</vt:i4>
      </vt:variant>
      <vt:variant>
        <vt:i4>5</vt:i4>
      </vt:variant>
      <vt:variant>
        <vt:lpwstr>https://www.procurepoint.nsw.gov.au/policy-and-reform/nsw-government-procurement-policy-framework</vt:lpwstr>
      </vt:variant>
      <vt:variant>
        <vt:lpwstr/>
      </vt:variant>
      <vt:variant>
        <vt:i4>589898</vt:i4>
      </vt:variant>
      <vt:variant>
        <vt:i4>2135</vt:i4>
      </vt:variant>
      <vt:variant>
        <vt:i4>0</vt:i4>
      </vt:variant>
      <vt:variant>
        <vt:i4>5</vt:i4>
      </vt:variant>
      <vt:variant>
        <vt:lpwstr/>
      </vt:variant>
      <vt:variant>
        <vt:lpwstr>_Cost-benefit_analysis</vt:lpwstr>
      </vt:variant>
      <vt:variant>
        <vt:i4>7667822</vt:i4>
      </vt:variant>
      <vt:variant>
        <vt:i4>2132</vt:i4>
      </vt:variant>
      <vt:variant>
        <vt:i4>0</vt:i4>
      </vt:variant>
      <vt:variant>
        <vt:i4>5</vt:i4>
      </vt:variant>
      <vt:variant>
        <vt:lpwstr>https://www.finance.nsw.gov.au/publication-and-resources/benefits-realisation-management-framework</vt:lpwstr>
      </vt:variant>
      <vt:variant>
        <vt:lpwstr/>
      </vt:variant>
      <vt:variant>
        <vt:i4>589898</vt:i4>
      </vt:variant>
      <vt:variant>
        <vt:i4>2129</vt:i4>
      </vt:variant>
      <vt:variant>
        <vt:i4>0</vt:i4>
      </vt:variant>
      <vt:variant>
        <vt:i4>5</vt:i4>
      </vt:variant>
      <vt:variant>
        <vt:lpwstr/>
      </vt:variant>
      <vt:variant>
        <vt:lpwstr>_Cost-benefit_analysis</vt:lpwstr>
      </vt:variant>
      <vt:variant>
        <vt:i4>8192090</vt:i4>
      </vt:variant>
      <vt:variant>
        <vt:i4>2126</vt:i4>
      </vt:variant>
      <vt:variant>
        <vt:i4>0</vt:i4>
      </vt:variant>
      <vt:variant>
        <vt:i4>5</vt:i4>
      </vt:variant>
      <vt:variant>
        <vt:lpwstr>https://www.treasury.nsw.gov.au/sites/default/files/2017-03/TPP17-03 NSW Government Guide to Cost-Benefit Analysis - pdf_0.pdf</vt:lpwstr>
      </vt:variant>
      <vt:variant>
        <vt:lpwstr/>
      </vt:variant>
      <vt:variant>
        <vt:i4>5701701</vt:i4>
      </vt:variant>
      <vt:variant>
        <vt:i4>2123</vt:i4>
      </vt:variant>
      <vt:variant>
        <vt:i4>0</vt:i4>
      </vt:variant>
      <vt:variant>
        <vt:i4>5</vt:i4>
      </vt:variant>
      <vt:variant>
        <vt:lpwstr/>
      </vt:variant>
      <vt:variant>
        <vt:lpwstr>_Business_case</vt:lpwstr>
      </vt:variant>
      <vt:variant>
        <vt:i4>2424938</vt:i4>
      </vt:variant>
      <vt:variant>
        <vt:i4>2120</vt:i4>
      </vt:variant>
      <vt:variant>
        <vt:i4>0</vt:i4>
      </vt:variant>
      <vt:variant>
        <vt:i4>5</vt:i4>
      </vt:variant>
      <vt:variant>
        <vt:lpwstr>http://www.infrastructure.nsw.gov.au/project-assurance/resources/business-case-toolkit/</vt:lpwstr>
      </vt:variant>
      <vt:variant>
        <vt:lpwstr/>
      </vt:variant>
      <vt:variant>
        <vt:i4>5701701</vt:i4>
      </vt:variant>
      <vt:variant>
        <vt:i4>2117</vt:i4>
      </vt:variant>
      <vt:variant>
        <vt:i4>0</vt:i4>
      </vt:variant>
      <vt:variant>
        <vt:i4>5</vt:i4>
      </vt:variant>
      <vt:variant>
        <vt:lpwstr/>
      </vt:variant>
      <vt:variant>
        <vt:lpwstr>_Business_case</vt:lpwstr>
      </vt:variant>
      <vt:variant>
        <vt:i4>1572944</vt:i4>
      </vt:variant>
      <vt:variant>
        <vt:i4>2114</vt:i4>
      </vt:variant>
      <vt:variant>
        <vt:i4>0</vt:i4>
      </vt:variant>
      <vt:variant>
        <vt:i4>5</vt:i4>
      </vt:variant>
      <vt:variant>
        <vt:lpwstr>https://www.treasury.nsw.gov.au/sites/default/files/2018-08/TPP18-06  NSW Government Business Case Guidelines.pdf</vt:lpwstr>
      </vt:variant>
      <vt:variant>
        <vt:lpwstr/>
      </vt:variant>
      <vt:variant>
        <vt:i4>7012443</vt:i4>
      </vt:variant>
      <vt:variant>
        <vt:i4>2111</vt:i4>
      </vt:variant>
      <vt:variant>
        <vt:i4>0</vt:i4>
      </vt:variant>
      <vt:variant>
        <vt:i4>5</vt:i4>
      </vt:variant>
      <vt:variant>
        <vt:lpwstr/>
      </vt:variant>
      <vt:variant>
        <vt:lpwstr>_Assurance</vt:lpwstr>
      </vt:variant>
      <vt:variant>
        <vt:i4>7667825</vt:i4>
      </vt:variant>
      <vt:variant>
        <vt:i4>2108</vt:i4>
      </vt:variant>
      <vt:variant>
        <vt:i4>0</vt:i4>
      </vt:variant>
      <vt:variant>
        <vt:i4>5</vt:i4>
      </vt:variant>
      <vt:variant>
        <vt:lpwstr>https://www.treasury.nsw.gov.au/information-public-entities/governance-risk-and-assurance/recurrent-expenditure-assurance-framework</vt:lpwstr>
      </vt:variant>
      <vt:variant>
        <vt:lpwstr/>
      </vt:variant>
      <vt:variant>
        <vt:i4>7012443</vt:i4>
      </vt:variant>
      <vt:variant>
        <vt:i4>2105</vt:i4>
      </vt:variant>
      <vt:variant>
        <vt:i4>0</vt:i4>
      </vt:variant>
      <vt:variant>
        <vt:i4>5</vt:i4>
      </vt:variant>
      <vt:variant>
        <vt:lpwstr/>
      </vt:variant>
      <vt:variant>
        <vt:lpwstr>_Assurance</vt:lpwstr>
      </vt:variant>
      <vt:variant>
        <vt:i4>6291498</vt:i4>
      </vt:variant>
      <vt:variant>
        <vt:i4>2102</vt:i4>
      </vt:variant>
      <vt:variant>
        <vt:i4>0</vt:i4>
      </vt:variant>
      <vt:variant>
        <vt:i4>5</vt:i4>
      </vt:variant>
      <vt:variant>
        <vt:lpwstr>http://www.infrastructure.nsw.gov.au/project-assurance/</vt:lpwstr>
      </vt:variant>
      <vt:variant>
        <vt:lpwstr/>
      </vt:variant>
      <vt:variant>
        <vt:i4>7012443</vt:i4>
      </vt:variant>
      <vt:variant>
        <vt:i4>2099</vt:i4>
      </vt:variant>
      <vt:variant>
        <vt:i4>0</vt:i4>
      </vt:variant>
      <vt:variant>
        <vt:i4>5</vt:i4>
      </vt:variant>
      <vt:variant>
        <vt:lpwstr/>
      </vt:variant>
      <vt:variant>
        <vt:lpwstr>_Assurance</vt:lpwstr>
      </vt:variant>
      <vt:variant>
        <vt:i4>7602289</vt:i4>
      </vt:variant>
      <vt:variant>
        <vt:i4>2096</vt:i4>
      </vt:variant>
      <vt:variant>
        <vt:i4>0</vt:i4>
      </vt:variant>
      <vt:variant>
        <vt:i4>5</vt:i4>
      </vt:variant>
      <vt:variant>
        <vt:lpwstr>https://www.digital.nsw.gov.au/policy/ict-assurance</vt:lpwstr>
      </vt:variant>
      <vt:variant>
        <vt:lpwstr/>
      </vt:variant>
      <vt:variant>
        <vt:i4>7012443</vt:i4>
      </vt:variant>
      <vt:variant>
        <vt:i4>2093</vt:i4>
      </vt:variant>
      <vt:variant>
        <vt:i4>0</vt:i4>
      </vt:variant>
      <vt:variant>
        <vt:i4>5</vt:i4>
      </vt:variant>
      <vt:variant>
        <vt:lpwstr/>
      </vt:variant>
      <vt:variant>
        <vt:lpwstr>_Assurance</vt:lpwstr>
      </vt:variant>
      <vt:variant>
        <vt:i4>6488113</vt:i4>
      </vt:variant>
      <vt:variant>
        <vt:i4>2090</vt:i4>
      </vt:variant>
      <vt:variant>
        <vt:i4>0</vt:i4>
      </vt:variant>
      <vt:variant>
        <vt:i4>5</vt:i4>
      </vt:variant>
      <vt:variant>
        <vt:lpwstr>https://arp.nsw.gov.au/tpp17-01-nsw-gateway-policy</vt:lpwstr>
      </vt:variant>
      <vt:variant>
        <vt:lpwstr/>
      </vt:variant>
      <vt:variant>
        <vt:i4>3866660</vt:i4>
      </vt:variant>
      <vt:variant>
        <vt:i4>2087</vt:i4>
      </vt:variant>
      <vt:variant>
        <vt:i4>0</vt:i4>
      </vt:variant>
      <vt:variant>
        <vt:i4>5</vt:i4>
      </vt:variant>
      <vt:variant>
        <vt:lpwstr/>
      </vt:variant>
      <vt:variant>
        <vt:lpwstr>_Data_sharing</vt:lpwstr>
      </vt:variant>
      <vt:variant>
        <vt:i4>2228256</vt:i4>
      </vt:variant>
      <vt:variant>
        <vt:i4>2084</vt:i4>
      </vt:variant>
      <vt:variant>
        <vt:i4>0</vt:i4>
      </vt:variant>
      <vt:variant>
        <vt:i4>5</vt:i4>
      </vt:variant>
      <vt:variant>
        <vt:lpwstr/>
      </vt:variant>
      <vt:variant>
        <vt:lpwstr>_Data_obligations</vt:lpwstr>
      </vt:variant>
      <vt:variant>
        <vt:i4>4653066</vt:i4>
      </vt:variant>
      <vt:variant>
        <vt:i4>2081</vt:i4>
      </vt:variant>
      <vt:variant>
        <vt:i4>0</vt:i4>
      </vt:variant>
      <vt:variant>
        <vt:i4>5</vt:i4>
      </vt:variant>
      <vt:variant>
        <vt:lpwstr>https://www.digital.nsw.gov.au/policy/data-information/making-data-open/nsw-open-data-policy</vt:lpwstr>
      </vt:variant>
      <vt:variant>
        <vt:lpwstr/>
      </vt:variant>
      <vt:variant>
        <vt:i4>65592</vt:i4>
      </vt:variant>
      <vt:variant>
        <vt:i4>2078</vt:i4>
      </vt:variant>
      <vt:variant>
        <vt:i4>0</vt:i4>
      </vt:variant>
      <vt:variant>
        <vt:i4>5</vt:i4>
      </vt:variant>
      <vt:variant>
        <vt:lpwstr/>
      </vt:variant>
      <vt:variant>
        <vt:lpwstr>_Privacy</vt:lpwstr>
      </vt:variant>
      <vt:variant>
        <vt:i4>6881286</vt:i4>
      </vt:variant>
      <vt:variant>
        <vt:i4>2075</vt:i4>
      </vt:variant>
      <vt:variant>
        <vt:i4>0</vt:i4>
      </vt:variant>
      <vt:variant>
        <vt:i4>5</vt:i4>
      </vt:variant>
      <vt:variant>
        <vt:lpwstr>https://www.ipc.nsw.gov.au/sites/default/files/file_manager/2016.12.13_Privacy_Impact_Assessment_Guide.pdf</vt:lpwstr>
      </vt:variant>
      <vt:variant>
        <vt:lpwstr/>
      </vt:variant>
      <vt:variant>
        <vt:i4>65592</vt:i4>
      </vt:variant>
      <vt:variant>
        <vt:i4>2072</vt:i4>
      </vt:variant>
      <vt:variant>
        <vt:i4>0</vt:i4>
      </vt:variant>
      <vt:variant>
        <vt:i4>5</vt:i4>
      </vt:variant>
      <vt:variant>
        <vt:lpwstr/>
      </vt:variant>
      <vt:variant>
        <vt:lpwstr>_Privacy</vt:lpwstr>
      </vt:variant>
      <vt:variant>
        <vt:i4>7798902</vt:i4>
      </vt:variant>
      <vt:variant>
        <vt:i4>2069</vt:i4>
      </vt:variant>
      <vt:variant>
        <vt:i4>0</vt:i4>
      </vt:variant>
      <vt:variant>
        <vt:i4>5</vt:i4>
      </vt:variant>
      <vt:variant>
        <vt:lpwstr>https://www.ipc.nsw.gov.au/information-governance-agency-self-assessment-tools-privacy</vt:lpwstr>
      </vt:variant>
      <vt:variant>
        <vt:lpwstr/>
      </vt:variant>
      <vt:variant>
        <vt:i4>4784129</vt:i4>
      </vt:variant>
      <vt:variant>
        <vt:i4>2066</vt:i4>
      </vt:variant>
      <vt:variant>
        <vt:i4>0</vt:i4>
      </vt:variant>
      <vt:variant>
        <vt:i4>5</vt:i4>
      </vt:variant>
      <vt:variant>
        <vt:lpwstr/>
      </vt:variant>
      <vt:variant>
        <vt:lpwstr>_Risks_and_obligations_2</vt:lpwstr>
      </vt:variant>
      <vt:variant>
        <vt:i4>7798834</vt:i4>
      </vt:variant>
      <vt:variant>
        <vt:i4>2063</vt:i4>
      </vt:variant>
      <vt:variant>
        <vt:i4>0</vt:i4>
      </vt:variant>
      <vt:variant>
        <vt:i4>5</vt:i4>
      </vt:variant>
      <vt:variant>
        <vt:lpwstr>https://www.safework.nsw.gov.au/resource-library/list-of-all-codes-of-practice</vt:lpwstr>
      </vt:variant>
      <vt:variant>
        <vt:lpwstr/>
      </vt:variant>
      <vt:variant>
        <vt:i4>4784129</vt:i4>
      </vt:variant>
      <vt:variant>
        <vt:i4>2060</vt:i4>
      </vt:variant>
      <vt:variant>
        <vt:i4>0</vt:i4>
      </vt:variant>
      <vt:variant>
        <vt:i4>5</vt:i4>
      </vt:variant>
      <vt:variant>
        <vt:lpwstr/>
      </vt:variant>
      <vt:variant>
        <vt:lpwstr>_Risks_and_obligations_2</vt:lpwstr>
      </vt:variant>
      <vt:variant>
        <vt:i4>89</vt:i4>
      </vt:variant>
      <vt:variant>
        <vt:i4>2057</vt:i4>
      </vt:variant>
      <vt:variant>
        <vt:i4>0</vt:i4>
      </vt:variant>
      <vt:variant>
        <vt:i4>5</vt:i4>
      </vt:variant>
      <vt:variant>
        <vt:lpwstr>https://www.digital.nsw.gov.au/sites/default/files/NSW Data and Information Custodianship Policy v1-0.pdf</vt:lpwstr>
      </vt:variant>
      <vt:variant>
        <vt:lpwstr/>
      </vt:variant>
      <vt:variant>
        <vt:i4>4784129</vt:i4>
      </vt:variant>
      <vt:variant>
        <vt:i4>2054</vt:i4>
      </vt:variant>
      <vt:variant>
        <vt:i4>0</vt:i4>
      </vt:variant>
      <vt:variant>
        <vt:i4>5</vt:i4>
      </vt:variant>
      <vt:variant>
        <vt:lpwstr/>
      </vt:variant>
      <vt:variant>
        <vt:lpwstr>_Risks_and_obligations_2</vt:lpwstr>
      </vt:variant>
      <vt:variant>
        <vt:i4>7929982</vt:i4>
      </vt:variant>
      <vt:variant>
        <vt:i4>2051</vt:i4>
      </vt:variant>
      <vt:variant>
        <vt:i4>0</vt:i4>
      </vt:variant>
      <vt:variant>
        <vt:i4>5</vt:i4>
      </vt:variant>
      <vt:variant>
        <vt:lpwstr>https://www.procurepoint.nsw.gov.au/system/files/documents/guidelines_risk_management.pdf</vt:lpwstr>
      </vt:variant>
      <vt:variant>
        <vt:lpwstr/>
      </vt:variant>
      <vt:variant>
        <vt:i4>3801116</vt:i4>
      </vt:variant>
      <vt:variant>
        <vt:i4>2048</vt:i4>
      </vt:variant>
      <vt:variant>
        <vt:i4>0</vt:i4>
      </vt:variant>
      <vt:variant>
        <vt:i4>5</vt:i4>
      </vt:variant>
      <vt:variant>
        <vt:lpwstr/>
      </vt:variant>
      <vt:variant>
        <vt:lpwstr>_Cyber_Security_1</vt:lpwstr>
      </vt:variant>
      <vt:variant>
        <vt:i4>4784129</vt:i4>
      </vt:variant>
      <vt:variant>
        <vt:i4>2045</vt:i4>
      </vt:variant>
      <vt:variant>
        <vt:i4>0</vt:i4>
      </vt:variant>
      <vt:variant>
        <vt:i4>5</vt:i4>
      </vt:variant>
      <vt:variant>
        <vt:lpwstr/>
      </vt:variant>
      <vt:variant>
        <vt:lpwstr>_Risks_and_obligations_2</vt:lpwstr>
      </vt:variant>
      <vt:variant>
        <vt:i4>3670118</vt:i4>
      </vt:variant>
      <vt:variant>
        <vt:i4>2042</vt:i4>
      </vt:variant>
      <vt:variant>
        <vt:i4>0</vt:i4>
      </vt:variant>
      <vt:variant>
        <vt:i4>5</vt:i4>
      </vt:variant>
      <vt:variant>
        <vt:lpwstr>https://www.digital.nsw.gov.au/policy/cyber-security/cyber-security-policy</vt:lpwstr>
      </vt:variant>
      <vt:variant>
        <vt:lpwstr/>
      </vt:variant>
      <vt:variant>
        <vt:i4>4784129</vt:i4>
      </vt:variant>
      <vt:variant>
        <vt:i4>2039</vt:i4>
      </vt:variant>
      <vt:variant>
        <vt:i4>0</vt:i4>
      </vt:variant>
      <vt:variant>
        <vt:i4>5</vt:i4>
      </vt:variant>
      <vt:variant>
        <vt:lpwstr/>
      </vt:variant>
      <vt:variant>
        <vt:lpwstr>_Risks_and_obligations_2</vt:lpwstr>
      </vt:variant>
      <vt:variant>
        <vt:i4>1114133</vt:i4>
      </vt:variant>
      <vt:variant>
        <vt:i4>2036</vt:i4>
      </vt:variant>
      <vt:variant>
        <vt:i4>0</vt:i4>
      </vt:variant>
      <vt:variant>
        <vt:i4>5</vt:i4>
      </vt:variant>
      <vt:variant>
        <vt:lpwstr>https://www.treasury.nsw.gov.au/information-public-entities/governance-risk-and-assurance/internal-audit-and-risk-management/risk</vt:lpwstr>
      </vt:variant>
      <vt:variant>
        <vt:lpwstr/>
      </vt:variant>
      <vt:variant>
        <vt:i4>4784129</vt:i4>
      </vt:variant>
      <vt:variant>
        <vt:i4>2033</vt:i4>
      </vt:variant>
      <vt:variant>
        <vt:i4>0</vt:i4>
      </vt:variant>
      <vt:variant>
        <vt:i4>5</vt:i4>
      </vt:variant>
      <vt:variant>
        <vt:lpwstr/>
      </vt:variant>
      <vt:variant>
        <vt:lpwstr>_Risks_and_obligations_2</vt:lpwstr>
      </vt:variant>
      <vt:variant>
        <vt:i4>1900618</vt:i4>
      </vt:variant>
      <vt:variant>
        <vt:i4>2030</vt:i4>
      </vt:variant>
      <vt:variant>
        <vt:i4>0</vt:i4>
      </vt:variant>
      <vt:variant>
        <vt:i4>5</vt:i4>
      </vt:variant>
      <vt:variant>
        <vt:lpwstr>https://www.audit.nsw.gov.au/sites/default/files/auditoffice/Governance-and-Policies---Current/Risk Management Framework.pdf</vt:lpwstr>
      </vt:variant>
      <vt:variant>
        <vt:lpwstr/>
      </vt:variant>
      <vt:variant>
        <vt:i4>4784129</vt:i4>
      </vt:variant>
      <vt:variant>
        <vt:i4>2027</vt:i4>
      </vt:variant>
      <vt:variant>
        <vt:i4>0</vt:i4>
      </vt:variant>
      <vt:variant>
        <vt:i4>5</vt:i4>
      </vt:variant>
      <vt:variant>
        <vt:lpwstr/>
      </vt:variant>
      <vt:variant>
        <vt:lpwstr>_Risks_and_obligations_2</vt:lpwstr>
      </vt:variant>
      <vt:variant>
        <vt:i4>7143541</vt:i4>
      </vt:variant>
      <vt:variant>
        <vt:i4>2024</vt:i4>
      </vt:variant>
      <vt:variant>
        <vt:i4>0</vt:i4>
      </vt:variant>
      <vt:variant>
        <vt:i4>5</vt:i4>
      </vt:variant>
      <vt:variant>
        <vt:lpwstr>https://www.audit.nsw.gov.au/our-work/reports/internal-controls-and-governance-2018</vt:lpwstr>
      </vt:variant>
      <vt:variant>
        <vt:lpwstr/>
      </vt:variant>
      <vt:variant>
        <vt:i4>4784129</vt:i4>
      </vt:variant>
      <vt:variant>
        <vt:i4>2021</vt:i4>
      </vt:variant>
      <vt:variant>
        <vt:i4>0</vt:i4>
      </vt:variant>
      <vt:variant>
        <vt:i4>5</vt:i4>
      </vt:variant>
      <vt:variant>
        <vt:lpwstr/>
      </vt:variant>
      <vt:variant>
        <vt:lpwstr>_Risks_and_obligations_2</vt:lpwstr>
      </vt:variant>
      <vt:variant>
        <vt:i4>2359408</vt:i4>
      </vt:variant>
      <vt:variant>
        <vt:i4>2018</vt:i4>
      </vt:variant>
      <vt:variant>
        <vt:i4>0</vt:i4>
      </vt:variant>
      <vt:variant>
        <vt:i4>5</vt:i4>
      </vt:variant>
      <vt:variant>
        <vt:lpwstr>https://arp.nsw.gov.au/tpp15-03-internal-audit-and-risk-management-policy-nsw-public-sector</vt:lpwstr>
      </vt:variant>
      <vt:variant>
        <vt:lpwstr/>
      </vt:variant>
      <vt:variant>
        <vt:i4>4784129</vt:i4>
      </vt:variant>
      <vt:variant>
        <vt:i4>2015</vt:i4>
      </vt:variant>
      <vt:variant>
        <vt:i4>0</vt:i4>
      </vt:variant>
      <vt:variant>
        <vt:i4>5</vt:i4>
      </vt:variant>
      <vt:variant>
        <vt:lpwstr/>
      </vt:variant>
      <vt:variant>
        <vt:lpwstr>_Risks_and_obligations_2</vt:lpwstr>
      </vt:variant>
      <vt:variant>
        <vt:i4>5505050</vt:i4>
      </vt:variant>
      <vt:variant>
        <vt:i4>2012</vt:i4>
      </vt:variant>
      <vt:variant>
        <vt:i4>0</vt:i4>
      </vt:variant>
      <vt:variant>
        <vt:i4>5</vt:i4>
      </vt:variant>
      <vt:variant>
        <vt:lpwstr/>
      </vt:variant>
      <vt:variant>
        <vt:lpwstr>_Data_needs_assessment_1</vt:lpwstr>
      </vt:variant>
      <vt:variant>
        <vt:i4>4522066</vt:i4>
      </vt:variant>
      <vt:variant>
        <vt:i4>2009</vt:i4>
      </vt:variant>
      <vt:variant>
        <vt:i4>0</vt:i4>
      </vt:variant>
      <vt:variant>
        <vt:i4>5</vt:i4>
      </vt:variant>
      <vt:variant>
        <vt:lpwstr>https://www.digital.nsw.gov.au/sites/default/files/Cloud Policy %28for publication%29- April 2018.pdf</vt:lpwstr>
      </vt:variant>
      <vt:variant>
        <vt:lpwstr/>
      </vt:variant>
      <vt:variant>
        <vt:i4>2228256</vt:i4>
      </vt:variant>
      <vt:variant>
        <vt:i4>2006</vt:i4>
      </vt:variant>
      <vt:variant>
        <vt:i4>0</vt:i4>
      </vt:variant>
      <vt:variant>
        <vt:i4>5</vt:i4>
      </vt:variant>
      <vt:variant>
        <vt:lpwstr/>
      </vt:variant>
      <vt:variant>
        <vt:lpwstr>_Data_obligations</vt:lpwstr>
      </vt:variant>
      <vt:variant>
        <vt:i4>5505050</vt:i4>
      </vt:variant>
      <vt:variant>
        <vt:i4>2003</vt:i4>
      </vt:variant>
      <vt:variant>
        <vt:i4>0</vt:i4>
      </vt:variant>
      <vt:variant>
        <vt:i4>5</vt:i4>
      </vt:variant>
      <vt:variant>
        <vt:lpwstr/>
      </vt:variant>
      <vt:variant>
        <vt:lpwstr>_Data_needs_assessment_1</vt:lpwstr>
      </vt:variant>
      <vt:variant>
        <vt:i4>7340067</vt:i4>
      </vt:variant>
      <vt:variant>
        <vt:i4>2000</vt:i4>
      </vt:variant>
      <vt:variant>
        <vt:i4>0</vt:i4>
      </vt:variant>
      <vt:variant>
        <vt:i4>5</vt:i4>
      </vt:variant>
      <vt:variant>
        <vt:lpwstr>https://arp.nsw.gov.au/dfsi-2015-01-nsw-government-information-classification-labelling-and-handling-guidelines</vt:lpwstr>
      </vt:variant>
      <vt:variant>
        <vt:lpwstr/>
      </vt:variant>
      <vt:variant>
        <vt:i4>6815857</vt:i4>
      </vt:variant>
      <vt:variant>
        <vt:i4>1997</vt:i4>
      </vt:variant>
      <vt:variant>
        <vt:i4>0</vt:i4>
      </vt:variant>
      <vt:variant>
        <vt:i4>5</vt:i4>
      </vt:variant>
      <vt:variant>
        <vt:lpwstr/>
      </vt:variant>
      <vt:variant>
        <vt:lpwstr>_Stakeholder_engagement</vt:lpwstr>
      </vt:variant>
      <vt:variant>
        <vt:i4>4391005</vt:i4>
      </vt:variant>
      <vt:variant>
        <vt:i4>1994</vt:i4>
      </vt:variant>
      <vt:variant>
        <vt:i4>0</vt:i4>
      </vt:variant>
      <vt:variant>
        <vt:i4>5</vt:i4>
      </vt:variant>
      <vt:variant>
        <vt:lpwstr>https://communications.dpc.nsw.gov.au/assets/dpc-nsw-gov-au/files/Communications-and-Engagement/bd1cfa8d64/preparing-for-effectiveengagement-a-guide-to-developing-eng-1.pdf</vt:lpwstr>
      </vt:variant>
      <vt:variant>
        <vt:lpwstr/>
      </vt:variant>
      <vt:variant>
        <vt:i4>3670068</vt:i4>
      </vt:variant>
      <vt:variant>
        <vt:i4>1991</vt:i4>
      </vt:variant>
      <vt:variant>
        <vt:i4>0</vt:i4>
      </vt:variant>
      <vt:variant>
        <vt:i4>5</vt:i4>
      </vt:variant>
      <vt:variant>
        <vt:lpwstr>https://www.pmc.gov.au/sites/default/files/publications/data-sharing-principles-best-practice-guide-15-mar-2019.pdf</vt:lpwstr>
      </vt:variant>
      <vt:variant>
        <vt:lpwstr/>
      </vt:variant>
      <vt:variant>
        <vt:i4>1769473</vt:i4>
      </vt:variant>
      <vt:variant>
        <vt:i4>1988</vt:i4>
      </vt:variant>
      <vt:variant>
        <vt:i4>0</vt:i4>
      </vt:variant>
      <vt:variant>
        <vt:i4>5</vt:i4>
      </vt:variant>
      <vt:variant>
        <vt:lpwstr>https://www.telstra.com.au/content/dam/tcom/business-enterprise/machine-to-machine/pdf/telstra-m2m-certified-devices-modules.pdf</vt:lpwstr>
      </vt:variant>
      <vt:variant>
        <vt:lpwstr/>
      </vt:variant>
      <vt:variant>
        <vt:i4>5177411</vt:i4>
      </vt:variant>
      <vt:variant>
        <vt:i4>1985</vt:i4>
      </vt:variant>
      <vt:variant>
        <vt:i4>0</vt:i4>
      </vt:variant>
      <vt:variant>
        <vt:i4>5</vt:i4>
      </vt:variant>
      <vt:variant>
        <vt:lpwstr>https://www.telstra.com.au/business-enterprise/solutions/internet-of-things/iot-coverage</vt:lpwstr>
      </vt:variant>
      <vt:variant>
        <vt:lpwstr/>
      </vt:variant>
      <vt:variant>
        <vt:i4>2228279</vt:i4>
      </vt:variant>
      <vt:variant>
        <vt:i4>1982</vt:i4>
      </vt:variant>
      <vt:variant>
        <vt:i4>0</vt:i4>
      </vt:variant>
      <vt:variant>
        <vt:i4>5</vt:i4>
      </vt:variant>
      <vt:variant>
        <vt:lpwstr>https://www.acma.gov.au/Citizen/Internet/Internet-services/Wireless-local-area-networks/wireless-lans-licensing-requirements-i-acma</vt:lpwstr>
      </vt:variant>
      <vt:variant>
        <vt:lpwstr/>
      </vt:variant>
      <vt:variant>
        <vt:i4>6225984</vt:i4>
      </vt:variant>
      <vt:variant>
        <vt:i4>1979</vt:i4>
      </vt:variant>
      <vt:variant>
        <vt:i4>0</vt:i4>
      </vt:variant>
      <vt:variant>
        <vt:i4>5</vt:i4>
      </vt:variant>
      <vt:variant>
        <vt:lpwstr>https://www.nnnco.com.au/</vt:lpwstr>
      </vt:variant>
      <vt:variant>
        <vt:lpwstr/>
      </vt:variant>
      <vt:variant>
        <vt:i4>4718613</vt:i4>
      </vt:variant>
      <vt:variant>
        <vt:i4>1976</vt:i4>
      </vt:variant>
      <vt:variant>
        <vt:i4>0</vt:i4>
      </vt:variant>
      <vt:variant>
        <vt:i4>5</vt:i4>
      </vt:variant>
      <vt:variant>
        <vt:lpwstr>http://www.lora-alliance.org/what-is-lora</vt:lpwstr>
      </vt:variant>
      <vt:variant>
        <vt:lpwstr/>
      </vt:variant>
      <vt:variant>
        <vt:i4>5570582</vt:i4>
      </vt:variant>
      <vt:variant>
        <vt:i4>1973</vt:i4>
      </vt:variant>
      <vt:variant>
        <vt:i4>0</vt:i4>
      </vt:variant>
      <vt:variant>
        <vt:i4>5</vt:i4>
      </vt:variant>
      <vt:variant>
        <vt:lpwstr>https://www.thinxtra.com/</vt:lpwstr>
      </vt:variant>
      <vt:variant>
        <vt:lpwstr/>
      </vt:variant>
      <vt:variant>
        <vt:i4>2687035</vt:i4>
      </vt:variant>
      <vt:variant>
        <vt:i4>1970</vt:i4>
      </vt:variant>
      <vt:variant>
        <vt:i4>0</vt:i4>
      </vt:variant>
      <vt:variant>
        <vt:i4>5</vt:i4>
      </vt:variant>
      <vt:variant>
        <vt:lpwstr>http://www.sigfox.com/en/sigfox-iot-technology-overview</vt:lpwstr>
      </vt:variant>
      <vt:variant>
        <vt:lpwstr/>
      </vt:variant>
      <vt:variant>
        <vt:i4>3801186</vt:i4>
      </vt:variant>
      <vt:variant>
        <vt:i4>1967</vt:i4>
      </vt:variant>
      <vt:variant>
        <vt:i4>0</vt:i4>
      </vt:variant>
      <vt:variant>
        <vt:i4>5</vt:i4>
      </vt:variant>
      <vt:variant>
        <vt:lpwstr>https://www.thethingsnetwork.org/country/australia/</vt:lpwstr>
      </vt:variant>
      <vt:variant>
        <vt:lpwstr/>
      </vt:variant>
      <vt:variant>
        <vt:i4>4653073</vt:i4>
      </vt:variant>
      <vt:variant>
        <vt:i4>1964</vt:i4>
      </vt:variant>
      <vt:variant>
        <vt:i4>0</vt:i4>
      </vt:variant>
      <vt:variant>
        <vt:i4>5</vt:i4>
      </vt:variant>
      <vt:variant>
        <vt:lpwstr>https://www.ipc.nsw.gov.au/information-access/information-access-resources-public-sector-agencies/fact-sheets-guidelines-and-other-resources</vt:lpwstr>
      </vt:variant>
      <vt:variant>
        <vt:lpwstr/>
      </vt:variant>
      <vt:variant>
        <vt:i4>131075</vt:i4>
      </vt:variant>
      <vt:variant>
        <vt:i4>1961</vt:i4>
      </vt:variant>
      <vt:variant>
        <vt:i4>0</vt:i4>
      </vt:variant>
      <vt:variant>
        <vt:i4>5</vt:i4>
      </vt:variant>
      <vt:variant>
        <vt:lpwstr>https://www.records.nsw.gov.au/recordkeeping</vt:lpwstr>
      </vt:variant>
      <vt:variant>
        <vt:lpwstr/>
      </vt:variant>
      <vt:variant>
        <vt:i4>3407924</vt:i4>
      </vt:variant>
      <vt:variant>
        <vt:i4>1958</vt:i4>
      </vt:variant>
      <vt:variant>
        <vt:i4>0</vt:i4>
      </vt:variant>
      <vt:variant>
        <vt:i4>5</vt:i4>
      </vt:variant>
      <vt:variant>
        <vt:lpwstr>https://www.legislation.nsw.gov.au/</vt:lpwstr>
      </vt:variant>
      <vt:variant>
        <vt:lpwstr>/view/act/1998/17</vt:lpwstr>
      </vt:variant>
      <vt:variant>
        <vt:i4>6881346</vt:i4>
      </vt:variant>
      <vt:variant>
        <vt:i4>1955</vt:i4>
      </vt:variant>
      <vt:variant>
        <vt:i4>0</vt:i4>
      </vt:variant>
      <vt:variant>
        <vt:i4>5</vt:i4>
      </vt:variant>
      <vt:variant>
        <vt:lpwstr>https://www.treasury.nsw.gov.au/sites/default/files/pdf/TPP15-03_Internal_Audit_and_Risk_Management_Policy_for_the_NSW_Public_Sector.pdf</vt:lpwstr>
      </vt:variant>
      <vt:variant>
        <vt:lpwstr/>
      </vt:variant>
      <vt:variant>
        <vt:i4>7012443</vt:i4>
      </vt:variant>
      <vt:variant>
        <vt:i4>1952</vt:i4>
      </vt:variant>
      <vt:variant>
        <vt:i4>0</vt:i4>
      </vt:variant>
      <vt:variant>
        <vt:i4>5</vt:i4>
      </vt:variant>
      <vt:variant>
        <vt:lpwstr/>
      </vt:variant>
      <vt:variant>
        <vt:lpwstr>_Assurance</vt:lpwstr>
      </vt:variant>
      <vt:variant>
        <vt:i4>6946893</vt:i4>
      </vt:variant>
      <vt:variant>
        <vt:i4>1949</vt:i4>
      </vt:variant>
      <vt:variant>
        <vt:i4>0</vt:i4>
      </vt:variant>
      <vt:variant>
        <vt:i4>5</vt:i4>
      </vt:variant>
      <vt:variant>
        <vt:lpwstr/>
      </vt:variant>
      <vt:variant>
        <vt:lpwstr>_Evaluation</vt:lpwstr>
      </vt:variant>
      <vt:variant>
        <vt:i4>7602214</vt:i4>
      </vt:variant>
      <vt:variant>
        <vt:i4>1946</vt:i4>
      </vt:variant>
      <vt:variant>
        <vt:i4>0</vt:i4>
      </vt:variant>
      <vt:variant>
        <vt:i4>5</vt:i4>
      </vt:variant>
      <vt:variant>
        <vt:lpwstr>https://www.dpc.nsw.gov.au/tools-and-resources/evaluation-toolkit/</vt:lpwstr>
      </vt:variant>
      <vt:variant>
        <vt:lpwstr/>
      </vt:variant>
      <vt:variant>
        <vt:i4>3538958</vt:i4>
      </vt:variant>
      <vt:variant>
        <vt:i4>1943</vt:i4>
      </vt:variant>
      <vt:variant>
        <vt:i4>0</vt:i4>
      </vt:variant>
      <vt:variant>
        <vt:i4>5</vt:i4>
      </vt:variant>
      <vt:variant>
        <vt:lpwstr>https://arp.nsw.gov.au/sites/default/files/NSW Government Program Evaluation Guideline January 2016_1.pdf</vt:lpwstr>
      </vt:variant>
      <vt:variant>
        <vt:lpwstr/>
      </vt:variant>
      <vt:variant>
        <vt:i4>1376282</vt:i4>
      </vt:variant>
      <vt:variant>
        <vt:i4>1940</vt:i4>
      </vt:variant>
      <vt:variant>
        <vt:i4>0</vt:i4>
      </vt:variant>
      <vt:variant>
        <vt:i4>5</vt:i4>
      </vt:variant>
      <vt:variant>
        <vt:lpwstr>https://arp.nsw.gov.au/tc18-03-program-evaluation</vt:lpwstr>
      </vt:variant>
      <vt:variant>
        <vt:lpwstr/>
      </vt:variant>
      <vt:variant>
        <vt:i4>4063252</vt:i4>
      </vt:variant>
      <vt:variant>
        <vt:i4>1937</vt:i4>
      </vt:variant>
      <vt:variant>
        <vt:i4>0</vt:i4>
      </vt:variant>
      <vt:variant>
        <vt:i4>5</vt:i4>
      </vt:variant>
      <vt:variant>
        <vt:lpwstr>mailto:evaluation@treasury.nsw.gov.au</vt:lpwstr>
      </vt:variant>
      <vt:variant>
        <vt:lpwstr/>
      </vt:variant>
      <vt:variant>
        <vt:i4>5898243</vt:i4>
      </vt:variant>
      <vt:variant>
        <vt:i4>1934</vt:i4>
      </vt:variant>
      <vt:variant>
        <vt:i4>0</vt:i4>
      </vt:variant>
      <vt:variant>
        <vt:i4>5</vt:i4>
      </vt:variant>
      <vt:variant>
        <vt:lpwstr>https://www.dpc.nsw.gov.au/tools-and-resources/evaluation-toolkit/how-to-use-the-evaluation-toolkit/</vt:lpwstr>
      </vt:variant>
      <vt:variant>
        <vt:lpwstr/>
      </vt:variant>
      <vt:variant>
        <vt:i4>3538958</vt:i4>
      </vt:variant>
      <vt:variant>
        <vt:i4>1931</vt:i4>
      </vt:variant>
      <vt:variant>
        <vt:i4>0</vt:i4>
      </vt:variant>
      <vt:variant>
        <vt:i4>5</vt:i4>
      </vt:variant>
      <vt:variant>
        <vt:lpwstr>https://arp.nsw.gov.au/sites/default/files/NSW Government Program Evaluation Guideline January 2016_1.pdf</vt:lpwstr>
      </vt:variant>
      <vt:variant>
        <vt:lpwstr/>
      </vt:variant>
      <vt:variant>
        <vt:i4>1376282</vt:i4>
      </vt:variant>
      <vt:variant>
        <vt:i4>1928</vt:i4>
      </vt:variant>
      <vt:variant>
        <vt:i4>0</vt:i4>
      </vt:variant>
      <vt:variant>
        <vt:i4>5</vt:i4>
      </vt:variant>
      <vt:variant>
        <vt:lpwstr>https://arp.nsw.gov.au/tc18-03-program-evaluation</vt:lpwstr>
      </vt:variant>
      <vt:variant>
        <vt:lpwstr/>
      </vt:variant>
      <vt:variant>
        <vt:i4>7733362</vt:i4>
      </vt:variant>
      <vt:variant>
        <vt:i4>1925</vt:i4>
      </vt:variant>
      <vt:variant>
        <vt:i4>0</vt:i4>
      </vt:variant>
      <vt:variant>
        <vt:i4>5</vt:i4>
      </vt:variant>
      <vt:variant>
        <vt:lpwstr>https://www.treasury.nsw.gov.au/projects-initiatives/centre-program-evaluation</vt:lpwstr>
      </vt:variant>
      <vt:variant>
        <vt:lpwstr/>
      </vt:variant>
      <vt:variant>
        <vt:i4>2228327</vt:i4>
      </vt:variant>
      <vt:variant>
        <vt:i4>1922</vt:i4>
      </vt:variant>
      <vt:variant>
        <vt:i4>0</vt:i4>
      </vt:variant>
      <vt:variant>
        <vt:i4>5</vt:i4>
      </vt:variant>
      <vt:variant>
        <vt:lpwstr>https://www.dpc.nsw.gov.au/tools-and-resources/evaluation-toolkit/evaluation-in-the-nsw-government/</vt:lpwstr>
      </vt:variant>
      <vt:variant>
        <vt:lpwstr/>
      </vt:variant>
      <vt:variant>
        <vt:i4>3538958</vt:i4>
      </vt:variant>
      <vt:variant>
        <vt:i4>1919</vt:i4>
      </vt:variant>
      <vt:variant>
        <vt:i4>0</vt:i4>
      </vt:variant>
      <vt:variant>
        <vt:i4>5</vt:i4>
      </vt:variant>
      <vt:variant>
        <vt:lpwstr>https://arp.nsw.gov.au/sites/default/files/NSW Government Program Evaluation Guideline January 2016_1.pdf</vt:lpwstr>
      </vt:variant>
      <vt:variant>
        <vt:lpwstr/>
      </vt:variant>
      <vt:variant>
        <vt:i4>7602214</vt:i4>
      </vt:variant>
      <vt:variant>
        <vt:i4>1916</vt:i4>
      </vt:variant>
      <vt:variant>
        <vt:i4>0</vt:i4>
      </vt:variant>
      <vt:variant>
        <vt:i4>5</vt:i4>
      </vt:variant>
      <vt:variant>
        <vt:lpwstr>https://www.dpc.nsw.gov.au/tools-and-resources/evaluation-toolkit/</vt:lpwstr>
      </vt:variant>
      <vt:variant>
        <vt:lpwstr/>
      </vt:variant>
      <vt:variant>
        <vt:i4>7733362</vt:i4>
      </vt:variant>
      <vt:variant>
        <vt:i4>1913</vt:i4>
      </vt:variant>
      <vt:variant>
        <vt:i4>0</vt:i4>
      </vt:variant>
      <vt:variant>
        <vt:i4>5</vt:i4>
      </vt:variant>
      <vt:variant>
        <vt:lpwstr>https://www.treasury.nsw.gov.au/projects-initiatives/centre-program-evaluation</vt:lpwstr>
      </vt:variant>
      <vt:variant>
        <vt:lpwstr/>
      </vt:variant>
      <vt:variant>
        <vt:i4>589898</vt:i4>
      </vt:variant>
      <vt:variant>
        <vt:i4>1910</vt:i4>
      </vt:variant>
      <vt:variant>
        <vt:i4>0</vt:i4>
      </vt:variant>
      <vt:variant>
        <vt:i4>5</vt:i4>
      </vt:variant>
      <vt:variant>
        <vt:lpwstr/>
      </vt:variant>
      <vt:variant>
        <vt:lpwstr>_Cost-benefit_analysis</vt:lpwstr>
      </vt:variant>
      <vt:variant>
        <vt:i4>6357049</vt:i4>
      </vt:variant>
      <vt:variant>
        <vt:i4>1907</vt:i4>
      </vt:variant>
      <vt:variant>
        <vt:i4>0</vt:i4>
      </vt:variant>
      <vt:variant>
        <vt:i4>5</vt:i4>
      </vt:variant>
      <vt:variant>
        <vt:lpwstr>https://www.records.nsw.gov.au/</vt:lpwstr>
      </vt:variant>
      <vt:variant>
        <vt:lpwstr/>
      </vt:variant>
      <vt:variant>
        <vt:i4>3211326</vt:i4>
      </vt:variant>
      <vt:variant>
        <vt:i4>1903</vt:i4>
      </vt:variant>
      <vt:variant>
        <vt:i4>0</vt:i4>
      </vt:variant>
      <vt:variant>
        <vt:i4>5</vt:i4>
      </vt:variant>
      <vt:variant>
        <vt:lpwstr>https://www.legislation.nsw.gov.au/</vt:lpwstr>
      </vt:variant>
      <vt:variant>
        <vt:lpwstr>/view/act/2002/71</vt:lpwstr>
      </vt:variant>
      <vt:variant>
        <vt:i4>4522075</vt:i4>
      </vt:variant>
      <vt:variant>
        <vt:i4>1901</vt:i4>
      </vt:variant>
      <vt:variant>
        <vt:i4>0</vt:i4>
      </vt:variant>
      <vt:variant>
        <vt:i4>5</vt:i4>
      </vt:variant>
      <vt:variant>
        <vt:lpwstr>https://www.legislation.nsw.gov.au/view/html/inforce/current/act-2002-071</vt:lpwstr>
      </vt:variant>
      <vt:variant>
        <vt:lpwstr/>
      </vt:variant>
      <vt:variant>
        <vt:i4>458759</vt:i4>
      </vt:variant>
      <vt:variant>
        <vt:i4>1897</vt:i4>
      </vt:variant>
      <vt:variant>
        <vt:i4>0</vt:i4>
      </vt:variant>
      <vt:variant>
        <vt:i4>5</vt:i4>
      </vt:variant>
      <vt:variant>
        <vt:lpwstr>https://www.legislation.nsw.gov.au/</vt:lpwstr>
      </vt:variant>
      <vt:variant>
        <vt:lpwstr>/view/act/1998/133</vt:lpwstr>
      </vt:variant>
      <vt:variant>
        <vt:i4>4915289</vt:i4>
      </vt:variant>
      <vt:variant>
        <vt:i4>1895</vt:i4>
      </vt:variant>
      <vt:variant>
        <vt:i4>0</vt:i4>
      </vt:variant>
      <vt:variant>
        <vt:i4>5</vt:i4>
      </vt:variant>
      <vt:variant>
        <vt:lpwstr>https://www.legislation.nsw.gov.au/view/html/inforce/current/act-1998-133</vt:lpwstr>
      </vt:variant>
      <vt:variant>
        <vt:lpwstr/>
      </vt:variant>
      <vt:variant>
        <vt:i4>3407924</vt:i4>
      </vt:variant>
      <vt:variant>
        <vt:i4>1891</vt:i4>
      </vt:variant>
      <vt:variant>
        <vt:i4>0</vt:i4>
      </vt:variant>
      <vt:variant>
        <vt:i4>5</vt:i4>
      </vt:variant>
      <vt:variant>
        <vt:lpwstr>https://www.legislation.nsw.gov.au/</vt:lpwstr>
      </vt:variant>
      <vt:variant>
        <vt:lpwstr>/view/act/1998/17</vt:lpwstr>
      </vt:variant>
      <vt:variant>
        <vt:i4>4784216</vt:i4>
      </vt:variant>
      <vt:variant>
        <vt:i4>1889</vt:i4>
      </vt:variant>
      <vt:variant>
        <vt:i4>0</vt:i4>
      </vt:variant>
      <vt:variant>
        <vt:i4>5</vt:i4>
      </vt:variant>
      <vt:variant>
        <vt:lpwstr>https://www.legislation.nsw.gov.au/view/html/inforce/current/act-1998-017</vt:lpwstr>
      </vt:variant>
      <vt:variant>
        <vt:lpwstr/>
      </vt:variant>
      <vt:variant>
        <vt:i4>5505050</vt:i4>
      </vt:variant>
      <vt:variant>
        <vt:i4>1886</vt:i4>
      </vt:variant>
      <vt:variant>
        <vt:i4>0</vt:i4>
      </vt:variant>
      <vt:variant>
        <vt:i4>5</vt:i4>
      </vt:variant>
      <vt:variant>
        <vt:lpwstr/>
      </vt:variant>
      <vt:variant>
        <vt:lpwstr>_Data_needs_assessment_1</vt:lpwstr>
      </vt:variant>
      <vt:variant>
        <vt:i4>4587647</vt:i4>
      </vt:variant>
      <vt:variant>
        <vt:i4>1883</vt:i4>
      </vt:variant>
      <vt:variant>
        <vt:i4>0</vt:i4>
      </vt:variant>
      <vt:variant>
        <vt:i4>5</vt:i4>
      </vt:variant>
      <vt:variant>
        <vt:lpwstr/>
      </vt:variant>
      <vt:variant>
        <vt:lpwstr>_Disposal_of_assets</vt:lpwstr>
      </vt:variant>
      <vt:variant>
        <vt:i4>5177362</vt:i4>
      </vt:variant>
      <vt:variant>
        <vt:i4>1880</vt:i4>
      </vt:variant>
      <vt:variant>
        <vt:i4>0</vt:i4>
      </vt:variant>
      <vt:variant>
        <vt:i4>5</vt:i4>
      </vt:variant>
      <vt:variant>
        <vt:lpwstr>https://www.standards.org.au/standards-catalogue/sa-snz/publicsafety/mb-019/as--iso--55000-colon-2014</vt:lpwstr>
      </vt:variant>
      <vt:variant>
        <vt:lpwstr/>
      </vt:variant>
      <vt:variant>
        <vt:i4>1638428</vt:i4>
      </vt:variant>
      <vt:variant>
        <vt:i4>1877</vt:i4>
      </vt:variant>
      <vt:variant>
        <vt:i4>0</vt:i4>
      </vt:variant>
      <vt:variant>
        <vt:i4>5</vt:i4>
      </vt:variant>
      <vt:variant>
        <vt:lpwstr>https://www.treasury.nsw.gov.au/finance-resource/asset-management-policy</vt:lpwstr>
      </vt:variant>
      <vt:variant>
        <vt:lpwstr/>
      </vt:variant>
      <vt:variant>
        <vt:i4>4063352</vt:i4>
      </vt:variant>
      <vt:variant>
        <vt:i4>1874</vt:i4>
      </vt:variant>
      <vt:variant>
        <vt:i4>0</vt:i4>
      </vt:variant>
      <vt:variant>
        <vt:i4>5</vt:i4>
      </vt:variant>
      <vt:variant>
        <vt:lpwstr>https://nswgov.sharepoint.com/sites/DFSIIDPP/Shared Documents/Internet of Things project/Template MoU for Info Sharing.docx</vt:lpwstr>
      </vt:variant>
      <vt:variant>
        <vt:lpwstr/>
      </vt:variant>
      <vt:variant>
        <vt:i4>1441843</vt:i4>
      </vt:variant>
      <vt:variant>
        <vt:i4>1871</vt:i4>
      </vt:variant>
      <vt:variant>
        <vt:i4>0</vt:i4>
      </vt:variant>
      <vt:variant>
        <vt:i4>5</vt:i4>
      </vt:variant>
      <vt:variant>
        <vt:lpwstr/>
      </vt:variant>
      <vt:variant>
        <vt:lpwstr>_Appendix_E_–</vt:lpwstr>
      </vt:variant>
      <vt:variant>
        <vt:i4>3145831</vt:i4>
      </vt:variant>
      <vt:variant>
        <vt:i4>1868</vt:i4>
      </vt:variant>
      <vt:variant>
        <vt:i4>0</vt:i4>
      </vt:variant>
      <vt:variant>
        <vt:i4>5</vt:i4>
      </vt:variant>
      <vt:variant>
        <vt:lpwstr/>
      </vt:variant>
      <vt:variant>
        <vt:lpwstr>_Privacy_1</vt:lpwstr>
      </vt:variant>
      <vt:variant>
        <vt:i4>917578</vt:i4>
      </vt:variant>
      <vt:variant>
        <vt:i4>1865</vt:i4>
      </vt:variant>
      <vt:variant>
        <vt:i4>0</vt:i4>
      </vt:variant>
      <vt:variant>
        <vt:i4>5</vt:i4>
      </vt:variant>
      <vt:variant>
        <vt:lpwstr>https://www.digital.nsw.gov.au/data-quality-tool/identify</vt:lpwstr>
      </vt:variant>
      <vt:variant>
        <vt:lpwstr/>
      </vt:variant>
      <vt:variant>
        <vt:i4>4653066</vt:i4>
      </vt:variant>
      <vt:variant>
        <vt:i4>1862</vt:i4>
      </vt:variant>
      <vt:variant>
        <vt:i4>0</vt:i4>
      </vt:variant>
      <vt:variant>
        <vt:i4>5</vt:i4>
      </vt:variant>
      <vt:variant>
        <vt:lpwstr>https://www.digital.nsw.gov.au/policy/data-information/making-data-open/nsw-open-data-policy</vt:lpwstr>
      </vt:variant>
      <vt:variant>
        <vt:lpwstr/>
      </vt:variant>
      <vt:variant>
        <vt:i4>7274574</vt:i4>
      </vt:variant>
      <vt:variant>
        <vt:i4>1859</vt:i4>
      </vt:variant>
      <vt:variant>
        <vt:i4>0</vt:i4>
      </vt:variant>
      <vt:variant>
        <vt:i4>5</vt:i4>
      </vt:variant>
      <vt:variant>
        <vt:lpwstr/>
      </vt:variant>
      <vt:variant>
        <vt:lpwstr>_The_privacy_regulatory</vt:lpwstr>
      </vt:variant>
      <vt:variant>
        <vt:i4>458759</vt:i4>
      </vt:variant>
      <vt:variant>
        <vt:i4>1856</vt:i4>
      </vt:variant>
      <vt:variant>
        <vt:i4>0</vt:i4>
      </vt:variant>
      <vt:variant>
        <vt:i4>5</vt:i4>
      </vt:variant>
      <vt:variant>
        <vt:lpwstr>https://www.legislation.nsw.gov.au/</vt:lpwstr>
      </vt:variant>
      <vt:variant>
        <vt:lpwstr>/view/act/1998/133</vt:lpwstr>
      </vt:variant>
      <vt:variant>
        <vt:i4>8323107</vt:i4>
      </vt:variant>
      <vt:variant>
        <vt:i4>1853</vt:i4>
      </vt:variant>
      <vt:variant>
        <vt:i4>0</vt:i4>
      </vt:variant>
      <vt:variant>
        <vt:i4>5</vt:i4>
      </vt:variant>
      <vt:variant>
        <vt:lpwstr>https://www.ipc.nsw.gov.au/</vt:lpwstr>
      </vt:variant>
      <vt:variant>
        <vt:lpwstr/>
      </vt:variant>
      <vt:variant>
        <vt:i4>5898262</vt:i4>
      </vt:variant>
      <vt:variant>
        <vt:i4>1850</vt:i4>
      </vt:variant>
      <vt:variant>
        <vt:i4>0</vt:i4>
      </vt:variant>
      <vt:variant>
        <vt:i4>5</vt:i4>
      </vt:variant>
      <vt:variant>
        <vt:lpwstr>https://data.nsw.gov.au/developing-business-case-data-sharing</vt:lpwstr>
      </vt:variant>
      <vt:variant>
        <vt:lpwstr/>
      </vt:variant>
      <vt:variant>
        <vt:i4>6619207</vt:i4>
      </vt:variant>
      <vt:variant>
        <vt:i4>1847</vt:i4>
      </vt:variant>
      <vt:variant>
        <vt:i4>0</vt:i4>
      </vt:variant>
      <vt:variant>
        <vt:i4>5</vt:i4>
      </vt:variant>
      <vt:variant>
        <vt:lpwstr/>
      </vt:variant>
      <vt:variant>
        <vt:lpwstr>_Useful_International_Standards</vt:lpwstr>
      </vt:variant>
      <vt:variant>
        <vt:i4>3604543</vt:i4>
      </vt:variant>
      <vt:variant>
        <vt:i4>1844</vt:i4>
      </vt:variant>
      <vt:variant>
        <vt:i4>0</vt:i4>
      </vt:variant>
      <vt:variant>
        <vt:i4>5</vt:i4>
      </vt:variant>
      <vt:variant>
        <vt:lpwstr>https://www.legislation.nsw.gov.au/</vt:lpwstr>
      </vt:variant>
      <vt:variant>
        <vt:lpwstr>/view/act/2015/60</vt:lpwstr>
      </vt:variant>
      <vt:variant>
        <vt:i4>7733333</vt:i4>
      </vt:variant>
      <vt:variant>
        <vt:i4>1841</vt:i4>
      </vt:variant>
      <vt:variant>
        <vt:i4>0</vt:i4>
      </vt:variant>
      <vt:variant>
        <vt:i4>5</vt:i4>
      </vt:variant>
      <vt:variant>
        <vt:lpwstr/>
      </vt:variant>
      <vt:variant>
        <vt:lpwstr>_Data_ownership_and</vt:lpwstr>
      </vt:variant>
      <vt:variant>
        <vt:i4>5570579</vt:i4>
      </vt:variant>
      <vt:variant>
        <vt:i4>1838</vt:i4>
      </vt:variant>
      <vt:variant>
        <vt:i4>0</vt:i4>
      </vt:variant>
      <vt:variant>
        <vt:i4>5</vt:i4>
      </vt:variant>
      <vt:variant>
        <vt:lpwstr>https://data.nsw.gov.au/idmf</vt:lpwstr>
      </vt:variant>
      <vt:variant>
        <vt:lpwstr/>
      </vt:variant>
      <vt:variant>
        <vt:i4>1900614</vt:i4>
      </vt:variant>
      <vt:variant>
        <vt:i4>1835</vt:i4>
      </vt:variant>
      <vt:variant>
        <vt:i4>0</vt:i4>
      </vt:variant>
      <vt:variant>
        <vt:i4>5</vt:i4>
      </vt:variant>
      <vt:variant>
        <vt:lpwstr>https://www.digital.nsw.gov.au/policy/smart-infrastructure-policy</vt:lpwstr>
      </vt:variant>
      <vt:variant>
        <vt:lpwstr/>
      </vt:variant>
      <vt:variant>
        <vt:i4>2162746</vt:i4>
      </vt:variant>
      <vt:variant>
        <vt:i4>1832</vt:i4>
      </vt:variant>
      <vt:variant>
        <vt:i4>0</vt:i4>
      </vt:variant>
      <vt:variant>
        <vt:i4>5</vt:i4>
      </vt:variant>
      <vt:variant>
        <vt:lpwstr/>
      </vt:variant>
      <vt:variant>
        <vt:lpwstr>_Data_validation</vt:lpwstr>
      </vt:variant>
      <vt:variant>
        <vt:i4>7143506</vt:i4>
      </vt:variant>
      <vt:variant>
        <vt:i4>1829</vt:i4>
      </vt:variant>
      <vt:variant>
        <vt:i4>0</vt:i4>
      </vt:variant>
      <vt:variant>
        <vt:i4>5</vt:i4>
      </vt:variant>
      <vt:variant>
        <vt:lpwstr/>
      </vt:variant>
      <vt:variant>
        <vt:lpwstr>_Privacy_obligations_around</vt:lpwstr>
      </vt:variant>
      <vt:variant>
        <vt:i4>1638433</vt:i4>
      </vt:variant>
      <vt:variant>
        <vt:i4>1826</vt:i4>
      </vt:variant>
      <vt:variant>
        <vt:i4>0</vt:i4>
      </vt:variant>
      <vt:variant>
        <vt:i4>5</vt:i4>
      </vt:variant>
      <vt:variant>
        <vt:lpwstr/>
      </vt:variant>
      <vt:variant>
        <vt:lpwstr>_Design_and_configuration</vt:lpwstr>
      </vt:variant>
      <vt:variant>
        <vt:i4>2686986</vt:i4>
      </vt:variant>
      <vt:variant>
        <vt:i4>1823</vt:i4>
      </vt:variant>
      <vt:variant>
        <vt:i4>0</vt:i4>
      </vt:variant>
      <vt:variant>
        <vt:i4>5</vt:i4>
      </vt:variant>
      <vt:variant>
        <vt:lpwstr/>
      </vt:variant>
      <vt:variant>
        <vt:lpwstr>_Specifying_data_requirements</vt:lpwstr>
      </vt:variant>
      <vt:variant>
        <vt:i4>2031666</vt:i4>
      </vt:variant>
      <vt:variant>
        <vt:i4>1820</vt:i4>
      </vt:variant>
      <vt:variant>
        <vt:i4>0</vt:i4>
      </vt:variant>
      <vt:variant>
        <vt:i4>5</vt:i4>
      </vt:variant>
      <vt:variant>
        <vt:lpwstr/>
      </vt:variant>
      <vt:variant>
        <vt:lpwstr>_Toc14686337</vt:lpwstr>
      </vt:variant>
      <vt:variant>
        <vt:i4>6815857</vt:i4>
      </vt:variant>
      <vt:variant>
        <vt:i4>1817</vt:i4>
      </vt:variant>
      <vt:variant>
        <vt:i4>0</vt:i4>
      </vt:variant>
      <vt:variant>
        <vt:i4>5</vt:i4>
      </vt:variant>
      <vt:variant>
        <vt:lpwstr/>
      </vt:variant>
      <vt:variant>
        <vt:lpwstr>_Stakeholder_engagement</vt:lpwstr>
      </vt:variant>
      <vt:variant>
        <vt:i4>7143521</vt:i4>
      </vt:variant>
      <vt:variant>
        <vt:i4>1814</vt:i4>
      </vt:variant>
      <vt:variant>
        <vt:i4>0</vt:i4>
      </vt:variant>
      <vt:variant>
        <vt:i4>5</vt:i4>
      </vt:variant>
      <vt:variant>
        <vt:lpwstr>http://spatialservices.finance.nsw.gov.au/__data/assets/pdf_file/0005/219281/NSW_Standard_for_Spatially_Enabling_Information.pdf</vt:lpwstr>
      </vt:variant>
      <vt:variant>
        <vt:lpwstr/>
      </vt:variant>
      <vt:variant>
        <vt:i4>7798902</vt:i4>
      </vt:variant>
      <vt:variant>
        <vt:i4>1811</vt:i4>
      </vt:variant>
      <vt:variant>
        <vt:i4>0</vt:i4>
      </vt:variant>
      <vt:variant>
        <vt:i4>5</vt:i4>
      </vt:variant>
      <vt:variant>
        <vt:lpwstr>https://www.spatial.nsw.gov.au/__data/assets/pdf_file/0017/224432/NSW_GDA2020_AGRS_Policy.pdf</vt:lpwstr>
      </vt:variant>
      <vt:variant>
        <vt:lpwstr/>
      </vt:variant>
      <vt:variant>
        <vt:i4>852039</vt:i4>
      </vt:variant>
      <vt:variant>
        <vt:i4>1808</vt:i4>
      </vt:variant>
      <vt:variant>
        <vt:i4>0</vt:i4>
      </vt:variant>
      <vt:variant>
        <vt:i4>5</vt:i4>
      </vt:variant>
      <vt:variant>
        <vt:lpwstr>https://www.earthdatascience.org/courses/earth-analytics/spatial-data-r/understand-epsg-wkt-and-other-crs-definition-file-types/</vt:lpwstr>
      </vt:variant>
      <vt:variant>
        <vt:lpwstr/>
      </vt:variant>
      <vt:variant>
        <vt:i4>4718672</vt:i4>
      </vt:variant>
      <vt:variant>
        <vt:i4>1805</vt:i4>
      </vt:variant>
      <vt:variant>
        <vt:i4>0</vt:i4>
      </vt:variant>
      <vt:variant>
        <vt:i4>5</vt:i4>
      </vt:variant>
      <vt:variant>
        <vt:lpwstr>https://www.opengeospatial.org/standards/wkt-crs</vt:lpwstr>
      </vt:variant>
      <vt:variant>
        <vt:lpwstr/>
      </vt:variant>
      <vt:variant>
        <vt:i4>3670130</vt:i4>
      </vt:variant>
      <vt:variant>
        <vt:i4>1802</vt:i4>
      </vt:variant>
      <vt:variant>
        <vt:i4>0</vt:i4>
      </vt:variant>
      <vt:variant>
        <vt:i4>5</vt:i4>
      </vt:variant>
      <vt:variant>
        <vt:lpwstr>https://www.epsg-registry.org/</vt:lpwstr>
      </vt:variant>
      <vt:variant>
        <vt:lpwstr/>
      </vt:variant>
      <vt:variant>
        <vt:i4>7995491</vt:i4>
      </vt:variant>
      <vt:variant>
        <vt:i4>1799</vt:i4>
      </vt:variant>
      <vt:variant>
        <vt:i4>0</vt:i4>
      </vt:variant>
      <vt:variant>
        <vt:i4>5</vt:i4>
      </vt:variant>
      <vt:variant>
        <vt:lpwstr>https://proj4.org/</vt:lpwstr>
      </vt:variant>
      <vt:variant>
        <vt:lpwstr/>
      </vt:variant>
      <vt:variant>
        <vt:i4>5636208</vt:i4>
      </vt:variant>
      <vt:variant>
        <vt:i4>1796</vt:i4>
      </vt:variant>
      <vt:variant>
        <vt:i4>0</vt:i4>
      </vt:variant>
      <vt:variant>
        <vt:i4>5</vt:i4>
      </vt:variant>
      <vt:variant>
        <vt:lpwstr>https://www.spatial.nsw.gov.au/__data/assets/pdf_file/0009/224397/GDA2020_Update_InformationSheet.pdf</vt:lpwstr>
      </vt:variant>
      <vt:variant>
        <vt:lpwstr/>
      </vt:variant>
      <vt:variant>
        <vt:i4>7667834</vt:i4>
      </vt:variant>
      <vt:variant>
        <vt:i4>1793</vt:i4>
      </vt:variant>
      <vt:variant>
        <vt:i4>0</vt:i4>
      </vt:variant>
      <vt:variant>
        <vt:i4>5</vt:i4>
      </vt:variant>
      <vt:variant>
        <vt:lpwstr>https://www.icsm.gov.au/australian-geospatial-reference-system</vt:lpwstr>
      </vt:variant>
      <vt:variant>
        <vt:lpwstr/>
      </vt:variant>
      <vt:variant>
        <vt:i4>7602278</vt:i4>
      </vt:variant>
      <vt:variant>
        <vt:i4>1790</vt:i4>
      </vt:variant>
      <vt:variant>
        <vt:i4>0</vt:i4>
      </vt:variant>
      <vt:variant>
        <vt:i4>5</vt:i4>
      </vt:variant>
      <vt:variant>
        <vt:lpwstr>https://publicsector.sa.gov.au/culture/change-management-toolkit-2/</vt:lpwstr>
      </vt:variant>
      <vt:variant>
        <vt:lpwstr/>
      </vt:variant>
      <vt:variant>
        <vt:i4>1966194</vt:i4>
      </vt:variant>
      <vt:variant>
        <vt:i4>1787</vt:i4>
      </vt:variant>
      <vt:variant>
        <vt:i4>0</vt:i4>
      </vt:variant>
      <vt:variant>
        <vt:i4>5</vt:i4>
      </vt:variant>
      <vt:variant>
        <vt:lpwstr>https://www.lgnsw.org.au/files/imce-uploads/361/change-management-best-practice-guide-QLD_0.pdf</vt:lpwstr>
      </vt:variant>
      <vt:variant>
        <vt:lpwstr/>
      </vt:variant>
      <vt:variant>
        <vt:i4>3276805</vt:i4>
      </vt:variant>
      <vt:variant>
        <vt:i4>1784</vt:i4>
      </vt:variant>
      <vt:variant>
        <vt:i4>0</vt:i4>
      </vt:variant>
      <vt:variant>
        <vt:i4>5</vt:i4>
      </vt:variant>
      <vt:variant>
        <vt:lpwstr/>
      </vt:variant>
      <vt:variant>
        <vt:lpwstr>_Addressing_Supply_Chain</vt:lpwstr>
      </vt:variant>
      <vt:variant>
        <vt:i4>2293810</vt:i4>
      </vt:variant>
      <vt:variant>
        <vt:i4>1781</vt:i4>
      </vt:variant>
      <vt:variant>
        <vt:i4>0</vt:i4>
      </vt:variant>
      <vt:variant>
        <vt:i4>5</vt:i4>
      </vt:variant>
      <vt:variant>
        <vt:lpwstr>https://buy.nsw.gov.au/</vt:lpwstr>
      </vt:variant>
      <vt:variant>
        <vt:lpwstr/>
      </vt:variant>
      <vt:variant>
        <vt:i4>655447</vt:i4>
      </vt:variant>
      <vt:variant>
        <vt:i4>1778</vt:i4>
      </vt:variant>
      <vt:variant>
        <vt:i4>0</vt:i4>
      </vt:variant>
      <vt:variant>
        <vt:i4>5</vt:i4>
      </vt:variant>
      <vt:variant>
        <vt:lpwstr/>
      </vt:variant>
      <vt:variant>
        <vt:lpwstr>_Data_considerations_for_3</vt:lpwstr>
      </vt:variant>
      <vt:variant>
        <vt:i4>458759</vt:i4>
      </vt:variant>
      <vt:variant>
        <vt:i4>1775</vt:i4>
      </vt:variant>
      <vt:variant>
        <vt:i4>0</vt:i4>
      </vt:variant>
      <vt:variant>
        <vt:i4>5</vt:i4>
      </vt:variant>
      <vt:variant>
        <vt:lpwstr>https://www.legislation.nsw.gov.au/</vt:lpwstr>
      </vt:variant>
      <vt:variant>
        <vt:lpwstr>/view/act/1998/133</vt:lpwstr>
      </vt:variant>
      <vt:variant>
        <vt:i4>3670078</vt:i4>
      </vt:variant>
      <vt:variant>
        <vt:i4>1772</vt:i4>
      </vt:variant>
      <vt:variant>
        <vt:i4>0</vt:i4>
      </vt:variant>
      <vt:variant>
        <vt:i4>5</vt:i4>
      </vt:variant>
      <vt:variant>
        <vt:lpwstr>https://www.legislation.nsw.gov.au/</vt:lpwstr>
      </vt:variant>
      <vt:variant>
        <vt:lpwstr>/view/act/2009/52</vt:lpwstr>
      </vt:variant>
      <vt:variant>
        <vt:i4>3407924</vt:i4>
      </vt:variant>
      <vt:variant>
        <vt:i4>1769</vt:i4>
      </vt:variant>
      <vt:variant>
        <vt:i4>0</vt:i4>
      </vt:variant>
      <vt:variant>
        <vt:i4>5</vt:i4>
      </vt:variant>
      <vt:variant>
        <vt:lpwstr>https://www.legislation.nsw.gov.au/</vt:lpwstr>
      </vt:variant>
      <vt:variant>
        <vt:lpwstr>/view/act/1998/17</vt:lpwstr>
      </vt:variant>
      <vt:variant>
        <vt:i4>6029326</vt:i4>
      </vt:variant>
      <vt:variant>
        <vt:i4>1766</vt:i4>
      </vt:variant>
      <vt:variant>
        <vt:i4>0</vt:i4>
      </vt:variant>
      <vt:variant>
        <vt:i4>5</vt:i4>
      </vt:variant>
      <vt:variant>
        <vt:lpwstr>https://suppliers.buy.nsw.gov.au/browse/suppliers</vt:lpwstr>
      </vt:variant>
      <vt:variant>
        <vt:lpwstr/>
      </vt:variant>
      <vt:variant>
        <vt:i4>8257646</vt:i4>
      </vt:variant>
      <vt:variant>
        <vt:i4>1763</vt:i4>
      </vt:variant>
      <vt:variant>
        <vt:i4>0</vt:i4>
      </vt:variant>
      <vt:variant>
        <vt:i4>5</vt:i4>
      </vt:variant>
      <vt:variant>
        <vt:lpwstr>https://www.digital.nsw.gov.au/digital-design-system/components/apinsw</vt:lpwstr>
      </vt:variant>
      <vt:variant>
        <vt:lpwstr/>
      </vt:variant>
      <vt:variant>
        <vt:i4>6684745</vt:i4>
      </vt:variant>
      <vt:variant>
        <vt:i4>1760</vt:i4>
      </vt:variant>
      <vt:variant>
        <vt:i4>0</vt:i4>
      </vt:variant>
      <vt:variant>
        <vt:i4>5</vt:i4>
      </vt:variant>
      <vt:variant>
        <vt:lpwstr/>
      </vt:variant>
      <vt:variant>
        <vt:lpwstr>_APIs_and_data</vt:lpwstr>
      </vt:variant>
      <vt:variant>
        <vt:i4>3670078</vt:i4>
      </vt:variant>
      <vt:variant>
        <vt:i4>1757</vt:i4>
      </vt:variant>
      <vt:variant>
        <vt:i4>0</vt:i4>
      </vt:variant>
      <vt:variant>
        <vt:i4>5</vt:i4>
      </vt:variant>
      <vt:variant>
        <vt:lpwstr>https://www.legislation.nsw.gov.au/</vt:lpwstr>
      </vt:variant>
      <vt:variant>
        <vt:lpwstr>/view/act/2009/52</vt:lpwstr>
      </vt:variant>
      <vt:variant>
        <vt:i4>458759</vt:i4>
      </vt:variant>
      <vt:variant>
        <vt:i4>1754</vt:i4>
      </vt:variant>
      <vt:variant>
        <vt:i4>0</vt:i4>
      </vt:variant>
      <vt:variant>
        <vt:i4>5</vt:i4>
      </vt:variant>
      <vt:variant>
        <vt:lpwstr>https://www.legislation.nsw.gov.au/</vt:lpwstr>
      </vt:variant>
      <vt:variant>
        <vt:lpwstr>/view/act/1998/133</vt:lpwstr>
      </vt:variant>
      <vt:variant>
        <vt:i4>3407924</vt:i4>
      </vt:variant>
      <vt:variant>
        <vt:i4>1751</vt:i4>
      </vt:variant>
      <vt:variant>
        <vt:i4>0</vt:i4>
      </vt:variant>
      <vt:variant>
        <vt:i4>5</vt:i4>
      </vt:variant>
      <vt:variant>
        <vt:lpwstr>https://www.legislation.nsw.gov.au/</vt:lpwstr>
      </vt:variant>
      <vt:variant>
        <vt:lpwstr>/view/act/1998/17</vt:lpwstr>
      </vt:variant>
      <vt:variant>
        <vt:i4>7864370</vt:i4>
      </vt:variant>
      <vt:variant>
        <vt:i4>1748</vt:i4>
      </vt:variant>
      <vt:variant>
        <vt:i4>0</vt:i4>
      </vt:variant>
      <vt:variant>
        <vt:i4>5</vt:i4>
      </vt:variant>
      <vt:variant>
        <vt:lpwstr>https://buy.nsw.gov.au/buyer-guidance/before-you-buy/other-considerations/board-directions</vt:lpwstr>
      </vt:variant>
      <vt:variant>
        <vt:lpwstr/>
      </vt:variant>
      <vt:variant>
        <vt:i4>6881326</vt:i4>
      </vt:variant>
      <vt:variant>
        <vt:i4>1745</vt:i4>
      </vt:variant>
      <vt:variant>
        <vt:i4>0</vt:i4>
      </vt:variant>
      <vt:variant>
        <vt:i4>5</vt:i4>
      </vt:variant>
      <vt:variant>
        <vt:lpwstr>https://buy.nsw.gov.au/buyer-guidance/before-you-buy/procurement-framework</vt:lpwstr>
      </vt:variant>
      <vt:variant>
        <vt:lpwstr/>
      </vt:variant>
      <vt:variant>
        <vt:i4>3866684</vt:i4>
      </vt:variant>
      <vt:variant>
        <vt:i4>1742</vt:i4>
      </vt:variant>
      <vt:variant>
        <vt:i4>0</vt:i4>
      </vt:variant>
      <vt:variant>
        <vt:i4>5</vt:i4>
      </vt:variant>
      <vt:variant>
        <vt:lpwstr>https://www.legislation.nsw.gov.au/</vt:lpwstr>
      </vt:variant>
      <vt:variant>
        <vt:lpwstr>/view/act/1912/45</vt:lpwstr>
      </vt:variant>
      <vt:variant>
        <vt:i4>6619243</vt:i4>
      </vt:variant>
      <vt:variant>
        <vt:i4>1739</vt:i4>
      </vt:variant>
      <vt:variant>
        <vt:i4>0</vt:i4>
      </vt:variant>
      <vt:variant>
        <vt:i4>5</vt:i4>
      </vt:variant>
      <vt:variant>
        <vt:lpwstr>https://www.ungm.org/Areas/Public/pph/ch04s01.html</vt:lpwstr>
      </vt:variant>
      <vt:variant>
        <vt:lpwstr/>
      </vt:variant>
      <vt:variant>
        <vt:i4>2424869</vt:i4>
      </vt:variant>
      <vt:variant>
        <vt:i4>1736</vt:i4>
      </vt:variant>
      <vt:variant>
        <vt:i4>0</vt:i4>
      </vt:variant>
      <vt:variant>
        <vt:i4>5</vt:i4>
      </vt:variant>
      <vt:variant>
        <vt:lpwstr>https://tenders.nsw.gov.au/</vt:lpwstr>
      </vt:variant>
      <vt:variant>
        <vt:lpwstr/>
      </vt:variant>
      <vt:variant>
        <vt:i4>5701723</vt:i4>
      </vt:variant>
      <vt:variant>
        <vt:i4>1733</vt:i4>
      </vt:variant>
      <vt:variant>
        <vt:i4>0</vt:i4>
      </vt:variant>
      <vt:variant>
        <vt:i4>5</vt:i4>
      </vt:variant>
      <vt:variant>
        <vt:lpwstr>https://arp.nsw.gov.au/pbd-2019-05-enforceable-procurement-provisions</vt:lpwstr>
      </vt:variant>
      <vt:variant>
        <vt:lpwstr/>
      </vt:variant>
      <vt:variant>
        <vt:i4>5636160</vt:i4>
      </vt:variant>
      <vt:variant>
        <vt:i4>1730</vt:i4>
      </vt:variant>
      <vt:variant>
        <vt:i4>0</vt:i4>
      </vt:variant>
      <vt:variant>
        <vt:i4>5</vt:i4>
      </vt:variant>
      <vt:variant>
        <vt:lpwstr>https://nswdfsi-search.squiz.cloud/s/redirect?collection=procurement-nsw-meta&amp;url=https%3A%2F%2Fbuy.nsw.gov.au%2F__data%2Fassets%2Fword_doc%2F0005%2F717080%2Fprocurement_strategy_1.docx&amp;auth=tizUYwfx5DhZxi8hAQ2s7A&amp;profile=_default&amp;rank=1&amp;query=procurement+strategy+template</vt:lpwstr>
      </vt:variant>
      <vt:variant>
        <vt:lpwstr/>
      </vt:variant>
      <vt:variant>
        <vt:i4>2424869</vt:i4>
      </vt:variant>
      <vt:variant>
        <vt:i4>1727</vt:i4>
      </vt:variant>
      <vt:variant>
        <vt:i4>0</vt:i4>
      </vt:variant>
      <vt:variant>
        <vt:i4>5</vt:i4>
      </vt:variant>
      <vt:variant>
        <vt:lpwstr>https://tenders.nsw.gov.au/</vt:lpwstr>
      </vt:variant>
      <vt:variant>
        <vt:lpwstr/>
      </vt:variant>
      <vt:variant>
        <vt:i4>7864336</vt:i4>
      </vt:variant>
      <vt:variant>
        <vt:i4>1724</vt:i4>
      </vt:variant>
      <vt:variant>
        <vt:i4>0</vt:i4>
      </vt:variant>
      <vt:variant>
        <vt:i4>5</vt:i4>
      </vt:variant>
      <vt:variant>
        <vt:lpwstr>https://buy.nsw.gov.au/__data/assets/pdf_file/0003/717051/industry_engagement_guide.pdf</vt:lpwstr>
      </vt:variant>
      <vt:variant>
        <vt:lpwstr/>
      </vt:variant>
      <vt:variant>
        <vt:i4>8061022</vt:i4>
      </vt:variant>
      <vt:variant>
        <vt:i4>1721</vt:i4>
      </vt:variant>
      <vt:variant>
        <vt:i4>0</vt:i4>
      </vt:variant>
      <vt:variant>
        <vt:i4>5</vt:i4>
      </vt:variant>
      <vt:variant>
        <vt:lpwstr/>
      </vt:variant>
      <vt:variant>
        <vt:lpwstr>_Risks_and_Obligations</vt:lpwstr>
      </vt:variant>
      <vt:variant>
        <vt:i4>6881369</vt:i4>
      </vt:variant>
      <vt:variant>
        <vt:i4>1718</vt:i4>
      </vt:variant>
      <vt:variant>
        <vt:i4>0</vt:i4>
      </vt:variant>
      <vt:variant>
        <vt:i4>5</vt:i4>
      </vt:variant>
      <vt:variant>
        <vt:lpwstr>https://nswdfsi-search.squiz.cloud/s/redirect?collection=procurement-nsw-meta&amp;url=https%3A%2F%2Fbuy.nsw.gov.au%2F__data%2Fassets%2Fexcel_doc%2F0006%2F717009%2Fprocurement_risk_register_2.xlsx&amp;auth=RDilNYSIlShJWaFBFjaxMw&amp;profile=_default&amp;rank=3&amp;query=procurement+risks+register</vt:lpwstr>
      </vt:variant>
      <vt:variant>
        <vt:lpwstr/>
      </vt:variant>
      <vt:variant>
        <vt:i4>2293810</vt:i4>
      </vt:variant>
      <vt:variant>
        <vt:i4>1715</vt:i4>
      </vt:variant>
      <vt:variant>
        <vt:i4>0</vt:i4>
      </vt:variant>
      <vt:variant>
        <vt:i4>5</vt:i4>
      </vt:variant>
      <vt:variant>
        <vt:lpwstr>https://buy.nsw.gov.au/</vt:lpwstr>
      </vt:variant>
      <vt:variant>
        <vt:lpwstr/>
      </vt:variant>
      <vt:variant>
        <vt:i4>5242960</vt:i4>
      </vt:variant>
      <vt:variant>
        <vt:i4>1712</vt:i4>
      </vt:variant>
      <vt:variant>
        <vt:i4>0</vt:i4>
      </vt:variant>
      <vt:variant>
        <vt:i4>5</vt:i4>
      </vt:variant>
      <vt:variant>
        <vt:lpwstr>https://www.procurepoint.nsw.gov.au/policy-and-reform/goods-and-services-procurement-policies/commercial-approaches-contracts</vt:lpwstr>
      </vt:variant>
      <vt:variant>
        <vt:lpwstr/>
      </vt:variant>
      <vt:variant>
        <vt:i4>2293810</vt:i4>
      </vt:variant>
      <vt:variant>
        <vt:i4>1709</vt:i4>
      </vt:variant>
      <vt:variant>
        <vt:i4>0</vt:i4>
      </vt:variant>
      <vt:variant>
        <vt:i4>5</vt:i4>
      </vt:variant>
      <vt:variant>
        <vt:lpwstr>https://buy.nsw.gov.au/</vt:lpwstr>
      </vt:variant>
      <vt:variant>
        <vt:lpwstr/>
      </vt:variant>
      <vt:variant>
        <vt:i4>655447</vt:i4>
      </vt:variant>
      <vt:variant>
        <vt:i4>1706</vt:i4>
      </vt:variant>
      <vt:variant>
        <vt:i4>0</vt:i4>
      </vt:variant>
      <vt:variant>
        <vt:i4>5</vt:i4>
      </vt:variant>
      <vt:variant>
        <vt:lpwstr/>
      </vt:variant>
      <vt:variant>
        <vt:lpwstr>_Data_considerations_for_3</vt:lpwstr>
      </vt:variant>
      <vt:variant>
        <vt:i4>3407924</vt:i4>
      </vt:variant>
      <vt:variant>
        <vt:i4>1703</vt:i4>
      </vt:variant>
      <vt:variant>
        <vt:i4>0</vt:i4>
      </vt:variant>
      <vt:variant>
        <vt:i4>5</vt:i4>
      </vt:variant>
      <vt:variant>
        <vt:lpwstr>https://www.legislation.nsw.gov.au/</vt:lpwstr>
      </vt:variant>
      <vt:variant>
        <vt:lpwstr>/view/act/1998/17</vt:lpwstr>
      </vt:variant>
      <vt:variant>
        <vt:i4>3670078</vt:i4>
      </vt:variant>
      <vt:variant>
        <vt:i4>1700</vt:i4>
      </vt:variant>
      <vt:variant>
        <vt:i4>0</vt:i4>
      </vt:variant>
      <vt:variant>
        <vt:i4>5</vt:i4>
      </vt:variant>
      <vt:variant>
        <vt:lpwstr>https://www.legislation.nsw.gov.au/</vt:lpwstr>
      </vt:variant>
      <vt:variant>
        <vt:lpwstr>/view/act/2009/52</vt:lpwstr>
      </vt:variant>
      <vt:variant>
        <vt:i4>3211326</vt:i4>
      </vt:variant>
      <vt:variant>
        <vt:i4>1697</vt:i4>
      </vt:variant>
      <vt:variant>
        <vt:i4>0</vt:i4>
      </vt:variant>
      <vt:variant>
        <vt:i4>5</vt:i4>
      </vt:variant>
      <vt:variant>
        <vt:lpwstr>https://www.legislation.nsw.gov.au/</vt:lpwstr>
      </vt:variant>
      <vt:variant>
        <vt:lpwstr>/view/act/2002/71</vt:lpwstr>
      </vt:variant>
      <vt:variant>
        <vt:i4>458759</vt:i4>
      </vt:variant>
      <vt:variant>
        <vt:i4>1694</vt:i4>
      </vt:variant>
      <vt:variant>
        <vt:i4>0</vt:i4>
      </vt:variant>
      <vt:variant>
        <vt:i4>5</vt:i4>
      </vt:variant>
      <vt:variant>
        <vt:lpwstr>https://www.legislation.nsw.gov.au/</vt:lpwstr>
      </vt:variant>
      <vt:variant>
        <vt:lpwstr>/view/act/1998/133</vt:lpwstr>
      </vt:variant>
      <vt:variant>
        <vt:i4>3801116</vt:i4>
      </vt:variant>
      <vt:variant>
        <vt:i4>1691</vt:i4>
      </vt:variant>
      <vt:variant>
        <vt:i4>0</vt:i4>
      </vt:variant>
      <vt:variant>
        <vt:i4>5</vt:i4>
      </vt:variant>
      <vt:variant>
        <vt:lpwstr/>
      </vt:variant>
      <vt:variant>
        <vt:lpwstr>_Cyber_Security_1</vt:lpwstr>
      </vt:variant>
      <vt:variant>
        <vt:i4>7274572</vt:i4>
      </vt:variant>
      <vt:variant>
        <vt:i4>1688</vt:i4>
      </vt:variant>
      <vt:variant>
        <vt:i4>0</vt:i4>
      </vt:variant>
      <vt:variant>
        <vt:i4>5</vt:i4>
      </vt:variant>
      <vt:variant>
        <vt:lpwstr/>
      </vt:variant>
      <vt:variant>
        <vt:lpwstr>_Requirements_and_standards</vt:lpwstr>
      </vt:variant>
      <vt:variant>
        <vt:i4>3145831</vt:i4>
      </vt:variant>
      <vt:variant>
        <vt:i4>1685</vt:i4>
      </vt:variant>
      <vt:variant>
        <vt:i4>0</vt:i4>
      </vt:variant>
      <vt:variant>
        <vt:i4>5</vt:i4>
      </vt:variant>
      <vt:variant>
        <vt:lpwstr/>
      </vt:variant>
      <vt:variant>
        <vt:lpwstr>_Privacy_1</vt:lpwstr>
      </vt:variant>
      <vt:variant>
        <vt:i4>6619207</vt:i4>
      </vt:variant>
      <vt:variant>
        <vt:i4>1682</vt:i4>
      </vt:variant>
      <vt:variant>
        <vt:i4>0</vt:i4>
      </vt:variant>
      <vt:variant>
        <vt:i4>5</vt:i4>
      </vt:variant>
      <vt:variant>
        <vt:lpwstr/>
      </vt:variant>
      <vt:variant>
        <vt:lpwstr>_Useful_International_Standards</vt:lpwstr>
      </vt:variant>
      <vt:variant>
        <vt:i4>7864356</vt:i4>
      </vt:variant>
      <vt:variant>
        <vt:i4>1679</vt:i4>
      </vt:variant>
      <vt:variant>
        <vt:i4>0</vt:i4>
      </vt:variant>
      <vt:variant>
        <vt:i4>5</vt:i4>
      </vt:variant>
      <vt:variant>
        <vt:lpwstr/>
      </vt:variant>
      <vt:variant>
        <vt:lpwstr>_Spatial_data_requirements_2</vt:lpwstr>
      </vt:variant>
      <vt:variant>
        <vt:i4>5308535</vt:i4>
      </vt:variant>
      <vt:variant>
        <vt:i4>1676</vt:i4>
      </vt:variant>
      <vt:variant>
        <vt:i4>0</vt:i4>
      </vt:variant>
      <vt:variant>
        <vt:i4>5</vt:i4>
      </vt:variant>
      <vt:variant>
        <vt:lpwstr/>
      </vt:variant>
      <vt:variant>
        <vt:lpwstr>_Requirements_in_designing</vt:lpwstr>
      </vt:variant>
      <vt:variant>
        <vt:i4>2031651</vt:i4>
      </vt:variant>
      <vt:variant>
        <vt:i4>1673</vt:i4>
      </vt:variant>
      <vt:variant>
        <vt:i4>0</vt:i4>
      </vt:variant>
      <vt:variant>
        <vt:i4>5</vt:i4>
      </vt:variant>
      <vt:variant>
        <vt:lpwstr/>
      </vt:variant>
      <vt:variant>
        <vt:lpwstr>_Device_and_data</vt:lpwstr>
      </vt:variant>
      <vt:variant>
        <vt:i4>2949154</vt:i4>
      </vt:variant>
      <vt:variant>
        <vt:i4>1670</vt:i4>
      </vt:variant>
      <vt:variant>
        <vt:i4>0</vt:i4>
      </vt:variant>
      <vt:variant>
        <vt:i4>5</vt:i4>
      </vt:variant>
      <vt:variant>
        <vt:lpwstr/>
      </vt:variant>
      <vt:variant>
        <vt:lpwstr>_Technology_for_IoT_2</vt:lpwstr>
      </vt:variant>
      <vt:variant>
        <vt:i4>2949154</vt:i4>
      </vt:variant>
      <vt:variant>
        <vt:i4>1667</vt:i4>
      </vt:variant>
      <vt:variant>
        <vt:i4>0</vt:i4>
      </vt:variant>
      <vt:variant>
        <vt:i4>5</vt:i4>
      </vt:variant>
      <vt:variant>
        <vt:lpwstr/>
      </vt:variant>
      <vt:variant>
        <vt:lpwstr>_Technology_for_IoT_2</vt:lpwstr>
      </vt:variant>
      <vt:variant>
        <vt:i4>917568</vt:i4>
      </vt:variant>
      <vt:variant>
        <vt:i4>1664</vt:i4>
      </vt:variant>
      <vt:variant>
        <vt:i4>0</vt:i4>
      </vt:variant>
      <vt:variant>
        <vt:i4>5</vt:i4>
      </vt:variant>
      <vt:variant>
        <vt:lpwstr>https://arp.nsw.gov.au/pbd-2019-03-construction-procurement-opportunities-SME</vt:lpwstr>
      </vt:variant>
      <vt:variant>
        <vt:lpwstr/>
      </vt:variant>
      <vt:variant>
        <vt:i4>3932205</vt:i4>
      </vt:variant>
      <vt:variant>
        <vt:i4>1661</vt:i4>
      </vt:variant>
      <vt:variant>
        <vt:i4>0</vt:i4>
      </vt:variant>
      <vt:variant>
        <vt:i4>5</vt:i4>
      </vt:variant>
      <vt:variant>
        <vt:lpwstr>https://buy.nsw.gov.au/policy-library/policies/sme-and-regional-procurement-policy</vt:lpwstr>
      </vt:variant>
      <vt:variant>
        <vt:lpwstr/>
      </vt:variant>
      <vt:variant>
        <vt:i4>3932270</vt:i4>
      </vt:variant>
      <vt:variant>
        <vt:i4>1658</vt:i4>
      </vt:variant>
      <vt:variant>
        <vt:i4>0</vt:i4>
      </vt:variant>
      <vt:variant>
        <vt:i4>5</vt:i4>
      </vt:variant>
      <vt:variant>
        <vt:lpwstr>https://www.procurepoint.nsw.gov.au/policy-and-reform/nsw-government-procurement-information/nsw-procurements-approach</vt:lpwstr>
      </vt:variant>
      <vt:variant>
        <vt:lpwstr/>
      </vt:variant>
      <vt:variant>
        <vt:i4>4128875</vt:i4>
      </vt:variant>
      <vt:variant>
        <vt:i4>1655</vt:i4>
      </vt:variant>
      <vt:variant>
        <vt:i4>0</vt:i4>
      </vt:variant>
      <vt:variant>
        <vt:i4>5</vt:i4>
      </vt:variant>
      <vt:variant>
        <vt:lpwstr>https://buy.nsw.gov.au/__data/assets/pdf_file/0007/728359/market_approaches_guide_ver_2_0.pdf</vt:lpwstr>
      </vt:variant>
      <vt:variant>
        <vt:lpwstr/>
      </vt:variant>
      <vt:variant>
        <vt:i4>5701715</vt:i4>
      </vt:variant>
      <vt:variant>
        <vt:i4>1652</vt:i4>
      </vt:variant>
      <vt:variant>
        <vt:i4>0</vt:i4>
      </vt:variant>
      <vt:variant>
        <vt:i4>5</vt:i4>
      </vt:variant>
      <vt:variant>
        <vt:lpwstr>https://buy.nsw.gov.au/buyer-guidance/before-you-buy/industry-engagement/run</vt:lpwstr>
      </vt:variant>
      <vt:variant>
        <vt:lpwstr/>
      </vt:variant>
      <vt:variant>
        <vt:i4>5505118</vt:i4>
      </vt:variant>
      <vt:variant>
        <vt:i4>1649</vt:i4>
      </vt:variant>
      <vt:variant>
        <vt:i4>0</vt:i4>
      </vt:variant>
      <vt:variant>
        <vt:i4>5</vt:i4>
      </vt:variant>
      <vt:variant>
        <vt:lpwstr>https://buy.nsw.gov.au/buyer-guidance/plan/best-practice-procurement</vt:lpwstr>
      </vt:variant>
      <vt:variant>
        <vt:lpwstr/>
      </vt:variant>
      <vt:variant>
        <vt:i4>5111880</vt:i4>
      </vt:variant>
      <vt:variant>
        <vt:i4>1646</vt:i4>
      </vt:variant>
      <vt:variant>
        <vt:i4>0</vt:i4>
      </vt:variant>
      <vt:variant>
        <vt:i4>5</vt:i4>
      </vt:variant>
      <vt:variant>
        <vt:lpwstr>https://buy.nsw.gov.au/contact-us</vt:lpwstr>
      </vt:variant>
      <vt:variant>
        <vt:lpwstr/>
      </vt:variant>
      <vt:variant>
        <vt:i4>2293810</vt:i4>
      </vt:variant>
      <vt:variant>
        <vt:i4>1643</vt:i4>
      </vt:variant>
      <vt:variant>
        <vt:i4>0</vt:i4>
      </vt:variant>
      <vt:variant>
        <vt:i4>5</vt:i4>
      </vt:variant>
      <vt:variant>
        <vt:lpwstr>https://buy.nsw.gov.au/</vt:lpwstr>
      </vt:variant>
      <vt:variant>
        <vt:lpwstr/>
      </vt:variant>
      <vt:variant>
        <vt:i4>2490494</vt:i4>
      </vt:variant>
      <vt:variant>
        <vt:i4>1640</vt:i4>
      </vt:variant>
      <vt:variant>
        <vt:i4>0</vt:i4>
      </vt:variant>
      <vt:variant>
        <vt:i4>5</vt:i4>
      </vt:variant>
      <vt:variant>
        <vt:lpwstr>https://buy.nsw.gov.au/schemes</vt:lpwstr>
      </vt:variant>
      <vt:variant>
        <vt:lpwstr/>
      </vt:variant>
      <vt:variant>
        <vt:i4>1114191</vt:i4>
      </vt:variant>
      <vt:variant>
        <vt:i4>1637</vt:i4>
      </vt:variant>
      <vt:variant>
        <vt:i4>0</vt:i4>
      </vt:variant>
      <vt:variant>
        <vt:i4>5</vt:i4>
      </vt:variant>
      <vt:variant>
        <vt:lpwstr>https://www.legislation.nsw.gov.au/</vt:lpwstr>
      </vt:variant>
      <vt:variant>
        <vt:lpwstr>/view/regulation/2005/487/part7</vt:lpwstr>
      </vt:variant>
      <vt:variant>
        <vt:i4>6422636</vt:i4>
      </vt:variant>
      <vt:variant>
        <vt:i4>1634</vt:i4>
      </vt:variant>
      <vt:variant>
        <vt:i4>0</vt:i4>
      </vt:variant>
      <vt:variant>
        <vt:i4>5</vt:i4>
      </vt:variant>
      <vt:variant>
        <vt:lpwstr>https://www.legislation.nsw.gov.au/</vt:lpwstr>
      </vt:variant>
      <vt:variant>
        <vt:lpwstr>/view/act/1993/30/chap6/part3/div1/sec55</vt:lpwstr>
      </vt:variant>
      <vt:variant>
        <vt:i4>5701723</vt:i4>
      </vt:variant>
      <vt:variant>
        <vt:i4>1631</vt:i4>
      </vt:variant>
      <vt:variant>
        <vt:i4>0</vt:i4>
      </vt:variant>
      <vt:variant>
        <vt:i4>5</vt:i4>
      </vt:variant>
      <vt:variant>
        <vt:lpwstr>https://arp.nsw.gov.au/pbd-2019-05-enforceable-procurement-provisions</vt:lpwstr>
      </vt:variant>
      <vt:variant>
        <vt:lpwstr/>
      </vt:variant>
      <vt:variant>
        <vt:i4>3080303</vt:i4>
      </vt:variant>
      <vt:variant>
        <vt:i4>1628</vt:i4>
      </vt:variant>
      <vt:variant>
        <vt:i4>0</vt:i4>
      </vt:variant>
      <vt:variant>
        <vt:i4>5</vt:i4>
      </vt:variant>
      <vt:variant>
        <vt:lpwstr>https://buy.nsw.gov.au/news/2020/new-procurement-board-direction-pbd-2020-05-approved-procurement-arrangements-for-the-ict-services-scheme</vt:lpwstr>
      </vt:variant>
      <vt:variant>
        <vt:lpwstr/>
      </vt:variant>
      <vt:variant>
        <vt:i4>3145786</vt:i4>
      </vt:variant>
      <vt:variant>
        <vt:i4>1625</vt:i4>
      </vt:variant>
      <vt:variant>
        <vt:i4>0</vt:i4>
      </vt:variant>
      <vt:variant>
        <vt:i4>5</vt:i4>
      </vt:variant>
      <vt:variant>
        <vt:lpwstr>https://www.legislation.nsw.gov.au/</vt:lpwstr>
      </vt:variant>
      <vt:variant>
        <vt:lpwstr>/view/act/1912/45/part11</vt:lpwstr>
      </vt:variant>
      <vt:variant>
        <vt:i4>8192126</vt:i4>
      </vt:variant>
      <vt:variant>
        <vt:i4>1622</vt:i4>
      </vt:variant>
      <vt:variant>
        <vt:i4>0</vt:i4>
      </vt:variant>
      <vt:variant>
        <vt:i4>5</vt:i4>
      </vt:variant>
      <vt:variant>
        <vt:lpwstr>https://buy.nsw.gov.au/policy-library/policies/procurement-policy-framework</vt:lpwstr>
      </vt:variant>
      <vt:variant>
        <vt:lpwstr/>
      </vt:variant>
      <vt:variant>
        <vt:i4>6619207</vt:i4>
      </vt:variant>
      <vt:variant>
        <vt:i4>1619</vt:i4>
      </vt:variant>
      <vt:variant>
        <vt:i4>0</vt:i4>
      </vt:variant>
      <vt:variant>
        <vt:i4>5</vt:i4>
      </vt:variant>
      <vt:variant>
        <vt:lpwstr/>
      </vt:variant>
      <vt:variant>
        <vt:lpwstr>_Useful_International_Standards</vt:lpwstr>
      </vt:variant>
      <vt:variant>
        <vt:i4>7667822</vt:i4>
      </vt:variant>
      <vt:variant>
        <vt:i4>1616</vt:i4>
      </vt:variant>
      <vt:variant>
        <vt:i4>0</vt:i4>
      </vt:variant>
      <vt:variant>
        <vt:i4>5</vt:i4>
      </vt:variant>
      <vt:variant>
        <vt:lpwstr>https://www.finance.nsw.gov.au/publication-and-resources/benefits-realisation-management-framework</vt:lpwstr>
      </vt:variant>
      <vt:variant>
        <vt:lpwstr/>
      </vt:variant>
      <vt:variant>
        <vt:i4>8192090</vt:i4>
      </vt:variant>
      <vt:variant>
        <vt:i4>1613</vt:i4>
      </vt:variant>
      <vt:variant>
        <vt:i4>0</vt:i4>
      </vt:variant>
      <vt:variant>
        <vt:i4>5</vt:i4>
      </vt:variant>
      <vt:variant>
        <vt:lpwstr>https://www.treasury.nsw.gov.au/sites/default/files/2017-03/TPP17-03 NSW Government Guide to Cost-Benefit Analysis - pdf_0.pdf</vt:lpwstr>
      </vt:variant>
      <vt:variant>
        <vt:lpwstr/>
      </vt:variant>
      <vt:variant>
        <vt:i4>2424938</vt:i4>
      </vt:variant>
      <vt:variant>
        <vt:i4>1610</vt:i4>
      </vt:variant>
      <vt:variant>
        <vt:i4>0</vt:i4>
      </vt:variant>
      <vt:variant>
        <vt:i4>5</vt:i4>
      </vt:variant>
      <vt:variant>
        <vt:lpwstr>http://www.infrastructure.nsw.gov.au/project-assurance/resources/business-case-toolkit/</vt:lpwstr>
      </vt:variant>
      <vt:variant>
        <vt:lpwstr/>
      </vt:variant>
      <vt:variant>
        <vt:i4>7798882</vt:i4>
      </vt:variant>
      <vt:variant>
        <vt:i4>1607</vt:i4>
      </vt:variant>
      <vt:variant>
        <vt:i4>0</vt:i4>
      </vt:variant>
      <vt:variant>
        <vt:i4>5</vt:i4>
      </vt:variant>
      <vt:variant>
        <vt:lpwstr>https://www.treasury.nsw.gov.au/information-public-entities/business-cases</vt:lpwstr>
      </vt:variant>
      <vt:variant>
        <vt:lpwstr/>
      </vt:variant>
      <vt:variant>
        <vt:i4>1572944</vt:i4>
      </vt:variant>
      <vt:variant>
        <vt:i4>1604</vt:i4>
      </vt:variant>
      <vt:variant>
        <vt:i4>0</vt:i4>
      </vt:variant>
      <vt:variant>
        <vt:i4>5</vt:i4>
      </vt:variant>
      <vt:variant>
        <vt:lpwstr>https://www.treasury.nsw.gov.au/sites/default/files/2018-08/TPP18-06  NSW Government Business Case Guidelines.pdf</vt:lpwstr>
      </vt:variant>
      <vt:variant>
        <vt:lpwstr/>
      </vt:variant>
      <vt:variant>
        <vt:i4>6946893</vt:i4>
      </vt:variant>
      <vt:variant>
        <vt:i4>1601</vt:i4>
      </vt:variant>
      <vt:variant>
        <vt:i4>0</vt:i4>
      </vt:variant>
      <vt:variant>
        <vt:i4>5</vt:i4>
      </vt:variant>
      <vt:variant>
        <vt:lpwstr/>
      </vt:variant>
      <vt:variant>
        <vt:lpwstr>_Evaluation</vt:lpwstr>
      </vt:variant>
      <vt:variant>
        <vt:i4>4784129</vt:i4>
      </vt:variant>
      <vt:variant>
        <vt:i4>1598</vt:i4>
      </vt:variant>
      <vt:variant>
        <vt:i4>0</vt:i4>
      </vt:variant>
      <vt:variant>
        <vt:i4>5</vt:i4>
      </vt:variant>
      <vt:variant>
        <vt:lpwstr/>
      </vt:variant>
      <vt:variant>
        <vt:lpwstr>_Risks_and_obligations_2</vt:lpwstr>
      </vt:variant>
      <vt:variant>
        <vt:i4>5111899</vt:i4>
      </vt:variant>
      <vt:variant>
        <vt:i4>1595</vt:i4>
      </vt:variant>
      <vt:variant>
        <vt:i4>0</vt:i4>
      </vt:variant>
      <vt:variant>
        <vt:i4>5</vt:i4>
      </vt:variant>
      <vt:variant>
        <vt:lpwstr/>
      </vt:variant>
      <vt:variant>
        <vt:lpwstr>_Change_management</vt:lpwstr>
      </vt:variant>
      <vt:variant>
        <vt:i4>589898</vt:i4>
      </vt:variant>
      <vt:variant>
        <vt:i4>1592</vt:i4>
      </vt:variant>
      <vt:variant>
        <vt:i4>0</vt:i4>
      </vt:variant>
      <vt:variant>
        <vt:i4>5</vt:i4>
      </vt:variant>
      <vt:variant>
        <vt:lpwstr/>
      </vt:variant>
      <vt:variant>
        <vt:lpwstr>_Cost-benefit_analysis</vt:lpwstr>
      </vt:variant>
      <vt:variant>
        <vt:i4>7209029</vt:i4>
      </vt:variant>
      <vt:variant>
        <vt:i4>1589</vt:i4>
      </vt:variant>
      <vt:variant>
        <vt:i4>0</vt:i4>
      </vt:variant>
      <vt:variant>
        <vt:i4>5</vt:i4>
      </vt:variant>
      <vt:variant>
        <vt:lpwstr/>
      </vt:variant>
      <vt:variant>
        <vt:lpwstr>_Is_IoT_the</vt:lpwstr>
      </vt:variant>
      <vt:variant>
        <vt:i4>1572944</vt:i4>
      </vt:variant>
      <vt:variant>
        <vt:i4>1586</vt:i4>
      </vt:variant>
      <vt:variant>
        <vt:i4>0</vt:i4>
      </vt:variant>
      <vt:variant>
        <vt:i4>5</vt:i4>
      </vt:variant>
      <vt:variant>
        <vt:lpwstr>https://www.treasury.nsw.gov.au/sites/default/files/2018-08/TPP18-06  NSW Government Business Case Guidelines.pdf</vt:lpwstr>
      </vt:variant>
      <vt:variant>
        <vt:lpwstr/>
      </vt:variant>
      <vt:variant>
        <vt:i4>7012443</vt:i4>
      </vt:variant>
      <vt:variant>
        <vt:i4>1583</vt:i4>
      </vt:variant>
      <vt:variant>
        <vt:i4>0</vt:i4>
      </vt:variant>
      <vt:variant>
        <vt:i4>5</vt:i4>
      </vt:variant>
      <vt:variant>
        <vt:lpwstr/>
      </vt:variant>
      <vt:variant>
        <vt:lpwstr>_Assurance</vt:lpwstr>
      </vt:variant>
      <vt:variant>
        <vt:i4>1572944</vt:i4>
      </vt:variant>
      <vt:variant>
        <vt:i4>1580</vt:i4>
      </vt:variant>
      <vt:variant>
        <vt:i4>0</vt:i4>
      </vt:variant>
      <vt:variant>
        <vt:i4>5</vt:i4>
      </vt:variant>
      <vt:variant>
        <vt:lpwstr>https://www.treasury.nsw.gov.au/sites/default/files/2018-08/TPP18-06  NSW Government Business Case Guidelines.pdf</vt:lpwstr>
      </vt:variant>
      <vt:variant>
        <vt:lpwstr/>
      </vt:variant>
      <vt:variant>
        <vt:i4>7667825</vt:i4>
      </vt:variant>
      <vt:variant>
        <vt:i4>1577</vt:i4>
      </vt:variant>
      <vt:variant>
        <vt:i4>0</vt:i4>
      </vt:variant>
      <vt:variant>
        <vt:i4>5</vt:i4>
      </vt:variant>
      <vt:variant>
        <vt:lpwstr>https://www.treasury.nsw.gov.au/information-public-entities/governance-risk-and-assurance/recurrent-expenditure-assurance-framework</vt:lpwstr>
      </vt:variant>
      <vt:variant>
        <vt:lpwstr/>
      </vt:variant>
      <vt:variant>
        <vt:i4>6291498</vt:i4>
      </vt:variant>
      <vt:variant>
        <vt:i4>1574</vt:i4>
      </vt:variant>
      <vt:variant>
        <vt:i4>0</vt:i4>
      </vt:variant>
      <vt:variant>
        <vt:i4>5</vt:i4>
      </vt:variant>
      <vt:variant>
        <vt:lpwstr>http://www.infrastructure.nsw.gov.au/project-assurance/</vt:lpwstr>
      </vt:variant>
      <vt:variant>
        <vt:lpwstr/>
      </vt:variant>
      <vt:variant>
        <vt:i4>7602289</vt:i4>
      </vt:variant>
      <vt:variant>
        <vt:i4>1571</vt:i4>
      </vt:variant>
      <vt:variant>
        <vt:i4>0</vt:i4>
      </vt:variant>
      <vt:variant>
        <vt:i4>5</vt:i4>
      </vt:variant>
      <vt:variant>
        <vt:lpwstr>https://www.digital.nsw.gov.au/policy/ict-assurance</vt:lpwstr>
      </vt:variant>
      <vt:variant>
        <vt:lpwstr/>
      </vt:variant>
      <vt:variant>
        <vt:i4>2621465</vt:i4>
      </vt:variant>
      <vt:variant>
        <vt:i4>1568</vt:i4>
      </vt:variant>
      <vt:variant>
        <vt:i4>0</vt:i4>
      </vt:variant>
      <vt:variant>
        <vt:i4>5</vt:i4>
      </vt:variant>
      <vt:variant>
        <vt:lpwstr>mailto:gateway@treasury.nsw.gov.au</vt:lpwstr>
      </vt:variant>
      <vt:variant>
        <vt:lpwstr/>
      </vt:variant>
      <vt:variant>
        <vt:i4>589884</vt:i4>
      </vt:variant>
      <vt:variant>
        <vt:i4>1565</vt:i4>
      </vt:variant>
      <vt:variant>
        <vt:i4>0</vt:i4>
      </vt:variant>
      <vt:variant>
        <vt:i4>5</vt:i4>
      </vt:variant>
      <vt:variant>
        <vt:lpwstr>https://arp.nsw.gov.au/sites/default/files/TPP17-01_NSW_Gateway_Policy.pdf</vt:lpwstr>
      </vt:variant>
      <vt:variant>
        <vt:lpwstr/>
      </vt:variant>
      <vt:variant>
        <vt:i4>7340095</vt:i4>
      </vt:variant>
      <vt:variant>
        <vt:i4>1562</vt:i4>
      </vt:variant>
      <vt:variant>
        <vt:i4>0</vt:i4>
      </vt:variant>
      <vt:variant>
        <vt:i4>5</vt:i4>
      </vt:variant>
      <vt:variant>
        <vt:lpwstr>https://www.treasury.nsw.gov.au/gateway-review-system-overview</vt:lpwstr>
      </vt:variant>
      <vt:variant>
        <vt:lpwstr/>
      </vt:variant>
      <vt:variant>
        <vt:i4>6488113</vt:i4>
      </vt:variant>
      <vt:variant>
        <vt:i4>1559</vt:i4>
      </vt:variant>
      <vt:variant>
        <vt:i4>0</vt:i4>
      </vt:variant>
      <vt:variant>
        <vt:i4>5</vt:i4>
      </vt:variant>
      <vt:variant>
        <vt:lpwstr>https://arp.nsw.gov.au/tpp17-01-nsw-gateway-policy</vt:lpwstr>
      </vt:variant>
      <vt:variant>
        <vt:lpwstr/>
      </vt:variant>
      <vt:variant>
        <vt:i4>4784129</vt:i4>
      </vt:variant>
      <vt:variant>
        <vt:i4>1556</vt:i4>
      </vt:variant>
      <vt:variant>
        <vt:i4>0</vt:i4>
      </vt:variant>
      <vt:variant>
        <vt:i4>5</vt:i4>
      </vt:variant>
      <vt:variant>
        <vt:lpwstr/>
      </vt:variant>
      <vt:variant>
        <vt:lpwstr>_Risks_and_obligations_2</vt:lpwstr>
      </vt:variant>
      <vt:variant>
        <vt:i4>8257646</vt:i4>
      </vt:variant>
      <vt:variant>
        <vt:i4>1553</vt:i4>
      </vt:variant>
      <vt:variant>
        <vt:i4>0</vt:i4>
      </vt:variant>
      <vt:variant>
        <vt:i4>5</vt:i4>
      </vt:variant>
      <vt:variant>
        <vt:lpwstr>https://www.digital.nsw.gov.au/digital-design-system/components/apinsw</vt:lpwstr>
      </vt:variant>
      <vt:variant>
        <vt:lpwstr/>
      </vt:variant>
      <vt:variant>
        <vt:i4>7864356</vt:i4>
      </vt:variant>
      <vt:variant>
        <vt:i4>1550</vt:i4>
      </vt:variant>
      <vt:variant>
        <vt:i4>0</vt:i4>
      </vt:variant>
      <vt:variant>
        <vt:i4>5</vt:i4>
      </vt:variant>
      <vt:variant>
        <vt:lpwstr/>
      </vt:variant>
      <vt:variant>
        <vt:lpwstr>_Spatial_data_requirements_2</vt:lpwstr>
      </vt:variant>
      <vt:variant>
        <vt:i4>1441842</vt:i4>
      </vt:variant>
      <vt:variant>
        <vt:i4>1547</vt:i4>
      </vt:variant>
      <vt:variant>
        <vt:i4>0</vt:i4>
      </vt:variant>
      <vt:variant>
        <vt:i4>5</vt:i4>
      </vt:variant>
      <vt:variant>
        <vt:lpwstr/>
      </vt:variant>
      <vt:variant>
        <vt:lpwstr>_Appendix_D_–</vt:lpwstr>
      </vt:variant>
      <vt:variant>
        <vt:i4>2949192</vt:i4>
      </vt:variant>
      <vt:variant>
        <vt:i4>1544</vt:i4>
      </vt:variant>
      <vt:variant>
        <vt:i4>0</vt:i4>
      </vt:variant>
      <vt:variant>
        <vt:i4>5</vt:i4>
      </vt:variant>
      <vt:variant>
        <vt:lpwstr>https://www.erac.gov.au/?option=com_content&amp;view=article&amp;id=93&amp;Itemid=538</vt:lpwstr>
      </vt:variant>
      <vt:variant>
        <vt:lpwstr/>
      </vt:variant>
      <vt:variant>
        <vt:i4>1769525</vt:i4>
      </vt:variant>
      <vt:variant>
        <vt:i4>1541</vt:i4>
      </vt:variant>
      <vt:variant>
        <vt:i4>0</vt:i4>
      </vt:variant>
      <vt:variant>
        <vt:i4>5</vt:i4>
      </vt:variant>
      <vt:variant>
        <vt:lpwstr>http://www.erac.gov.au/?option=com_content&amp;view=article&amp;id=93&amp;Itemid=538</vt:lpwstr>
      </vt:variant>
      <vt:variant>
        <vt:lpwstr/>
      </vt:variant>
      <vt:variant>
        <vt:i4>6029314</vt:i4>
      </vt:variant>
      <vt:variant>
        <vt:i4>1538</vt:i4>
      </vt:variant>
      <vt:variant>
        <vt:i4>0</vt:i4>
      </vt:variant>
      <vt:variant>
        <vt:i4>5</vt:i4>
      </vt:variant>
      <vt:variant>
        <vt:lpwstr>https://www.acma.gov.au/theACMA/s042</vt:lpwstr>
      </vt:variant>
      <vt:variant>
        <vt:lpwstr/>
      </vt:variant>
      <vt:variant>
        <vt:i4>6029314</vt:i4>
      </vt:variant>
      <vt:variant>
        <vt:i4>1535</vt:i4>
      </vt:variant>
      <vt:variant>
        <vt:i4>0</vt:i4>
      </vt:variant>
      <vt:variant>
        <vt:i4>5</vt:i4>
      </vt:variant>
      <vt:variant>
        <vt:lpwstr>https://www.acma.gov.au/theACMA/s042</vt:lpwstr>
      </vt:variant>
      <vt:variant>
        <vt:lpwstr/>
      </vt:variant>
      <vt:variant>
        <vt:i4>6684771</vt:i4>
      </vt:variant>
      <vt:variant>
        <vt:i4>1532</vt:i4>
      </vt:variant>
      <vt:variant>
        <vt:i4>0</vt:i4>
      </vt:variant>
      <vt:variant>
        <vt:i4>5</vt:i4>
      </vt:variant>
      <vt:variant>
        <vt:lpwstr>https://www.acma.gov.au/Industry/Suppliers/Regulatory-arrangements/Telecommunications-customer-equipment-and-cabling/telecommunications-standards-list</vt:lpwstr>
      </vt:variant>
      <vt:variant>
        <vt:lpwstr/>
      </vt:variant>
      <vt:variant>
        <vt:i4>6684771</vt:i4>
      </vt:variant>
      <vt:variant>
        <vt:i4>1529</vt:i4>
      </vt:variant>
      <vt:variant>
        <vt:i4>0</vt:i4>
      </vt:variant>
      <vt:variant>
        <vt:i4>5</vt:i4>
      </vt:variant>
      <vt:variant>
        <vt:lpwstr>https://www.acma.gov.au/Industry/Suppliers/Regulatory-arrangements/Telecommunications-customer-equipment-and-cabling/telecommunications-standards-list</vt:lpwstr>
      </vt:variant>
      <vt:variant>
        <vt:lpwstr/>
      </vt:variant>
      <vt:variant>
        <vt:i4>1769556</vt:i4>
      </vt:variant>
      <vt:variant>
        <vt:i4>1526</vt:i4>
      </vt:variant>
      <vt:variant>
        <vt:i4>0</vt:i4>
      </vt:variant>
      <vt:variant>
        <vt:i4>5</vt:i4>
      </vt:variant>
      <vt:variant>
        <vt:lpwstr>https://nswconnect.csod.com/phnx/driver.aspx?routename=Social/UniversalProfile/Snapshot/Reviews&amp;TargetUser=15202</vt:lpwstr>
      </vt:variant>
      <vt:variant>
        <vt:lpwstr>loadedhttps://www.acma.gov.au/Industry/Spectrum/Radiocomms-licensing/Register-of-radiocommunications-licences/radiocommunications-licensing-overview</vt:lpwstr>
      </vt:variant>
      <vt:variant>
        <vt:i4>2818172</vt:i4>
      </vt:variant>
      <vt:variant>
        <vt:i4>1523</vt:i4>
      </vt:variant>
      <vt:variant>
        <vt:i4>0</vt:i4>
      </vt:variant>
      <vt:variant>
        <vt:i4>5</vt:i4>
      </vt:variant>
      <vt:variant>
        <vt:lpwstr>https://www.acma.gov.au/Industry/Spectrum/Radiocomms-licensing/Register-of-radiocommunications-licences/radiocommunications-licensing-overview</vt:lpwstr>
      </vt:variant>
      <vt:variant>
        <vt:lpwstr/>
      </vt:variant>
      <vt:variant>
        <vt:i4>4587544</vt:i4>
      </vt:variant>
      <vt:variant>
        <vt:i4>1520</vt:i4>
      </vt:variant>
      <vt:variant>
        <vt:i4>0</vt:i4>
      </vt:variant>
      <vt:variant>
        <vt:i4>5</vt:i4>
      </vt:variant>
      <vt:variant>
        <vt:lpwstr>https://www.acma.gov.au/Industry/Suppliers/Regulatory-arrangements/Radiocommunications-devices/radiocommunications-standards-list</vt:lpwstr>
      </vt:variant>
      <vt:variant>
        <vt:lpwstr/>
      </vt:variant>
      <vt:variant>
        <vt:i4>4587544</vt:i4>
      </vt:variant>
      <vt:variant>
        <vt:i4>1517</vt:i4>
      </vt:variant>
      <vt:variant>
        <vt:i4>0</vt:i4>
      </vt:variant>
      <vt:variant>
        <vt:i4>5</vt:i4>
      </vt:variant>
      <vt:variant>
        <vt:lpwstr>https://www.acma.gov.au/Industry/Suppliers/Regulatory-arrangements/Radiocommunications-devices/radiocommunications-standards-list</vt:lpwstr>
      </vt:variant>
      <vt:variant>
        <vt:lpwstr/>
      </vt:variant>
      <vt:variant>
        <vt:i4>4259962</vt:i4>
      </vt:variant>
      <vt:variant>
        <vt:i4>1514</vt:i4>
      </vt:variant>
      <vt:variant>
        <vt:i4>0</vt:i4>
      </vt:variant>
      <vt:variant>
        <vt:i4>5</vt:i4>
      </vt:variant>
      <vt:variant>
        <vt:lpwstr/>
      </vt:variant>
      <vt:variant>
        <vt:lpwstr>_The_importance_of</vt:lpwstr>
      </vt:variant>
      <vt:variant>
        <vt:i4>3014709</vt:i4>
      </vt:variant>
      <vt:variant>
        <vt:i4>1511</vt:i4>
      </vt:variant>
      <vt:variant>
        <vt:i4>0</vt:i4>
      </vt:variant>
      <vt:variant>
        <vt:i4>5</vt:i4>
      </vt:variant>
      <vt:variant>
        <vt:lpwstr>http://www.iot.org.au/wp/wp-content/uploads/2016/12/WS7-Platform-Selection-Guidelines-V1.0.pdf</vt:lpwstr>
      </vt:variant>
      <vt:variant>
        <vt:lpwstr/>
      </vt:variant>
      <vt:variant>
        <vt:i4>1441845</vt:i4>
      </vt:variant>
      <vt:variant>
        <vt:i4>1508</vt:i4>
      </vt:variant>
      <vt:variant>
        <vt:i4>0</vt:i4>
      </vt:variant>
      <vt:variant>
        <vt:i4>5</vt:i4>
      </vt:variant>
      <vt:variant>
        <vt:lpwstr/>
      </vt:variant>
      <vt:variant>
        <vt:lpwstr>_Appendix_C_–</vt:lpwstr>
      </vt:variant>
      <vt:variant>
        <vt:i4>7733352</vt:i4>
      </vt:variant>
      <vt:variant>
        <vt:i4>1505</vt:i4>
      </vt:variant>
      <vt:variant>
        <vt:i4>0</vt:i4>
      </vt:variant>
      <vt:variant>
        <vt:i4>5</vt:i4>
      </vt:variant>
      <vt:variant>
        <vt:lpwstr>https://www.homeaffairs.gov.au/reports-and-pubs/files/code-of-practice.pdf</vt:lpwstr>
      </vt:variant>
      <vt:variant>
        <vt:lpwstr/>
      </vt:variant>
      <vt:variant>
        <vt:i4>1769541</vt:i4>
      </vt:variant>
      <vt:variant>
        <vt:i4>1502</vt:i4>
      </vt:variant>
      <vt:variant>
        <vt:i4>0</vt:i4>
      </vt:variant>
      <vt:variant>
        <vt:i4>5</vt:i4>
      </vt:variant>
      <vt:variant>
        <vt:lpwstr>Framework  https:/www.iot.org.au/wp/wp-content/uploads/2016/12/IoT-Reference-Framework-Application-Guide-v1.0.pdf</vt:lpwstr>
      </vt:variant>
      <vt:variant>
        <vt:lpwstr/>
      </vt:variant>
      <vt:variant>
        <vt:i4>5374027</vt:i4>
      </vt:variant>
      <vt:variant>
        <vt:i4>1499</vt:i4>
      </vt:variant>
      <vt:variant>
        <vt:i4>0</vt:i4>
      </vt:variant>
      <vt:variant>
        <vt:i4>5</vt:i4>
      </vt:variant>
      <vt:variant>
        <vt:lpwstr>https://www.tisn.gov.au/the-tisn</vt:lpwstr>
      </vt:variant>
      <vt:variant>
        <vt:lpwstr/>
      </vt:variant>
      <vt:variant>
        <vt:i4>7405606</vt:i4>
      </vt:variant>
      <vt:variant>
        <vt:i4>1496</vt:i4>
      </vt:variant>
      <vt:variant>
        <vt:i4>0</vt:i4>
      </vt:variant>
      <vt:variant>
        <vt:i4>5</vt:i4>
      </vt:variant>
      <vt:variant>
        <vt:lpwstr>https://www.legislation.gov.au/Details/C2018A00029</vt:lpwstr>
      </vt:variant>
      <vt:variant>
        <vt:lpwstr/>
      </vt:variant>
      <vt:variant>
        <vt:i4>6815868</vt:i4>
      </vt:variant>
      <vt:variant>
        <vt:i4>1493</vt:i4>
      </vt:variant>
      <vt:variant>
        <vt:i4>0</vt:i4>
      </vt:variant>
      <vt:variant>
        <vt:i4>5</vt:i4>
      </vt:variant>
      <vt:variant>
        <vt:lpwstr>https://www.datacommissioner.gov.au/sites/default/files/2019-08/sharing-data-safety-brochure-march-2019.pdf</vt:lpwstr>
      </vt:variant>
      <vt:variant>
        <vt:lpwstr/>
      </vt:variant>
      <vt:variant>
        <vt:i4>7471164</vt:i4>
      </vt:variant>
      <vt:variant>
        <vt:i4>1490</vt:i4>
      </vt:variant>
      <vt:variant>
        <vt:i4>0</vt:i4>
      </vt:variant>
      <vt:variant>
        <vt:i4>5</vt:i4>
      </vt:variant>
      <vt:variant>
        <vt:lpwstr>http://data.nsw.gov.au/data-sharing-principles</vt:lpwstr>
      </vt:variant>
      <vt:variant>
        <vt:lpwstr/>
      </vt:variant>
      <vt:variant>
        <vt:i4>6619207</vt:i4>
      </vt:variant>
      <vt:variant>
        <vt:i4>1487</vt:i4>
      </vt:variant>
      <vt:variant>
        <vt:i4>0</vt:i4>
      </vt:variant>
      <vt:variant>
        <vt:i4>5</vt:i4>
      </vt:variant>
      <vt:variant>
        <vt:lpwstr/>
      </vt:variant>
      <vt:variant>
        <vt:lpwstr>_Useful_International_Standards</vt:lpwstr>
      </vt:variant>
      <vt:variant>
        <vt:i4>7340067</vt:i4>
      </vt:variant>
      <vt:variant>
        <vt:i4>1484</vt:i4>
      </vt:variant>
      <vt:variant>
        <vt:i4>0</vt:i4>
      </vt:variant>
      <vt:variant>
        <vt:i4>5</vt:i4>
      </vt:variant>
      <vt:variant>
        <vt:lpwstr>https://arp.nsw.gov.au/dfsi-2015-01-nsw-government-information-classification-labelling-and-handling-guidelines</vt:lpwstr>
      </vt:variant>
      <vt:variant>
        <vt:lpwstr/>
      </vt:variant>
      <vt:variant>
        <vt:i4>3407924</vt:i4>
      </vt:variant>
      <vt:variant>
        <vt:i4>1481</vt:i4>
      </vt:variant>
      <vt:variant>
        <vt:i4>0</vt:i4>
      </vt:variant>
      <vt:variant>
        <vt:i4>5</vt:i4>
      </vt:variant>
      <vt:variant>
        <vt:lpwstr>https://www.legislation.nsw.gov.au/</vt:lpwstr>
      </vt:variant>
      <vt:variant>
        <vt:lpwstr>/view/act/1998/17</vt:lpwstr>
      </vt:variant>
      <vt:variant>
        <vt:i4>3211326</vt:i4>
      </vt:variant>
      <vt:variant>
        <vt:i4>1478</vt:i4>
      </vt:variant>
      <vt:variant>
        <vt:i4>0</vt:i4>
      </vt:variant>
      <vt:variant>
        <vt:i4>5</vt:i4>
      </vt:variant>
      <vt:variant>
        <vt:lpwstr>https://www.legislation.nsw.gov.au/</vt:lpwstr>
      </vt:variant>
      <vt:variant>
        <vt:lpwstr>/view/act/2002/71</vt:lpwstr>
      </vt:variant>
      <vt:variant>
        <vt:i4>458759</vt:i4>
      </vt:variant>
      <vt:variant>
        <vt:i4>1475</vt:i4>
      </vt:variant>
      <vt:variant>
        <vt:i4>0</vt:i4>
      </vt:variant>
      <vt:variant>
        <vt:i4>5</vt:i4>
      </vt:variant>
      <vt:variant>
        <vt:lpwstr>https://www.legislation.nsw.gov.au/</vt:lpwstr>
      </vt:variant>
      <vt:variant>
        <vt:lpwstr>/view/act/1998/133</vt:lpwstr>
      </vt:variant>
      <vt:variant>
        <vt:i4>3670078</vt:i4>
      </vt:variant>
      <vt:variant>
        <vt:i4>1472</vt:i4>
      </vt:variant>
      <vt:variant>
        <vt:i4>0</vt:i4>
      </vt:variant>
      <vt:variant>
        <vt:i4>5</vt:i4>
      </vt:variant>
      <vt:variant>
        <vt:lpwstr>https://www.legislation.nsw.gov.au/</vt:lpwstr>
      </vt:variant>
      <vt:variant>
        <vt:lpwstr>/view/act/2009/52</vt:lpwstr>
      </vt:variant>
      <vt:variant>
        <vt:i4>5701655</vt:i4>
      </vt:variant>
      <vt:variant>
        <vt:i4>1469</vt:i4>
      </vt:variant>
      <vt:variant>
        <vt:i4>0</vt:i4>
      </vt:variant>
      <vt:variant>
        <vt:i4>5</vt:i4>
      </vt:variant>
      <vt:variant>
        <vt:lpwstr>https://data.nsw.gov.au/</vt:lpwstr>
      </vt:variant>
      <vt:variant>
        <vt:lpwstr/>
      </vt:variant>
      <vt:variant>
        <vt:i4>4653066</vt:i4>
      </vt:variant>
      <vt:variant>
        <vt:i4>1466</vt:i4>
      </vt:variant>
      <vt:variant>
        <vt:i4>0</vt:i4>
      </vt:variant>
      <vt:variant>
        <vt:i4>5</vt:i4>
      </vt:variant>
      <vt:variant>
        <vt:lpwstr>https://www.digital.nsw.gov.au/policy/data-information/making-data-open/nsw-open-data-policy</vt:lpwstr>
      </vt:variant>
      <vt:variant>
        <vt:lpwstr/>
      </vt:variant>
      <vt:variant>
        <vt:i4>65592</vt:i4>
      </vt:variant>
      <vt:variant>
        <vt:i4>1463</vt:i4>
      </vt:variant>
      <vt:variant>
        <vt:i4>0</vt:i4>
      </vt:variant>
      <vt:variant>
        <vt:i4>5</vt:i4>
      </vt:variant>
      <vt:variant>
        <vt:lpwstr/>
      </vt:variant>
      <vt:variant>
        <vt:lpwstr>_Privacy</vt:lpwstr>
      </vt:variant>
      <vt:variant>
        <vt:i4>3145782</vt:i4>
      </vt:variant>
      <vt:variant>
        <vt:i4>1460</vt:i4>
      </vt:variant>
      <vt:variant>
        <vt:i4>0</vt:i4>
      </vt:variant>
      <vt:variant>
        <vt:i4>5</vt:i4>
      </vt:variant>
      <vt:variant>
        <vt:lpwstr>https://www.digital.nsw.gov.au/sites/default/files/NSW Government Cyber Security Policy.pdf</vt:lpwstr>
      </vt:variant>
      <vt:variant>
        <vt:lpwstr/>
      </vt:variant>
      <vt:variant>
        <vt:i4>1114133</vt:i4>
      </vt:variant>
      <vt:variant>
        <vt:i4>1457</vt:i4>
      </vt:variant>
      <vt:variant>
        <vt:i4>0</vt:i4>
      </vt:variant>
      <vt:variant>
        <vt:i4>5</vt:i4>
      </vt:variant>
      <vt:variant>
        <vt:lpwstr>https://www.treasury.nsw.gov.au/information-public-entities/governance-risk-and-assurance/internal-audit-and-risk-management/risk</vt:lpwstr>
      </vt:variant>
      <vt:variant>
        <vt:lpwstr/>
      </vt:variant>
      <vt:variant>
        <vt:i4>6815857</vt:i4>
      </vt:variant>
      <vt:variant>
        <vt:i4>1454</vt:i4>
      </vt:variant>
      <vt:variant>
        <vt:i4>0</vt:i4>
      </vt:variant>
      <vt:variant>
        <vt:i4>5</vt:i4>
      </vt:variant>
      <vt:variant>
        <vt:lpwstr>https://aws.amazon.com/iot-device-defender/</vt:lpwstr>
      </vt:variant>
      <vt:variant>
        <vt:lpwstr/>
      </vt:variant>
      <vt:variant>
        <vt:i4>4784142</vt:i4>
      </vt:variant>
      <vt:variant>
        <vt:i4>1451</vt:i4>
      </vt:variant>
      <vt:variant>
        <vt:i4>0</vt:i4>
      </vt:variant>
      <vt:variant>
        <vt:i4>5</vt:i4>
      </vt:variant>
      <vt:variant>
        <vt:lpwstr>https://azure.microsoft.com/en-au/overview/iot/security/</vt:lpwstr>
      </vt:variant>
      <vt:variant>
        <vt:lpwstr/>
      </vt:variant>
      <vt:variant>
        <vt:i4>327709</vt:i4>
      </vt:variant>
      <vt:variant>
        <vt:i4>1448</vt:i4>
      </vt:variant>
      <vt:variant>
        <vt:i4>0</vt:i4>
      </vt:variant>
      <vt:variant>
        <vt:i4>5</vt:i4>
      </vt:variant>
      <vt:variant>
        <vt:lpwstr>http://www.iot.org.au/wp/wp-content/uploads/2016/12/IoT-Reference-Framework-v1.0.pdf</vt:lpwstr>
      </vt:variant>
      <vt:variant>
        <vt:lpwstr/>
      </vt:variant>
      <vt:variant>
        <vt:i4>7733352</vt:i4>
      </vt:variant>
      <vt:variant>
        <vt:i4>1445</vt:i4>
      </vt:variant>
      <vt:variant>
        <vt:i4>0</vt:i4>
      </vt:variant>
      <vt:variant>
        <vt:i4>5</vt:i4>
      </vt:variant>
      <vt:variant>
        <vt:lpwstr>https://www.homeaffairs.gov.au/reports-and-pubs/files/code-of-practice.pdf</vt:lpwstr>
      </vt:variant>
      <vt:variant>
        <vt:lpwstr/>
      </vt:variant>
      <vt:variant>
        <vt:i4>6750304</vt:i4>
      </vt:variant>
      <vt:variant>
        <vt:i4>1442</vt:i4>
      </vt:variant>
      <vt:variant>
        <vt:i4>0</vt:i4>
      </vt:variant>
      <vt:variant>
        <vt:i4>5</vt:i4>
      </vt:variant>
      <vt:variant>
        <vt:lpwstr>https://www.gsma.com/iot/iot-security/iot-security-guidelines/</vt:lpwstr>
      </vt:variant>
      <vt:variant>
        <vt:lpwstr/>
      </vt:variant>
      <vt:variant>
        <vt:i4>7143537</vt:i4>
      </vt:variant>
      <vt:variant>
        <vt:i4>1439</vt:i4>
      </vt:variant>
      <vt:variant>
        <vt:i4>0</vt:i4>
      </vt:variant>
      <vt:variant>
        <vt:i4>5</vt:i4>
      </vt:variant>
      <vt:variant>
        <vt:lpwstr>https://www.iot.org.au/wp/wp-content/uploads/2016/12/IoTAA-Security-Guideline-V1.2.pdf</vt:lpwstr>
      </vt:variant>
      <vt:variant>
        <vt:lpwstr/>
      </vt:variant>
      <vt:variant>
        <vt:i4>7995519</vt:i4>
      </vt:variant>
      <vt:variant>
        <vt:i4>1436</vt:i4>
      </vt:variant>
      <vt:variant>
        <vt:i4>0</vt:i4>
      </vt:variant>
      <vt:variant>
        <vt:i4>5</vt:i4>
      </vt:variant>
      <vt:variant>
        <vt:lpwstr>https://www.enisa.europa.eu/publications/baseline-security-recommendations-for-iot</vt:lpwstr>
      </vt:variant>
      <vt:variant>
        <vt:lpwstr/>
      </vt:variant>
      <vt:variant>
        <vt:i4>6357096</vt:i4>
      </vt:variant>
      <vt:variant>
        <vt:i4>1433</vt:i4>
      </vt:variant>
      <vt:variant>
        <vt:i4>0</vt:i4>
      </vt:variant>
      <vt:variant>
        <vt:i4>5</vt:i4>
      </vt:variant>
      <vt:variant>
        <vt:lpwstr>https://www.owasp.org/index.php/IoT_Security_Guidance</vt:lpwstr>
      </vt:variant>
      <vt:variant>
        <vt:lpwstr/>
      </vt:variant>
      <vt:variant>
        <vt:i4>2424944</vt:i4>
      </vt:variant>
      <vt:variant>
        <vt:i4>1430</vt:i4>
      </vt:variant>
      <vt:variant>
        <vt:i4>0</vt:i4>
      </vt:variant>
      <vt:variant>
        <vt:i4>5</vt:i4>
      </vt:variant>
      <vt:variant>
        <vt:lpwstr>https://www.iotsecurityfoundation.org/wp-content/uploads/2019/03/Best-Practice-Guides-Release-1.2.1.pdf</vt:lpwstr>
      </vt:variant>
      <vt:variant>
        <vt:lpwstr/>
      </vt:variant>
      <vt:variant>
        <vt:i4>2752616</vt:i4>
      </vt:variant>
      <vt:variant>
        <vt:i4>1427</vt:i4>
      </vt:variant>
      <vt:variant>
        <vt:i4>0</vt:i4>
      </vt:variant>
      <vt:variant>
        <vt:i4>5</vt:i4>
      </vt:variant>
      <vt:variant>
        <vt:lpwstr>https://www.iotsecurityfoundation.org/wp-content/uploads/2018/12/IoTSF-Compliance-Questionnaire-Release-2.0-December-2018.xlsx</vt:lpwstr>
      </vt:variant>
      <vt:variant>
        <vt:lpwstr/>
      </vt:variant>
      <vt:variant>
        <vt:i4>7209077</vt:i4>
      </vt:variant>
      <vt:variant>
        <vt:i4>1424</vt:i4>
      </vt:variant>
      <vt:variant>
        <vt:i4>0</vt:i4>
      </vt:variant>
      <vt:variant>
        <vt:i4>5</vt:i4>
      </vt:variant>
      <vt:variant>
        <vt:lpwstr>https://www.iotsecurityfoundation.org/iotsf-issues-update-to-popular-iot-security-compliance-framework/</vt:lpwstr>
      </vt:variant>
      <vt:variant>
        <vt:lpwstr/>
      </vt:variant>
      <vt:variant>
        <vt:i4>917536</vt:i4>
      </vt:variant>
      <vt:variant>
        <vt:i4>1421</vt:i4>
      </vt:variant>
      <vt:variant>
        <vt:i4>0</vt:i4>
      </vt:variant>
      <vt:variant>
        <vt:i4>5</vt:i4>
      </vt:variant>
      <vt:variant>
        <vt:lpwstr/>
      </vt:variant>
      <vt:variant>
        <vt:lpwstr>_Procuring_IoT_Solutions</vt:lpwstr>
      </vt:variant>
      <vt:variant>
        <vt:i4>655380</vt:i4>
      </vt:variant>
      <vt:variant>
        <vt:i4>1418</vt:i4>
      </vt:variant>
      <vt:variant>
        <vt:i4>0</vt:i4>
      </vt:variant>
      <vt:variant>
        <vt:i4>5</vt:i4>
      </vt:variant>
      <vt:variant>
        <vt:lpwstr>https://www.cyber.gov.au/sites/default/files/2019-05/22. ISM - Guidelines for Using Cryptography %28MAY19%29.pdf</vt:lpwstr>
      </vt:variant>
      <vt:variant>
        <vt:lpwstr/>
      </vt:variant>
      <vt:variant>
        <vt:i4>65592</vt:i4>
      </vt:variant>
      <vt:variant>
        <vt:i4>1415</vt:i4>
      </vt:variant>
      <vt:variant>
        <vt:i4>0</vt:i4>
      </vt:variant>
      <vt:variant>
        <vt:i4>5</vt:i4>
      </vt:variant>
      <vt:variant>
        <vt:lpwstr/>
      </vt:variant>
      <vt:variant>
        <vt:lpwstr>_Privacy</vt:lpwstr>
      </vt:variant>
      <vt:variant>
        <vt:i4>8192046</vt:i4>
      </vt:variant>
      <vt:variant>
        <vt:i4>1412</vt:i4>
      </vt:variant>
      <vt:variant>
        <vt:i4>0</vt:i4>
      </vt:variant>
      <vt:variant>
        <vt:i4>5</vt:i4>
      </vt:variant>
      <vt:variant>
        <vt:lpwstr>https://archive.homeaffairs.gov.au/nationalsecurity/Documents/cic-best-practice-guidance-supply-chains.pdf</vt:lpwstr>
      </vt:variant>
      <vt:variant>
        <vt:lpwstr/>
      </vt:variant>
      <vt:variant>
        <vt:i4>7274596</vt:i4>
      </vt:variant>
      <vt:variant>
        <vt:i4>1409</vt:i4>
      </vt:variant>
      <vt:variant>
        <vt:i4>0</vt:i4>
      </vt:variant>
      <vt:variant>
        <vt:i4>5</vt:i4>
      </vt:variant>
      <vt:variant>
        <vt:lpwstr>https://www.cyber.gov.au/acsc/view-all-content/publications/creating-strong-passphrases</vt:lpwstr>
      </vt:variant>
      <vt:variant>
        <vt:lpwstr/>
      </vt:variant>
      <vt:variant>
        <vt:i4>4849695</vt:i4>
      </vt:variant>
      <vt:variant>
        <vt:i4>1406</vt:i4>
      </vt:variant>
      <vt:variant>
        <vt:i4>0</vt:i4>
      </vt:variant>
      <vt:variant>
        <vt:i4>5</vt:i4>
      </vt:variant>
      <vt:variant>
        <vt:lpwstr>https://www.cyber.gov.au/ism</vt:lpwstr>
      </vt:variant>
      <vt:variant>
        <vt:lpwstr/>
      </vt:variant>
      <vt:variant>
        <vt:i4>6029392</vt:i4>
      </vt:variant>
      <vt:variant>
        <vt:i4>1403</vt:i4>
      </vt:variant>
      <vt:variant>
        <vt:i4>0</vt:i4>
      </vt:variant>
      <vt:variant>
        <vt:i4>5</vt:i4>
      </vt:variant>
      <vt:variant>
        <vt:lpwstr>https://www.owasp.org/index.php/OWASP_Internet_of_Things_Project</vt:lpwstr>
      </vt:variant>
      <vt:variant>
        <vt:lpwstr/>
      </vt:variant>
      <vt:variant>
        <vt:i4>7012454</vt:i4>
      </vt:variant>
      <vt:variant>
        <vt:i4>1400</vt:i4>
      </vt:variant>
      <vt:variant>
        <vt:i4>0</vt:i4>
      </vt:variant>
      <vt:variant>
        <vt:i4>5</vt:i4>
      </vt:variant>
      <vt:variant>
        <vt:lpwstr>https://arxiv.org/ftp/arxiv/papers/1601/1601.02752.pdf</vt:lpwstr>
      </vt:variant>
      <vt:variant>
        <vt:lpwstr/>
      </vt:variant>
      <vt:variant>
        <vt:i4>3735669</vt:i4>
      </vt:variant>
      <vt:variant>
        <vt:i4>1397</vt:i4>
      </vt:variant>
      <vt:variant>
        <vt:i4>0</vt:i4>
      </vt:variant>
      <vt:variant>
        <vt:i4>5</vt:i4>
      </vt:variant>
      <vt:variant>
        <vt:lpwstr>https://www.iso.org/isoiec-27001-information-security.html</vt:lpwstr>
      </vt:variant>
      <vt:variant>
        <vt:lpwstr/>
      </vt:variant>
      <vt:variant>
        <vt:i4>6488127</vt:i4>
      </vt:variant>
      <vt:variant>
        <vt:i4>1394</vt:i4>
      </vt:variant>
      <vt:variant>
        <vt:i4>0</vt:i4>
      </vt:variant>
      <vt:variant>
        <vt:i4>5</vt:i4>
      </vt:variant>
      <vt:variant>
        <vt:lpwstr>https://www.digital.nsw.gov.au/policy/cyber-security-policy/mandatory-requirements</vt:lpwstr>
      </vt:variant>
      <vt:variant>
        <vt:lpwstr/>
      </vt:variant>
      <vt:variant>
        <vt:i4>7340076</vt:i4>
      </vt:variant>
      <vt:variant>
        <vt:i4>1391</vt:i4>
      </vt:variant>
      <vt:variant>
        <vt:i4>0</vt:i4>
      </vt:variant>
      <vt:variant>
        <vt:i4>5</vt:i4>
      </vt:variant>
      <vt:variant>
        <vt:lpwstr>https://www.digital.nsw.gov.au/policy/cyber-security-policy</vt:lpwstr>
      </vt:variant>
      <vt:variant>
        <vt:lpwstr/>
      </vt:variant>
      <vt:variant>
        <vt:i4>1638487</vt:i4>
      </vt:variant>
      <vt:variant>
        <vt:i4>1388</vt:i4>
      </vt:variant>
      <vt:variant>
        <vt:i4>0</vt:i4>
      </vt:variant>
      <vt:variant>
        <vt:i4>5</vt:i4>
      </vt:variant>
      <vt:variant>
        <vt:lpwstr>https://www.oaic.gov.au/privacy/guidance-and-advice/</vt:lpwstr>
      </vt:variant>
      <vt:variant>
        <vt:lpwstr/>
      </vt:variant>
      <vt:variant>
        <vt:i4>8192049</vt:i4>
      </vt:variant>
      <vt:variant>
        <vt:i4>1385</vt:i4>
      </vt:variant>
      <vt:variant>
        <vt:i4>0</vt:i4>
      </vt:variant>
      <vt:variant>
        <vt:i4>5</vt:i4>
      </vt:variant>
      <vt:variant>
        <vt:lpwstr>https://www.ipc.nsw.gov.au/privacy/nsw-privacy-laws</vt:lpwstr>
      </vt:variant>
      <vt:variant>
        <vt:lpwstr/>
      </vt:variant>
      <vt:variant>
        <vt:i4>4915227</vt:i4>
      </vt:variant>
      <vt:variant>
        <vt:i4>1382</vt:i4>
      </vt:variant>
      <vt:variant>
        <vt:i4>0</vt:i4>
      </vt:variant>
      <vt:variant>
        <vt:i4>5</vt:i4>
      </vt:variant>
      <vt:variant>
        <vt:lpwstr>https://www.oaic.gov.au/privacy/guidance-and-advice/data-breach-preparation-and-response</vt:lpwstr>
      </vt:variant>
      <vt:variant>
        <vt:lpwstr/>
      </vt:variant>
      <vt:variant>
        <vt:i4>5242971</vt:i4>
      </vt:variant>
      <vt:variant>
        <vt:i4>1379</vt:i4>
      </vt:variant>
      <vt:variant>
        <vt:i4>0</vt:i4>
      </vt:variant>
      <vt:variant>
        <vt:i4>5</vt:i4>
      </vt:variant>
      <vt:variant>
        <vt:lpwstr>https://www.ipc.nsw.gov.au/privacy/voluntary-data-breach-notification</vt:lpwstr>
      </vt:variant>
      <vt:variant>
        <vt:lpwstr/>
      </vt:variant>
      <vt:variant>
        <vt:i4>4653136</vt:i4>
      </vt:variant>
      <vt:variant>
        <vt:i4>1376</vt:i4>
      </vt:variant>
      <vt:variant>
        <vt:i4>0</vt:i4>
      </vt:variant>
      <vt:variant>
        <vt:i4>5</vt:i4>
      </vt:variant>
      <vt:variant>
        <vt:lpwstr>https://www.legislation.nsw.gov.au/view/html/inforce/current/act-2009-052</vt:lpwstr>
      </vt:variant>
      <vt:variant>
        <vt:lpwstr/>
      </vt:variant>
      <vt:variant>
        <vt:i4>7798902</vt:i4>
      </vt:variant>
      <vt:variant>
        <vt:i4>1373</vt:i4>
      </vt:variant>
      <vt:variant>
        <vt:i4>0</vt:i4>
      </vt:variant>
      <vt:variant>
        <vt:i4>5</vt:i4>
      </vt:variant>
      <vt:variant>
        <vt:lpwstr>https://www.ipc.nsw.gov.au/information-governance-agency-self-assessment-tools-privacy</vt:lpwstr>
      </vt:variant>
      <vt:variant>
        <vt:lpwstr/>
      </vt:variant>
      <vt:variant>
        <vt:i4>6881286</vt:i4>
      </vt:variant>
      <vt:variant>
        <vt:i4>1370</vt:i4>
      </vt:variant>
      <vt:variant>
        <vt:i4>0</vt:i4>
      </vt:variant>
      <vt:variant>
        <vt:i4>5</vt:i4>
      </vt:variant>
      <vt:variant>
        <vt:lpwstr>https://www.ipc.nsw.gov.au/sites/default/files/file_manager/2016.12.13_Privacy_Impact_Assessment_Guide.pdf</vt:lpwstr>
      </vt:variant>
      <vt:variant>
        <vt:lpwstr/>
      </vt:variant>
      <vt:variant>
        <vt:i4>1769531</vt:i4>
      </vt:variant>
      <vt:variant>
        <vt:i4>1367</vt:i4>
      </vt:variant>
      <vt:variant>
        <vt:i4>0</vt:i4>
      </vt:variant>
      <vt:variant>
        <vt:i4>5</vt:i4>
      </vt:variant>
      <vt:variant>
        <vt:lpwstr/>
      </vt:variant>
      <vt:variant>
        <vt:lpwstr>_Toc14795485</vt:lpwstr>
      </vt:variant>
      <vt:variant>
        <vt:i4>655447</vt:i4>
      </vt:variant>
      <vt:variant>
        <vt:i4>1364</vt:i4>
      </vt:variant>
      <vt:variant>
        <vt:i4>0</vt:i4>
      </vt:variant>
      <vt:variant>
        <vt:i4>5</vt:i4>
      </vt:variant>
      <vt:variant>
        <vt:lpwstr/>
      </vt:variant>
      <vt:variant>
        <vt:lpwstr>_Data_considerations_for_3</vt:lpwstr>
      </vt:variant>
      <vt:variant>
        <vt:i4>5505050</vt:i4>
      </vt:variant>
      <vt:variant>
        <vt:i4>1361</vt:i4>
      </vt:variant>
      <vt:variant>
        <vt:i4>0</vt:i4>
      </vt:variant>
      <vt:variant>
        <vt:i4>5</vt:i4>
      </vt:variant>
      <vt:variant>
        <vt:lpwstr/>
      </vt:variant>
      <vt:variant>
        <vt:lpwstr>_Data_needs_assessment_1</vt:lpwstr>
      </vt:variant>
      <vt:variant>
        <vt:i4>6357026</vt:i4>
      </vt:variant>
      <vt:variant>
        <vt:i4>1358</vt:i4>
      </vt:variant>
      <vt:variant>
        <vt:i4>0</vt:i4>
      </vt:variant>
      <vt:variant>
        <vt:i4>5</vt:i4>
      </vt:variant>
      <vt:variant>
        <vt:lpwstr/>
      </vt:variant>
      <vt:variant>
        <vt:lpwstr>_Privacy_Impact_Assessment_1</vt:lpwstr>
      </vt:variant>
      <vt:variant>
        <vt:i4>7798820</vt:i4>
      </vt:variant>
      <vt:variant>
        <vt:i4>1355</vt:i4>
      </vt:variant>
      <vt:variant>
        <vt:i4>0</vt:i4>
      </vt:variant>
      <vt:variant>
        <vt:i4>5</vt:i4>
      </vt:variant>
      <vt:variant>
        <vt:lpwstr>https://www.ipc.on.ca/wp-content/uploads/resources/7foundationalprinciples.pdf</vt:lpwstr>
      </vt:variant>
      <vt:variant>
        <vt:lpwstr/>
      </vt:variant>
      <vt:variant>
        <vt:i4>1441844</vt:i4>
      </vt:variant>
      <vt:variant>
        <vt:i4>1352</vt:i4>
      </vt:variant>
      <vt:variant>
        <vt:i4>0</vt:i4>
      </vt:variant>
      <vt:variant>
        <vt:i4>5</vt:i4>
      </vt:variant>
      <vt:variant>
        <vt:lpwstr/>
      </vt:variant>
      <vt:variant>
        <vt:lpwstr>_Appendix_B_-</vt:lpwstr>
      </vt:variant>
      <vt:variant>
        <vt:i4>983106</vt:i4>
      </vt:variant>
      <vt:variant>
        <vt:i4>1349</vt:i4>
      </vt:variant>
      <vt:variant>
        <vt:i4>0</vt:i4>
      </vt:variant>
      <vt:variant>
        <vt:i4>5</vt:i4>
      </vt:variant>
      <vt:variant>
        <vt:lpwstr>https://www.data61.csiro.au/en/Our-Work/Safety-and-Security/Privacy-Preservation/De-identification-Decision-Making-Framework</vt:lpwstr>
      </vt:variant>
      <vt:variant>
        <vt:lpwstr/>
      </vt:variant>
      <vt:variant>
        <vt:i4>1114138</vt:i4>
      </vt:variant>
      <vt:variant>
        <vt:i4>1346</vt:i4>
      </vt:variant>
      <vt:variant>
        <vt:i4>0</vt:i4>
      </vt:variant>
      <vt:variant>
        <vt:i4>5</vt:i4>
      </vt:variant>
      <vt:variant>
        <vt:lpwstr>https://www.ipc.nsw.gov.au/sites/default/files/2019-03/Fact_Sheet_Reasonably_ascertainable_identity_August_2017.pdf</vt:lpwstr>
      </vt:variant>
      <vt:variant>
        <vt:lpwstr/>
      </vt:variant>
      <vt:variant>
        <vt:i4>95</vt:i4>
      </vt:variant>
      <vt:variant>
        <vt:i4>1343</vt:i4>
      </vt:variant>
      <vt:variant>
        <vt:i4>0</vt:i4>
      </vt:variant>
      <vt:variant>
        <vt:i4>5</vt:i4>
      </vt:variant>
      <vt:variant>
        <vt:lpwstr>https://www.ipc.nsw.gov.au/fact-sheet-nsw-public-sector-agencies-and-gdpr</vt:lpwstr>
      </vt:variant>
      <vt:variant>
        <vt:lpwstr/>
      </vt:variant>
      <vt:variant>
        <vt:i4>3473461</vt:i4>
      </vt:variant>
      <vt:variant>
        <vt:i4>1340</vt:i4>
      </vt:variant>
      <vt:variant>
        <vt:i4>0</vt:i4>
      </vt:variant>
      <vt:variant>
        <vt:i4>5</vt:i4>
      </vt:variant>
      <vt:variant>
        <vt:lpwstr>https://www.oaic.gov.au/agencies-and-organisations/business-resources/privacy-business-resource-21-australian-businesses-and-the-eu-general-data-protection-regulation</vt:lpwstr>
      </vt:variant>
      <vt:variant>
        <vt:lpwstr/>
      </vt:variant>
      <vt:variant>
        <vt:i4>7929895</vt:i4>
      </vt:variant>
      <vt:variant>
        <vt:i4>1337</vt:i4>
      </vt:variant>
      <vt:variant>
        <vt:i4>0</vt:i4>
      </vt:variant>
      <vt:variant>
        <vt:i4>5</vt:i4>
      </vt:variant>
      <vt:variant>
        <vt:lpwstr>https://www.legislation.gov.au/Details/C2019C00010</vt:lpwstr>
      </vt:variant>
      <vt:variant>
        <vt:lpwstr/>
      </vt:variant>
      <vt:variant>
        <vt:i4>196611</vt:i4>
      </vt:variant>
      <vt:variant>
        <vt:i4>1334</vt:i4>
      </vt:variant>
      <vt:variant>
        <vt:i4>0</vt:i4>
      </vt:variant>
      <vt:variant>
        <vt:i4>5</vt:i4>
      </vt:variant>
      <vt:variant>
        <vt:lpwstr>https://www.legislation.nsw.gov.au/</vt:lpwstr>
      </vt:variant>
      <vt:variant>
        <vt:lpwstr>/view/act/2005/47/full</vt:lpwstr>
      </vt:variant>
      <vt:variant>
        <vt:i4>5898240</vt:i4>
      </vt:variant>
      <vt:variant>
        <vt:i4>1331</vt:i4>
      </vt:variant>
      <vt:variant>
        <vt:i4>0</vt:i4>
      </vt:variant>
      <vt:variant>
        <vt:i4>5</vt:i4>
      </vt:variant>
      <vt:variant>
        <vt:lpwstr>https://legislation.nsw.gov.au/</vt:lpwstr>
      </vt:variant>
      <vt:variant>
        <vt:lpwstr>/view/act/2007/64/full</vt:lpwstr>
      </vt:variant>
      <vt:variant>
        <vt:i4>5046339</vt:i4>
      </vt:variant>
      <vt:variant>
        <vt:i4>1328</vt:i4>
      </vt:variant>
      <vt:variant>
        <vt:i4>0</vt:i4>
      </vt:variant>
      <vt:variant>
        <vt:i4>5</vt:i4>
      </vt:variant>
      <vt:variant>
        <vt:lpwstr>https://www.oaic.gov.au/privacy/australian-privacy-principles/australian-privacy-principles-quick-reference/</vt:lpwstr>
      </vt:variant>
      <vt:variant>
        <vt:lpwstr/>
      </vt:variant>
      <vt:variant>
        <vt:i4>8126500</vt:i4>
      </vt:variant>
      <vt:variant>
        <vt:i4>1325</vt:i4>
      </vt:variant>
      <vt:variant>
        <vt:i4>0</vt:i4>
      </vt:variant>
      <vt:variant>
        <vt:i4>5</vt:i4>
      </vt:variant>
      <vt:variant>
        <vt:lpwstr>https://www.legislation.gov.au/Details/C2019C00025</vt:lpwstr>
      </vt:variant>
      <vt:variant>
        <vt:lpwstr/>
      </vt:variant>
      <vt:variant>
        <vt:i4>2949182</vt:i4>
      </vt:variant>
      <vt:variant>
        <vt:i4>1322</vt:i4>
      </vt:variant>
      <vt:variant>
        <vt:i4>0</vt:i4>
      </vt:variant>
      <vt:variant>
        <vt:i4>5</vt:i4>
      </vt:variant>
      <vt:variant>
        <vt:lpwstr>https://www.ipc.nsw.gov.au/health-privacy-principles-hpps-explained-members-public</vt:lpwstr>
      </vt:variant>
      <vt:variant>
        <vt:lpwstr/>
      </vt:variant>
      <vt:variant>
        <vt:i4>6619255</vt:i4>
      </vt:variant>
      <vt:variant>
        <vt:i4>1319</vt:i4>
      </vt:variant>
      <vt:variant>
        <vt:i4>0</vt:i4>
      </vt:variant>
      <vt:variant>
        <vt:i4>5</vt:i4>
      </vt:variant>
      <vt:variant>
        <vt:lpwstr>https://www.ipc.nsw.gov.au/information-protection-principles-ipps-agencies</vt:lpwstr>
      </vt:variant>
      <vt:variant>
        <vt:lpwstr/>
      </vt:variant>
      <vt:variant>
        <vt:i4>2359415</vt:i4>
      </vt:variant>
      <vt:variant>
        <vt:i4>1316</vt:i4>
      </vt:variant>
      <vt:variant>
        <vt:i4>0</vt:i4>
      </vt:variant>
      <vt:variant>
        <vt:i4>5</vt:i4>
      </vt:variant>
      <vt:variant>
        <vt:lpwstr>https://www.legislation.nsw.gov.au/</vt:lpwstr>
      </vt:variant>
      <vt:variant>
        <vt:lpwstr>/view/act/1998/133/part1/sec4</vt:lpwstr>
      </vt:variant>
      <vt:variant>
        <vt:i4>3211326</vt:i4>
      </vt:variant>
      <vt:variant>
        <vt:i4>1313</vt:i4>
      </vt:variant>
      <vt:variant>
        <vt:i4>0</vt:i4>
      </vt:variant>
      <vt:variant>
        <vt:i4>5</vt:i4>
      </vt:variant>
      <vt:variant>
        <vt:lpwstr>https://www.legislation.nsw.gov.au/</vt:lpwstr>
      </vt:variant>
      <vt:variant>
        <vt:lpwstr>/view/act/2002/71</vt:lpwstr>
      </vt:variant>
      <vt:variant>
        <vt:i4>458759</vt:i4>
      </vt:variant>
      <vt:variant>
        <vt:i4>1310</vt:i4>
      </vt:variant>
      <vt:variant>
        <vt:i4>0</vt:i4>
      </vt:variant>
      <vt:variant>
        <vt:i4>5</vt:i4>
      </vt:variant>
      <vt:variant>
        <vt:lpwstr>https://www.legislation.nsw.gov.au/</vt:lpwstr>
      </vt:variant>
      <vt:variant>
        <vt:lpwstr>/view/act/1998/133</vt:lpwstr>
      </vt:variant>
      <vt:variant>
        <vt:i4>1114133</vt:i4>
      </vt:variant>
      <vt:variant>
        <vt:i4>1307</vt:i4>
      </vt:variant>
      <vt:variant>
        <vt:i4>0</vt:i4>
      </vt:variant>
      <vt:variant>
        <vt:i4>5</vt:i4>
      </vt:variant>
      <vt:variant>
        <vt:lpwstr>https://www.treasury.nsw.gov.au/information-public-entities/governance-risk-and-assurance/internal-audit-and-risk-management/risk</vt:lpwstr>
      </vt:variant>
      <vt:variant>
        <vt:lpwstr/>
      </vt:variant>
      <vt:variant>
        <vt:i4>1441847</vt:i4>
      </vt:variant>
      <vt:variant>
        <vt:i4>1304</vt:i4>
      </vt:variant>
      <vt:variant>
        <vt:i4>0</vt:i4>
      </vt:variant>
      <vt:variant>
        <vt:i4>5</vt:i4>
      </vt:variant>
      <vt:variant>
        <vt:lpwstr/>
      </vt:variant>
      <vt:variant>
        <vt:lpwstr>_Appendix_A_–</vt:lpwstr>
      </vt:variant>
      <vt:variant>
        <vt:i4>4784129</vt:i4>
      </vt:variant>
      <vt:variant>
        <vt:i4>1301</vt:i4>
      </vt:variant>
      <vt:variant>
        <vt:i4>0</vt:i4>
      </vt:variant>
      <vt:variant>
        <vt:i4>5</vt:i4>
      </vt:variant>
      <vt:variant>
        <vt:lpwstr/>
      </vt:variant>
      <vt:variant>
        <vt:lpwstr>_Risks_and_obligations_2</vt:lpwstr>
      </vt:variant>
      <vt:variant>
        <vt:i4>1441847</vt:i4>
      </vt:variant>
      <vt:variant>
        <vt:i4>1298</vt:i4>
      </vt:variant>
      <vt:variant>
        <vt:i4>0</vt:i4>
      </vt:variant>
      <vt:variant>
        <vt:i4>5</vt:i4>
      </vt:variant>
      <vt:variant>
        <vt:lpwstr/>
      </vt:variant>
      <vt:variant>
        <vt:lpwstr>_Appendix_A_–</vt:lpwstr>
      </vt:variant>
      <vt:variant>
        <vt:i4>1114133</vt:i4>
      </vt:variant>
      <vt:variant>
        <vt:i4>1295</vt:i4>
      </vt:variant>
      <vt:variant>
        <vt:i4>0</vt:i4>
      </vt:variant>
      <vt:variant>
        <vt:i4>5</vt:i4>
      </vt:variant>
      <vt:variant>
        <vt:lpwstr>https://www.treasury.nsw.gov.au/information-public-entities/governance-risk-and-assurance/internal-audit-and-risk-management/risk</vt:lpwstr>
      </vt:variant>
      <vt:variant>
        <vt:lpwstr/>
      </vt:variant>
      <vt:variant>
        <vt:i4>1441847</vt:i4>
      </vt:variant>
      <vt:variant>
        <vt:i4>1292</vt:i4>
      </vt:variant>
      <vt:variant>
        <vt:i4>0</vt:i4>
      </vt:variant>
      <vt:variant>
        <vt:i4>5</vt:i4>
      </vt:variant>
      <vt:variant>
        <vt:lpwstr/>
      </vt:variant>
      <vt:variant>
        <vt:lpwstr>_Appendix_A_–</vt:lpwstr>
      </vt:variant>
      <vt:variant>
        <vt:i4>1114133</vt:i4>
      </vt:variant>
      <vt:variant>
        <vt:i4>1289</vt:i4>
      </vt:variant>
      <vt:variant>
        <vt:i4>0</vt:i4>
      </vt:variant>
      <vt:variant>
        <vt:i4>5</vt:i4>
      </vt:variant>
      <vt:variant>
        <vt:lpwstr>https://www.treasury.nsw.gov.au/information-public-entities/governance-risk-and-assurance/internal-audit-and-risk-management/risk</vt:lpwstr>
      </vt:variant>
      <vt:variant>
        <vt:lpwstr/>
      </vt:variant>
      <vt:variant>
        <vt:i4>4784129</vt:i4>
      </vt:variant>
      <vt:variant>
        <vt:i4>1285</vt:i4>
      </vt:variant>
      <vt:variant>
        <vt:i4>0</vt:i4>
      </vt:variant>
      <vt:variant>
        <vt:i4>5</vt:i4>
      </vt:variant>
      <vt:variant>
        <vt:lpwstr/>
      </vt:variant>
      <vt:variant>
        <vt:lpwstr>_Risks_and_obligations_2</vt:lpwstr>
      </vt:variant>
      <vt:variant>
        <vt:i4>4784129</vt:i4>
      </vt:variant>
      <vt:variant>
        <vt:i4>1283</vt:i4>
      </vt:variant>
      <vt:variant>
        <vt:i4>0</vt:i4>
      </vt:variant>
      <vt:variant>
        <vt:i4>5</vt:i4>
      </vt:variant>
      <vt:variant>
        <vt:lpwstr/>
      </vt:variant>
      <vt:variant>
        <vt:lpwstr>_Risks_and_obligations_2</vt:lpwstr>
      </vt:variant>
      <vt:variant>
        <vt:i4>1441847</vt:i4>
      </vt:variant>
      <vt:variant>
        <vt:i4>1280</vt:i4>
      </vt:variant>
      <vt:variant>
        <vt:i4>0</vt:i4>
      </vt:variant>
      <vt:variant>
        <vt:i4>5</vt:i4>
      </vt:variant>
      <vt:variant>
        <vt:lpwstr/>
      </vt:variant>
      <vt:variant>
        <vt:lpwstr>_Appendix_A_–</vt:lpwstr>
      </vt:variant>
      <vt:variant>
        <vt:i4>1114133</vt:i4>
      </vt:variant>
      <vt:variant>
        <vt:i4>1277</vt:i4>
      </vt:variant>
      <vt:variant>
        <vt:i4>0</vt:i4>
      </vt:variant>
      <vt:variant>
        <vt:i4>5</vt:i4>
      </vt:variant>
      <vt:variant>
        <vt:lpwstr>https://www.treasury.nsw.gov.au/information-public-entities/governance-risk-and-assurance/internal-audit-and-risk-management/risk</vt:lpwstr>
      </vt:variant>
      <vt:variant>
        <vt:lpwstr/>
      </vt:variant>
      <vt:variant>
        <vt:i4>327690</vt:i4>
      </vt:variant>
      <vt:variant>
        <vt:i4>1274</vt:i4>
      </vt:variant>
      <vt:variant>
        <vt:i4>0</vt:i4>
      </vt:variant>
      <vt:variant>
        <vt:i4>5</vt:i4>
      </vt:variant>
      <vt:variant>
        <vt:lpwstr>https://www.legislation.nsw.gov.au/</vt:lpwstr>
      </vt:variant>
      <vt:variant>
        <vt:lpwstr>/view/act/1979/203</vt:lpwstr>
      </vt:variant>
      <vt:variant>
        <vt:i4>6291519</vt:i4>
      </vt:variant>
      <vt:variant>
        <vt:i4>1271</vt:i4>
      </vt:variant>
      <vt:variant>
        <vt:i4>0</vt:i4>
      </vt:variant>
      <vt:variant>
        <vt:i4>5</vt:i4>
      </vt:variant>
      <vt:variant>
        <vt:lpwstr>https://legislation.nsw.gov.au/</vt:lpwstr>
      </vt:variant>
      <vt:variant>
        <vt:lpwstr>/view/act/2018/55</vt:lpwstr>
      </vt:variant>
      <vt:variant>
        <vt:i4>917527</vt:i4>
      </vt:variant>
      <vt:variant>
        <vt:i4>1268</vt:i4>
      </vt:variant>
      <vt:variant>
        <vt:i4>0</vt:i4>
      </vt:variant>
      <vt:variant>
        <vt:i4>5</vt:i4>
      </vt:variant>
      <vt:variant>
        <vt:lpwstr>https://www.safework.nsw.gov.au/</vt:lpwstr>
      </vt:variant>
      <vt:variant>
        <vt:lpwstr/>
      </vt:variant>
      <vt:variant>
        <vt:i4>7798834</vt:i4>
      </vt:variant>
      <vt:variant>
        <vt:i4>1265</vt:i4>
      </vt:variant>
      <vt:variant>
        <vt:i4>0</vt:i4>
      </vt:variant>
      <vt:variant>
        <vt:i4>5</vt:i4>
      </vt:variant>
      <vt:variant>
        <vt:lpwstr>https://www.safework.nsw.gov.au/resource-library/list-of-all-codes-of-practice</vt:lpwstr>
      </vt:variant>
      <vt:variant>
        <vt:lpwstr/>
      </vt:variant>
      <vt:variant>
        <vt:i4>7798834</vt:i4>
      </vt:variant>
      <vt:variant>
        <vt:i4>1262</vt:i4>
      </vt:variant>
      <vt:variant>
        <vt:i4>0</vt:i4>
      </vt:variant>
      <vt:variant>
        <vt:i4>5</vt:i4>
      </vt:variant>
      <vt:variant>
        <vt:lpwstr>https://www.safework.nsw.gov.au/resource-library/list-of-all-codes-of-practice</vt:lpwstr>
      </vt:variant>
      <vt:variant>
        <vt:lpwstr/>
      </vt:variant>
      <vt:variant>
        <vt:i4>1966131</vt:i4>
      </vt:variant>
      <vt:variant>
        <vt:i4>1259</vt:i4>
      </vt:variant>
      <vt:variant>
        <vt:i4>0</vt:i4>
      </vt:variant>
      <vt:variant>
        <vt:i4>5</vt:i4>
      </vt:variant>
      <vt:variant>
        <vt:lpwstr/>
      </vt:variant>
      <vt:variant>
        <vt:lpwstr>_Toc14690044</vt:lpwstr>
      </vt:variant>
      <vt:variant>
        <vt:i4>1441847</vt:i4>
      </vt:variant>
      <vt:variant>
        <vt:i4>1256</vt:i4>
      </vt:variant>
      <vt:variant>
        <vt:i4>0</vt:i4>
      </vt:variant>
      <vt:variant>
        <vt:i4>5</vt:i4>
      </vt:variant>
      <vt:variant>
        <vt:lpwstr/>
      </vt:variant>
      <vt:variant>
        <vt:lpwstr>_Appendix_A_–</vt:lpwstr>
      </vt:variant>
      <vt:variant>
        <vt:i4>1114133</vt:i4>
      </vt:variant>
      <vt:variant>
        <vt:i4>1253</vt:i4>
      </vt:variant>
      <vt:variant>
        <vt:i4>0</vt:i4>
      </vt:variant>
      <vt:variant>
        <vt:i4>5</vt:i4>
      </vt:variant>
      <vt:variant>
        <vt:lpwstr>https://www.treasury.nsw.gov.au/information-public-entities/governance-risk-and-assurance/internal-audit-and-risk-management/risk</vt:lpwstr>
      </vt:variant>
      <vt:variant>
        <vt:lpwstr/>
      </vt:variant>
      <vt:variant>
        <vt:i4>7929982</vt:i4>
      </vt:variant>
      <vt:variant>
        <vt:i4>1250</vt:i4>
      </vt:variant>
      <vt:variant>
        <vt:i4>0</vt:i4>
      </vt:variant>
      <vt:variant>
        <vt:i4>5</vt:i4>
      </vt:variant>
      <vt:variant>
        <vt:lpwstr>https://www.procurepoint.nsw.gov.au/system/files/documents/guidelines_risk_management.pdf</vt:lpwstr>
      </vt:variant>
      <vt:variant>
        <vt:lpwstr/>
      </vt:variant>
      <vt:variant>
        <vt:i4>65592</vt:i4>
      </vt:variant>
      <vt:variant>
        <vt:i4>1247</vt:i4>
      </vt:variant>
      <vt:variant>
        <vt:i4>0</vt:i4>
      </vt:variant>
      <vt:variant>
        <vt:i4>5</vt:i4>
      </vt:variant>
      <vt:variant>
        <vt:lpwstr/>
      </vt:variant>
      <vt:variant>
        <vt:lpwstr>_Privacy</vt:lpwstr>
      </vt:variant>
      <vt:variant>
        <vt:i4>3801116</vt:i4>
      </vt:variant>
      <vt:variant>
        <vt:i4>1244</vt:i4>
      </vt:variant>
      <vt:variant>
        <vt:i4>0</vt:i4>
      </vt:variant>
      <vt:variant>
        <vt:i4>5</vt:i4>
      </vt:variant>
      <vt:variant>
        <vt:lpwstr/>
      </vt:variant>
      <vt:variant>
        <vt:lpwstr>_Cyber_Security_1</vt:lpwstr>
      </vt:variant>
      <vt:variant>
        <vt:i4>3145848</vt:i4>
      </vt:variant>
      <vt:variant>
        <vt:i4>1241</vt:i4>
      </vt:variant>
      <vt:variant>
        <vt:i4>0</vt:i4>
      </vt:variant>
      <vt:variant>
        <vt:i4>5</vt:i4>
      </vt:variant>
      <vt:variant>
        <vt:lpwstr>https://www.ipc.nsw.gov.au/privacy/privacy-resources-public-sector-agencies/privacy-impact-assessment-ipc-gipa-tool</vt:lpwstr>
      </vt:variant>
      <vt:variant>
        <vt:lpwstr/>
      </vt:variant>
      <vt:variant>
        <vt:i4>1441847</vt:i4>
      </vt:variant>
      <vt:variant>
        <vt:i4>1238</vt:i4>
      </vt:variant>
      <vt:variant>
        <vt:i4>0</vt:i4>
      </vt:variant>
      <vt:variant>
        <vt:i4>5</vt:i4>
      </vt:variant>
      <vt:variant>
        <vt:lpwstr/>
      </vt:variant>
      <vt:variant>
        <vt:lpwstr>_Appendix_A_–</vt:lpwstr>
      </vt:variant>
      <vt:variant>
        <vt:i4>1114133</vt:i4>
      </vt:variant>
      <vt:variant>
        <vt:i4>1235</vt:i4>
      </vt:variant>
      <vt:variant>
        <vt:i4>0</vt:i4>
      </vt:variant>
      <vt:variant>
        <vt:i4>5</vt:i4>
      </vt:variant>
      <vt:variant>
        <vt:lpwstr>https://www.treasury.nsw.gov.au/information-public-entities/governance-risk-and-assurance/internal-audit-and-risk-management/risk</vt:lpwstr>
      </vt:variant>
      <vt:variant>
        <vt:lpwstr/>
      </vt:variant>
      <vt:variant>
        <vt:i4>3604543</vt:i4>
      </vt:variant>
      <vt:variant>
        <vt:i4>1232</vt:i4>
      </vt:variant>
      <vt:variant>
        <vt:i4>0</vt:i4>
      </vt:variant>
      <vt:variant>
        <vt:i4>5</vt:i4>
      </vt:variant>
      <vt:variant>
        <vt:lpwstr>https://www.legislation.nsw.gov.au/</vt:lpwstr>
      </vt:variant>
      <vt:variant>
        <vt:lpwstr>/view/act/2015/60</vt:lpwstr>
      </vt:variant>
      <vt:variant>
        <vt:i4>89</vt:i4>
      </vt:variant>
      <vt:variant>
        <vt:i4>1229</vt:i4>
      </vt:variant>
      <vt:variant>
        <vt:i4>0</vt:i4>
      </vt:variant>
      <vt:variant>
        <vt:i4>5</vt:i4>
      </vt:variant>
      <vt:variant>
        <vt:lpwstr>https://www.digital.nsw.gov.au/sites/default/files/NSW Data and Information Custodianship Policy v1-0.pdf</vt:lpwstr>
      </vt:variant>
      <vt:variant>
        <vt:lpwstr/>
      </vt:variant>
      <vt:variant>
        <vt:i4>3670118</vt:i4>
      </vt:variant>
      <vt:variant>
        <vt:i4>1226</vt:i4>
      </vt:variant>
      <vt:variant>
        <vt:i4>0</vt:i4>
      </vt:variant>
      <vt:variant>
        <vt:i4>5</vt:i4>
      </vt:variant>
      <vt:variant>
        <vt:lpwstr>https://www.digital.nsw.gov.au/policy/cyber-security/cyber-security-policy</vt:lpwstr>
      </vt:variant>
      <vt:variant>
        <vt:lpwstr/>
      </vt:variant>
      <vt:variant>
        <vt:i4>4522066</vt:i4>
      </vt:variant>
      <vt:variant>
        <vt:i4>1223</vt:i4>
      </vt:variant>
      <vt:variant>
        <vt:i4>0</vt:i4>
      </vt:variant>
      <vt:variant>
        <vt:i4>5</vt:i4>
      </vt:variant>
      <vt:variant>
        <vt:lpwstr>https://www.digital.nsw.gov.au/sites/default/files/Cloud Policy %28for publication%29- April 2018.pdf</vt:lpwstr>
      </vt:variant>
      <vt:variant>
        <vt:lpwstr/>
      </vt:variant>
      <vt:variant>
        <vt:i4>1966131</vt:i4>
      </vt:variant>
      <vt:variant>
        <vt:i4>1220</vt:i4>
      </vt:variant>
      <vt:variant>
        <vt:i4>0</vt:i4>
      </vt:variant>
      <vt:variant>
        <vt:i4>5</vt:i4>
      </vt:variant>
      <vt:variant>
        <vt:lpwstr/>
      </vt:variant>
      <vt:variant>
        <vt:lpwstr>_Toc14690044</vt:lpwstr>
      </vt:variant>
      <vt:variant>
        <vt:i4>1441847</vt:i4>
      </vt:variant>
      <vt:variant>
        <vt:i4>1217</vt:i4>
      </vt:variant>
      <vt:variant>
        <vt:i4>0</vt:i4>
      </vt:variant>
      <vt:variant>
        <vt:i4>5</vt:i4>
      </vt:variant>
      <vt:variant>
        <vt:lpwstr/>
      </vt:variant>
      <vt:variant>
        <vt:lpwstr>_Appendix_A_–</vt:lpwstr>
      </vt:variant>
      <vt:variant>
        <vt:i4>1114133</vt:i4>
      </vt:variant>
      <vt:variant>
        <vt:i4>1214</vt:i4>
      </vt:variant>
      <vt:variant>
        <vt:i4>0</vt:i4>
      </vt:variant>
      <vt:variant>
        <vt:i4>5</vt:i4>
      </vt:variant>
      <vt:variant>
        <vt:lpwstr>https://www.treasury.nsw.gov.au/information-public-entities/governance-risk-and-assurance/internal-audit-and-risk-management/risk</vt:lpwstr>
      </vt:variant>
      <vt:variant>
        <vt:lpwstr/>
      </vt:variant>
      <vt:variant>
        <vt:i4>7929982</vt:i4>
      </vt:variant>
      <vt:variant>
        <vt:i4>1211</vt:i4>
      </vt:variant>
      <vt:variant>
        <vt:i4>0</vt:i4>
      </vt:variant>
      <vt:variant>
        <vt:i4>5</vt:i4>
      </vt:variant>
      <vt:variant>
        <vt:lpwstr>https://www.procurepoint.nsw.gov.au/system/files/documents/guidelines_risk_management.pdf</vt:lpwstr>
      </vt:variant>
      <vt:variant>
        <vt:lpwstr/>
      </vt:variant>
      <vt:variant>
        <vt:i4>3145831</vt:i4>
      </vt:variant>
      <vt:variant>
        <vt:i4>1208</vt:i4>
      </vt:variant>
      <vt:variant>
        <vt:i4>0</vt:i4>
      </vt:variant>
      <vt:variant>
        <vt:i4>5</vt:i4>
      </vt:variant>
      <vt:variant>
        <vt:lpwstr/>
      </vt:variant>
      <vt:variant>
        <vt:lpwstr>_Privacy_1</vt:lpwstr>
      </vt:variant>
      <vt:variant>
        <vt:i4>3145848</vt:i4>
      </vt:variant>
      <vt:variant>
        <vt:i4>1205</vt:i4>
      </vt:variant>
      <vt:variant>
        <vt:i4>0</vt:i4>
      </vt:variant>
      <vt:variant>
        <vt:i4>5</vt:i4>
      </vt:variant>
      <vt:variant>
        <vt:lpwstr>https://www.ipc.nsw.gov.au/privacy/privacy-resources-public-sector-agencies/privacy-impact-assessment-ipc-gipa-tool</vt:lpwstr>
      </vt:variant>
      <vt:variant>
        <vt:lpwstr/>
      </vt:variant>
      <vt:variant>
        <vt:i4>1441847</vt:i4>
      </vt:variant>
      <vt:variant>
        <vt:i4>1202</vt:i4>
      </vt:variant>
      <vt:variant>
        <vt:i4>0</vt:i4>
      </vt:variant>
      <vt:variant>
        <vt:i4>5</vt:i4>
      </vt:variant>
      <vt:variant>
        <vt:lpwstr/>
      </vt:variant>
      <vt:variant>
        <vt:lpwstr>_Appendix_A_–</vt:lpwstr>
      </vt:variant>
      <vt:variant>
        <vt:i4>1114133</vt:i4>
      </vt:variant>
      <vt:variant>
        <vt:i4>1199</vt:i4>
      </vt:variant>
      <vt:variant>
        <vt:i4>0</vt:i4>
      </vt:variant>
      <vt:variant>
        <vt:i4>5</vt:i4>
      </vt:variant>
      <vt:variant>
        <vt:lpwstr>https://www.treasury.nsw.gov.au/information-public-entities/governance-risk-and-assurance/internal-audit-and-risk-management/risk</vt:lpwstr>
      </vt:variant>
      <vt:variant>
        <vt:lpwstr/>
      </vt:variant>
      <vt:variant>
        <vt:i4>3211326</vt:i4>
      </vt:variant>
      <vt:variant>
        <vt:i4>1196</vt:i4>
      </vt:variant>
      <vt:variant>
        <vt:i4>0</vt:i4>
      </vt:variant>
      <vt:variant>
        <vt:i4>5</vt:i4>
      </vt:variant>
      <vt:variant>
        <vt:lpwstr>https://www.legislation.nsw.gov.au/</vt:lpwstr>
      </vt:variant>
      <vt:variant>
        <vt:lpwstr>/view/act/2002/71</vt:lpwstr>
      </vt:variant>
      <vt:variant>
        <vt:i4>196638</vt:i4>
      </vt:variant>
      <vt:variant>
        <vt:i4>1193</vt:i4>
      </vt:variant>
      <vt:variant>
        <vt:i4>0</vt:i4>
      </vt:variant>
      <vt:variant>
        <vt:i4>5</vt:i4>
      </vt:variant>
      <vt:variant>
        <vt:lpwstr>https://www.legislation.gov.au/Series/C2004A03712</vt:lpwstr>
      </vt:variant>
      <vt:variant>
        <vt:lpwstr/>
      </vt:variant>
      <vt:variant>
        <vt:i4>458759</vt:i4>
      </vt:variant>
      <vt:variant>
        <vt:i4>1190</vt:i4>
      </vt:variant>
      <vt:variant>
        <vt:i4>0</vt:i4>
      </vt:variant>
      <vt:variant>
        <vt:i4>5</vt:i4>
      </vt:variant>
      <vt:variant>
        <vt:lpwstr>https://www.legislation.nsw.gov.au/</vt:lpwstr>
      </vt:variant>
      <vt:variant>
        <vt:lpwstr>/view/act/1998/133</vt:lpwstr>
      </vt:variant>
      <vt:variant>
        <vt:i4>3801116</vt:i4>
      </vt:variant>
      <vt:variant>
        <vt:i4>1187</vt:i4>
      </vt:variant>
      <vt:variant>
        <vt:i4>0</vt:i4>
      </vt:variant>
      <vt:variant>
        <vt:i4>5</vt:i4>
      </vt:variant>
      <vt:variant>
        <vt:lpwstr/>
      </vt:variant>
      <vt:variant>
        <vt:lpwstr>_Cyber_Security_1</vt:lpwstr>
      </vt:variant>
      <vt:variant>
        <vt:i4>1441847</vt:i4>
      </vt:variant>
      <vt:variant>
        <vt:i4>1184</vt:i4>
      </vt:variant>
      <vt:variant>
        <vt:i4>0</vt:i4>
      </vt:variant>
      <vt:variant>
        <vt:i4>5</vt:i4>
      </vt:variant>
      <vt:variant>
        <vt:lpwstr/>
      </vt:variant>
      <vt:variant>
        <vt:lpwstr>_Appendix_A_–</vt:lpwstr>
      </vt:variant>
      <vt:variant>
        <vt:i4>1114133</vt:i4>
      </vt:variant>
      <vt:variant>
        <vt:i4>1181</vt:i4>
      </vt:variant>
      <vt:variant>
        <vt:i4>0</vt:i4>
      </vt:variant>
      <vt:variant>
        <vt:i4>5</vt:i4>
      </vt:variant>
      <vt:variant>
        <vt:lpwstr>https://www.treasury.nsw.gov.au/information-public-entities/governance-risk-and-assurance/internal-audit-and-risk-management/risk</vt:lpwstr>
      </vt:variant>
      <vt:variant>
        <vt:lpwstr/>
      </vt:variant>
      <vt:variant>
        <vt:i4>3145855</vt:i4>
      </vt:variant>
      <vt:variant>
        <vt:i4>1178</vt:i4>
      </vt:variant>
      <vt:variant>
        <vt:i4>0</vt:i4>
      </vt:variant>
      <vt:variant>
        <vt:i4>5</vt:i4>
      </vt:variant>
      <vt:variant>
        <vt:lpwstr>https://www.isa.org/training-and-certifications/isa-certification/isa99iec-62443/isa99iec-62443-cybersecurity-certificate-programs/</vt:lpwstr>
      </vt:variant>
      <vt:variant>
        <vt:lpwstr/>
      </vt:variant>
      <vt:variant>
        <vt:i4>3670118</vt:i4>
      </vt:variant>
      <vt:variant>
        <vt:i4>1175</vt:i4>
      </vt:variant>
      <vt:variant>
        <vt:i4>0</vt:i4>
      </vt:variant>
      <vt:variant>
        <vt:i4>5</vt:i4>
      </vt:variant>
      <vt:variant>
        <vt:lpwstr>https://www.digital.nsw.gov.au/policy/cyber-security/cyber-security-policy</vt:lpwstr>
      </vt:variant>
      <vt:variant>
        <vt:lpwstr/>
      </vt:variant>
      <vt:variant>
        <vt:i4>4784129</vt:i4>
      </vt:variant>
      <vt:variant>
        <vt:i4>1172</vt:i4>
      </vt:variant>
      <vt:variant>
        <vt:i4>0</vt:i4>
      </vt:variant>
      <vt:variant>
        <vt:i4>5</vt:i4>
      </vt:variant>
      <vt:variant>
        <vt:lpwstr/>
      </vt:variant>
      <vt:variant>
        <vt:lpwstr>_Risks_and_obligations_2</vt:lpwstr>
      </vt:variant>
      <vt:variant>
        <vt:i4>1441847</vt:i4>
      </vt:variant>
      <vt:variant>
        <vt:i4>1169</vt:i4>
      </vt:variant>
      <vt:variant>
        <vt:i4>0</vt:i4>
      </vt:variant>
      <vt:variant>
        <vt:i4>5</vt:i4>
      </vt:variant>
      <vt:variant>
        <vt:lpwstr/>
      </vt:variant>
      <vt:variant>
        <vt:lpwstr>_Appendix_A_–</vt:lpwstr>
      </vt:variant>
      <vt:variant>
        <vt:i4>1114133</vt:i4>
      </vt:variant>
      <vt:variant>
        <vt:i4>1166</vt:i4>
      </vt:variant>
      <vt:variant>
        <vt:i4>0</vt:i4>
      </vt:variant>
      <vt:variant>
        <vt:i4>5</vt:i4>
      </vt:variant>
      <vt:variant>
        <vt:lpwstr>https://www.treasury.nsw.gov.au/information-public-entities/governance-risk-and-assurance/internal-audit-and-risk-management/risk</vt:lpwstr>
      </vt:variant>
      <vt:variant>
        <vt:lpwstr/>
      </vt:variant>
      <vt:variant>
        <vt:i4>1900618</vt:i4>
      </vt:variant>
      <vt:variant>
        <vt:i4>1163</vt:i4>
      </vt:variant>
      <vt:variant>
        <vt:i4>0</vt:i4>
      </vt:variant>
      <vt:variant>
        <vt:i4>5</vt:i4>
      </vt:variant>
      <vt:variant>
        <vt:lpwstr>https://www.audit.nsw.gov.au/sites/default/files/auditoffice/Governance-and-Policies---Current/Risk Management Framework.pdf</vt:lpwstr>
      </vt:variant>
      <vt:variant>
        <vt:lpwstr/>
      </vt:variant>
      <vt:variant>
        <vt:i4>7143541</vt:i4>
      </vt:variant>
      <vt:variant>
        <vt:i4>1160</vt:i4>
      </vt:variant>
      <vt:variant>
        <vt:i4>0</vt:i4>
      </vt:variant>
      <vt:variant>
        <vt:i4>5</vt:i4>
      </vt:variant>
      <vt:variant>
        <vt:lpwstr>https://www.audit.nsw.gov.au/our-work/reports/internal-controls-and-governance-2018</vt:lpwstr>
      </vt:variant>
      <vt:variant>
        <vt:lpwstr/>
      </vt:variant>
      <vt:variant>
        <vt:i4>2359408</vt:i4>
      </vt:variant>
      <vt:variant>
        <vt:i4>1157</vt:i4>
      </vt:variant>
      <vt:variant>
        <vt:i4>0</vt:i4>
      </vt:variant>
      <vt:variant>
        <vt:i4>5</vt:i4>
      </vt:variant>
      <vt:variant>
        <vt:lpwstr>https://arp.nsw.gov.au/tpp15-03-internal-audit-and-risk-management-policy-nsw-public-sector</vt:lpwstr>
      </vt:variant>
      <vt:variant>
        <vt:lpwstr/>
      </vt:variant>
      <vt:variant>
        <vt:i4>3801116</vt:i4>
      </vt:variant>
      <vt:variant>
        <vt:i4>1154</vt:i4>
      </vt:variant>
      <vt:variant>
        <vt:i4>0</vt:i4>
      </vt:variant>
      <vt:variant>
        <vt:i4>5</vt:i4>
      </vt:variant>
      <vt:variant>
        <vt:lpwstr/>
      </vt:variant>
      <vt:variant>
        <vt:lpwstr>_Cyber_Security_1</vt:lpwstr>
      </vt:variant>
      <vt:variant>
        <vt:i4>1441867</vt:i4>
      </vt:variant>
      <vt:variant>
        <vt:i4>1151</vt:i4>
      </vt:variant>
      <vt:variant>
        <vt:i4>0</vt:i4>
      </vt:variant>
      <vt:variant>
        <vt:i4>5</vt:i4>
      </vt:variant>
      <vt:variant>
        <vt:lpwstr>https://www.ncbi.nlm.nih.gov/pmc/articles/PMC5588847/</vt:lpwstr>
      </vt:variant>
      <vt:variant>
        <vt:lpwstr/>
      </vt:variant>
      <vt:variant>
        <vt:i4>3407924</vt:i4>
      </vt:variant>
      <vt:variant>
        <vt:i4>1148</vt:i4>
      </vt:variant>
      <vt:variant>
        <vt:i4>0</vt:i4>
      </vt:variant>
      <vt:variant>
        <vt:i4>5</vt:i4>
      </vt:variant>
      <vt:variant>
        <vt:lpwstr>https://www.legislation.nsw.gov.au/</vt:lpwstr>
      </vt:variant>
      <vt:variant>
        <vt:lpwstr>/view/act/1998/17</vt:lpwstr>
      </vt:variant>
      <vt:variant>
        <vt:i4>6357031</vt:i4>
      </vt:variant>
      <vt:variant>
        <vt:i4>1145</vt:i4>
      </vt:variant>
      <vt:variant>
        <vt:i4>0</vt:i4>
      </vt:variant>
      <vt:variant>
        <vt:i4>5</vt:i4>
      </vt:variant>
      <vt:variant>
        <vt:lpwstr>https://www.procurepoint.nsw.gov.au/scm0020</vt:lpwstr>
      </vt:variant>
      <vt:variant>
        <vt:lpwstr/>
      </vt:variant>
      <vt:variant>
        <vt:i4>4063358</vt:i4>
      </vt:variant>
      <vt:variant>
        <vt:i4>1142</vt:i4>
      </vt:variant>
      <vt:variant>
        <vt:i4>0</vt:i4>
      </vt:variant>
      <vt:variant>
        <vt:i4>5</vt:i4>
      </vt:variant>
      <vt:variant>
        <vt:lpwstr>https://buy.nsw.gov.au/ict/</vt:lpwstr>
      </vt:variant>
      <vt:variant>
        <vt:lpwstr/>
      </vt:variant>
      <vt:variant>
        <vt:i4>3407924</vt:i4>
      </vt:variant>
      <vt:variant>
        <vt:i4>1139</vt:i4>
      </vt:variant>
      <vt:variant>
        <vt:i4>0</vt:i4>
      </vt:variant>
      <vt:variant>
        <vt:i4>5</vt:i4>
      </vt:variant>
      <vt:variant>
        <vt:lpwstr>https://www.legislation.nsw.gov.au/</vt:lpwstr>
      </vt:variant>
      <vt:variant>
        <vt:lpwstr>/view/act/1998/17</vt:lpwstr>
      </vt:variant>
      <vt:variant>
        <vt:i4>4063358</vt:i4>
      </vt:variant>
      <vt:variant>
        <vt:i4>1136</vt:i4>
      </vt:variant>
      <vt:variant>
        <vt:i4>0</vt:i4>
      </vt:variant>
      <vt:variant>
        <vt:i4>5</vt:i4>
      </vt:variant>
      <vt:variant>
        <vt:lpwstr>https://buy.nsw.gov.au/ict/</vt:lpwstr>
      </vt:variant>
      <vt:variant>
        <vt:lpwstr/>
      </vt:variant>
      <vt:variant>
        <vt:i4>2949154</vt:i4>
      </vt:variant>
      <vt:variant>
        <vt:i4>1133</vt:i4>
      </vt:variant>
      <vt:variant>
        <vt:i4>0</vt:i4>
      </vt:variant>
      <vt:variant>
        <vt:i4>5</vt:i4>
      </vt:variant>
      <vt:variant>
        <vt:lpwstr>https://www.digital.nsw.gov.au/policy/buying-ict/cloud-guidance-and-policy</vt:lpwstr>
      </vt:variant>
      <vt:variant>
        <vt:lpwstr/>
      </vt:variant>
      <vt:variant>
        <vt:i4>6422608</vt:i4>
      </vt:variant>
      <vt:variant>
        <vt:i4>1130</vt:i4>
      </vt:variant>
      <vt:variant>
        <vt:i4>0</vt:i4>
      </vt:variant>
      <vt:variant>
        <vt:i4>5</vt:i4>
      </vt:variant>
      <vt:variant>
        <vt:lpwstr>C:\Users\MIRIM\Desktop\IoT-Policy Package\records.nsw.gov.au</vt:lpwstr>
      </vt:variant>
      <vt:variant>
        <vt:lpwstr/>
      </vt:variant>
      <vt:variant>
        <vt:i4>3407924</vt:i4>
      </vt:variant>
      <vt:variant>
        <vt:i4>1127</vt:i4>
      </vt:variant>
      <vt:variant>
        <vt:i4>0</vt:i4>
      </vt:variant>
      <vt:variant>
        <vt:i4>5</vt:i4>
      </vt:variant>
      <vt:variant>
        <vt:lpwstr>https://www.legislation.nsw.gov.au/</vt:lpwstr>
      </vt:variant>
      <vt:variant>
        <vt:lpwstr>/view/act/1998/17</vt:lpwstr>
      </vt:variant>
      <vt:variant>
        <vt:i4>458759</vt:i4>
      </vt:variant>
      <vt:variant>
        <vt:i4>1124</vt:i4>
      </vt:variant>
      <vt:variant>
        <vt:i4>0</vt:i4>
      </vt:variant>
      <vt:variant>
        <vt:i4>5</vt:i4>
      </vt:variant>
      <vt:variant>
        <vt:lpwstr>https://www.legislation.nsw.gov.au/</vt:lpwstr>
      </vt:variant>
      <vt:variant>
        <vt:lpwstr>/view/act/1998/133</vt:lpwstr>
      </vt:variant>
      <vt:variant>
        <vt:i4>7340067</vt:i4>
      </vt:variant>
      <vt:variant>
        <vt:i4>1121</vt:i4>
      </vt:variant>
      <vt:variant>
        <vt:i4>0</vt:i4>
      </vt:variant>
      <vt:variant>
        <vt:i4>5</vt:i4>
      </vt:variant>
      <vt:variant>
        <vt:lpwstr>https://arp.nsw.gov.au/dfsi-2015-01-nsw-government-information-classification-labelling-and-handling-guidelines</vt:lpwstr>
      </vt:variant>
      <vt:variant>
        <vt:lpwstr/>
      </vt:variant>
      <vt:variant>
        <vt:i4>7864356</vt:i4>
      </vt:variant>
      <vt:variant>
        <vt:i4>1118</vt:i4>
      </vt:variant>
      <vt:variant>
        <vt:i4>0</vt:i4>
      </vt:variant>
      <vt:variant>
        <vt:i4>5</vt:i4>
      </vt:variant>
      <vt:variant>
        <vt:lpwstr/>
      </vt:variant>
      <vt:variant>
        <vt:lpwstr>_Spatial_data_requirements_2</vt:lpwstr>
      </vt:variant>
      <vt:variant>
        <vt:i4>3539007</vt:i4>
      </vt:variant>
      <vt:variant>
        <vt:i4>1115</vt:i4>
      </vt:variant>
      <vt:variant>
        <vt:i4>0</vt:i4>
      </vt:variant>
      <vt:variant>
        <vt:i4>5</vt:i4>
      </vt:variant>
      <vt:variant>
        <vt:lpwstr>https://cloud.google.com/solutions/iot-overview</vt:lpwstr>
      </vt:variant>
      <vt:variant>
        <vt:lpwstr/>
      </vt:variant>
      <vt:variant>
        <vt:i4>1179756</vt:i4>
      </vt:variant>
      <vt:variant>
        <vt:i4>1112</vt:i4>
      </vt:variant>
      <vt:variant>
        <vt:i4>0</vt:i4>
      </vt:variant>
      <vt:variant>
        <vt:i4>5</vt:i4>
      </vt:variant>
      <vt:variant>
        <vt:lpwstr/>
      </vt:variant>
      <vt:variant>
        <vt:lpwstr>_What_is_interoperability?</vt:lpwstr>
      </vt:variant>
      <vt:variant>
        <vt:i4>5701655</vt:i4>
      </vt:variant>
      <vt:variant>
        <vt:i4>1109</vt:i4>
      </vt:variant>
      <vt:variant>
        <vt:i4>0</vt:i4>
      </vt:variant>
      <vt:variant>
        <vt:i4>5</vt:i4>
      </vt:variant>
      <vt:variant>
        <vt:lpwstr>https://data.nsw.gov.au/</vt:lpwstr>
      </vt:variant>
      <vt:variant>
        <vt:lpwstr/>
      </vt:variant>
      <vt:variant>
        <vt:i4>4128873</vt:i4>
      </vt:variant>
      <vt:variant>
        <vt:i4>1106</vt:i4>
      </vt:variant>
      <vt:variant>
        <vt:i4>0</vt:i4>
      </vt:variant>
      <vt:variant>
        <vt:i4>5</vt:i4>
      </vt:variant>
      <vt:variant>
        <vt:lpwstr>https://www.beca.com/ignite-your-thinking/ignite-your-thinking/january-2018/what-every-business-needs-to-know-about-iot</vt:lpwstr>
      </vt:variant>
      <vt:variant>
        <vt:lpwstr/>
      </vt:variant>
      <vt:variant>
        <vt:i4>5701723</vt:i4>
      </vt:variant>
      <vt:variant>
        <vt:i4>1103</vt:i4>
      </vt:variant>
      <vt:variant>
        <vt:i4>0</vt:i4>
      </vt:variant>
      <vt:variant>
        <vt:i4>5</vt:i4>
      </vt:variant>
      <vt:variant>
        <vt:lpwstr>https://www.iap2.org.au/Home</vt:lpwstr>
      </vt:variant>
      <vt:variant>
        <vt:lpwstr/>
      </vt:variant>
      <vt:variant>
        <vt:i4>1441860</vt:i4>
      </vt:variant>
      <vt:variant>
        <vt:i4>1100</vt:i4>
      </vt:variant>
      <vt:variant>
        <vt:i4>0</vt:i4>
      </vt:variant>
      <vt:variant>
        <vt:i4>5</vt:i4>
      </vt:variant>
      <vt:variant>
        <vt:lpwstr>https://gcs.civilservice.gov.uk/wp-content/uploads/2016/04/Stakeholder-Toolkit-210316.pdf</vt:lpwstr>
      </vt:variant>
      <vt:variant>
        <vt:lpwstr/>
      </vt:variant>
      <vt:variant>
        <vt:i4>3080226</vt:i4>
      </vt:variant>
      <vt:variant>
        <vt:i4>1097</vt:i4>
      </vt:variant>
      <vt:variant>
        <vt:i4>0</vt:i4>
      </vt:variant>
      <vt:variant>
        <vt:i4>5</vt:i4>
      </vt:variant>
      <vt:variant>
        <vt:lpwstr>https://www.pmc.gov.au/sites/default/files/files/pmc/implementation-toolkit-3-engaging-stakeholders.pdf</vt:lpwstr>
      </vt:variant>
      <vt:variant>
        <vt:lpwstr/>
      </vt:variant>
      <vt:variant>
        <vt:i4>524340</vt:i4>
      </vt:variant>
      <vt:variant>
        <vt:i4>1094</vt:i4>
      </vt:variant>
      <vt:variant>
        <vt:i4>0</vt:i4>
      </vt:variant>
      <vt:variant>
        <vt:i4>5</vt:i4>
      </vt:variant>
      <vt:variant>
        <vt:lpwstr>https://www.safework.nsw.gov.au/__data/assets/pdf_file/0003/90534/SW08267-0818-427096.pdf</vt:lpwstr>
      </vt:variant>
      <vt:variant>
        <vt:lpwstr/>
      </vt:variant>
      <vt:variant>
        <vt:i4>4391005</vt:i4>
      </vt:variant>
      <vt:variant>
        <vt:i4>1091</vt:i4>
      </vt:variant>
      <vt:variant>
        <vt:i4>0</vt:i4>
      </vt:variant>
      <vt:variant>
        <vt:i4>5</vt:i4>
      </vt:variant>
      <vt:variant>
        <vt:lpwstr>https://communications.dpc.nsw.gov.au/assets/dpc-nsw-gov-au/files/Communications-and-Engagement/bd1cfa8d64/preparing-for-effectiveengagement-a-guide-to-developing-eng-1.pdf</vt:lpwstr>
      </vt:variant>
      <vt:variant>
        <vt:lpwstr/>
      </vt:variant>
      <vt:variant>
        <vt:i4>3276851</vt:i4>
      </vt:variant>
      <vt:variant>
        <vt:i4>1088</vt:i4>
      </vt:variant>
      <vt:variant>
        <vt:i4>0</vt:i4>
      </vt:variant>
      <vt:variant>
        <vt:i4>5</vt:i4>
      </vt:variant>
      <vt:variant>
        <vt:lpwstr>https://www.ipc.nsw.gov.au/resources/charter-public-participation-guide-assist-agencies-and-promote-citizen-engagement</vt:lpwstr>
      </vt:variant>
      <vt:variant>
        <vt:lpwstr/>
      </vt:variant>
      <vt:variant>
        <vt:i4>4391005</vt:i4>
      </vt:variant>
      <vt:variant>
        <vt:i4>1085</vt:i4>
      </vt:variant>
      <vt:variant>
        <vt:i4>0</vt:i4>
      </vt:variant>
      <vt:variant>
        <vt:i4>5</vt:i4>
      </vt:variant>
      <vt:variant>
        <vt:lpwstr>https://communications.dpc.nsw.gov.au/assets/dpc-nsw-gov-au/files/Communications-and-Engagement/bd1cfa8d64/preparing-for-effectiveengagement-a-guide-to-developing-eng-1.pdf</vt:lpwstr>
      </vt:variant>
      <vt:variant>
        <vt:lpwstr/>
      </vt:variant>
      <vt:variant>
        <vt:i4>4063266</vt:i4>
      </vt:variant>
      <vt:variant>
        <vt:i4>1082</vt:i4>
      </vt:variant>
      <vt:variant>
        <vt:i4>0</vt:i4>
      </vt:variant>
      <vt:variant>
        <vt:i4>5</vt:i4>
      </vt:variant>
      <vt:variant>
        <vt:lpwstr>https://www.praxisframework.org/en/knowledge/governance</vt:lpwstr>
      </vt:variant>
      <vt:variant>
        <vt:lpwstr/>
      </vt:variant>
      <vt:variant>
        <vt:i4>6946893</vt:i4>
      </vt:variant>
      <vt:variant>
        <vt:i4>1079</vt:i4>
      </vt:variant>
      <vt:variant>
        <vt:i4>0</vt:i4>
      </vt:variant>
      <vt:variant>
        <vt:i4>5</vt:i4>
      </vt:variant>
      <vt:variant>
        <vt:lpwstr/>
      </vt:variant>
      <vt:variant>
        <vt:lpwstr>_Evaluation</vt:lpwstr>
      </vt:variant>
      <vt:variant>
        <vt:i4>7012443</vt:i4>
      </vt:variant>
      <vt:variant>
        <vt:i4>1076</vt:i4>
      </vt:variant>
      <vt:variant>
        <vt:i4>0</vt:i4>
      </vt:variant>
      <vt:variant>
        <vt:i4>5</vt:i4>
      </vt:variant>
      <vt:variant>
        <vt:lpwstr/>
      </vt:variant>
      <vt:variant>
        <vt:lpwstr>_Assurance</vt:lpwstr>
      </vt:variant>
      <vt:variant>
        <vt:i4>6815857</vt:i4>
      </vt:variant>
      <vt:variant>
        <vt:i4>1073</vt:i4>
      </vt:variant>
      <vt:variant>
        <vt:i4>0</vt:i4>
      </vt:variant>
      <vt:variant>
        <vt:i4>5</vt:i4>
      </vt:variant>
      <vt:variant>
        <vt:lpwstr/>
      </vt:variant>
      <vt:variant>
        <vt:lpwstr>_Stakeholder_engagement</vt:lpwstr>
      </vt:variant>
      <vt:variant>
        <vt:i4>2949154</vt:i4>
      </vt:variant>
      <vt:variant>
        <vt:i4>1070</vt:i4>
      </vt:variant>
      <vt:variant>
        <vt:i4>0</vt:i4>
      </vt:variant>
      <vt:variant>
        <vt:i4>5</vt:i4>
      </vt:variant>
      <vt:variant>
        <vt:lpwstr/>
      </vt:variant>
      <vt:variant>
        <vt:lpwstr>_Technology_for_IoT_2</vt:lpwstr>
      </vt:variant>
      <vt:variant>
        <vt:i4>3801116</vt:i4>
      </vt:variant>
      <vt:variant>
        <vt:i4>1067</vt:i4>
      </vt:variant>
      <vt:variant>
        <vt:i4>0</vt:i4>
      </vt:variant>
      <vt:variant>
        <vt:i4>5</vt:i4>
      </vt:variant>
      <vt:variant>
        <vt:lpwstr/>
      </vt:variant>
      <vt:variant>
        <vt:lpwstr>_Cyber_Security_1</vt:lpwstr>
      </vt:variant>
      <vt:variant>
        <vt:i4>65592</vt:i4>
      </vt:variant>
      <vt:variant>
        <vt:i4>1064</vt:i4>
      </vt:variant>
      <vt:variant>
        <vt:i4>0</vt:i4>
      </vt:variant>
      <vt:variant>
        <vt:i4>5</vt:i4>
      </vt:variant>
      <vt:variant>
        <vt:lpwstr/>
      </vt:variant>
      <vt:variant>
        <vt:lpwstr>_Privacy</vt:lpwstr>
      </vt:variant>
      <vt:variant>
        <vt:i4>4784129</vt:i4>
      </vt:variant>
      <vt:variant>
        <vt:i4>1061</vt:i4>
      </vt:variant>
      <vt:variant>
        <vt:i4>0</vt:i4>
      </vt:variant>
      <vt:variant>
        <vt:i4>5</vt:i4>
      </vt:variant>
      <vt:variant>
        <vt:lpwstr/>
      </vt:variant>
      <vt:variant>
        <vt:lpwstr>_Risks_and_obligations_2</vt:lpwstr>
      </vt:variant>
      <vt:variant>
        <vt:i4>3407924</vt:i4>
      </vt:variant>
      <vt:variant>
        <vt:i4>1058</vt:i4>
      </vt:variant>
      <vt:variant>
        <vt:i4>0</vt:i4>
      </vt:variant>
      <vt:variant>
        <vt:i4>5</vt:i4>
      </vt:variant>
      <vt:variant>
        <vt:lpwstr>https://www.legislation.nsw.gov.au/</vt:lpwstr>
      </vt:variant>
      <vt:variant>
        <vt:lpwstr>/view/act/1998/17</vt:lpwstr>
      </vt:variant>
      <vt:variant>
        <vt:i4>2228256</vt:i4>
      </vt:variant>
      <vt:variant>
        <vt:i4>1055</vt:i4>
      </vt:variant>
      <vt:variant>
        <vt:i4>0</vt:i4>
      </vt:variant>
      <vt:variant>
        <vt:i4>5</vt:i4>
      </vt:variant>
      <vt:variant>
        <vt:lpwstr/>
      </vt:variant>
      <vt:variant>
        <vt:lpwstr>_Data_obligations</vt:lpwstr>
      </vt:variant>
      <vt:variant>
        <vt:i4>5505050</vt:i4>
      </vt:variant>
      <vt:variant>
        <vt:i4>1052</vt:i4>
      </vt:variant>
      <vt:variant>
        <vt:i4>0</vt:i4>
      </vt:variant>
      <vt:variant>
        <vt:i4>5</vt:i4>
      </vt:variant>
      <vt:variant>
        <vt:lpwstr/>
      </vt:variant>
      <vt:variant>
        <vt:lpwstr>_Data_needs_assessment_1</vt:lpwstr>
      </vt:variant>
      <vt:variant>
        <vt:i4>4259902</vt:i4>
      </vt:variant>
      <vt:variant>
        <vt:i4>1049</vt:i4>
      </vt:variant>
      <vt:variant>
        <vt:i4>0</vt:i4>
      </vt:variant>
      <vt:variant>
        <vt:i4>5</vt:i4>
      </vt:variant>
      <vt:variant>
        <vt:lpwstr/>
      </vt:variant>
      <vt:variant>
        <vt:lpwstr>_Assigning_roles,_responsibilities</vt:lpwstr>
      </vt:variant>
      <vt:variant>
        <vt:i4>131104</vt:i4>
      </vt:variant>
      <vt:variant>
        <vt:i4>1046</vt:i4>
      </vt:variant>
      <vt:variant>
        <vt:i4>0</vt:i4>
      </vt:variant>
      <vt:variant>
        <vt:i4>5</vt:i4>
      </vt:variant>
      <vt:variant>
        <vt:lpwstr/>
      </vt:variant>
      <vt:variant>
        <vt:lpwstr>_Skills_and_expertise</vt:lpwstr>
      </vt:variant>
      <vt:variant>
        <vt:i4>3473443</vt:i4>
      </vt:variant>
      <vt:variant>
        <vt:i4>1043</vt:i4>
      </vt:variant>
      <vt:variant>
        <vt:i4>0</vt:i4>
      </vt:variant>
      <vt:variant>
        <vt:i4>5</vt:i4>
      </vt:variant>
      <vt:variant>
        <vt:lpwstr/>
      </vt:variant>
      <vt:variant>
        <vt:lpwstr>_Evaluation_1</vt:lpwstr>
      </vt:variant>
      <vt:variant>
        <vt:i4>7602214</vt:i4>
      </vt:variant>
      <vt:variant>
        <vt:i4>1040</vt:i4>
      </vt:variant>
      <vt:variant>
        <vt:i4>0</vt:i4>
      </vt:variant>
      <vt:variant>
        <vt:i4>5</vt:i4>
      </vt:variant>
      <vt:variant>
        <vt:lpwstr>https://www.dpc.nsw.gov.au/tools-and-resources/evaluation-toolkit/</vt:lpwstr>
      </vt:variant>
      <vt:variant>
        <vt:lpwstr/>
      </vt:variant>
      <vt:variant>
        <vt:i4>655447</vt:i4>
      </vt:variant>
      <vt:variant>
        <vt:i4>1037</vt:i4>
      </vt:variant>
      <vt:variant>
        <vt:i4>0</vt:i4>
      </vt:variant>
      <vt:variant>
        <vt:i4>5</vt:i4>
      </vt:variant>
      <vt:variant>
        <vt:lpwstr/>
      </vt:variant>
      <vt:variant>
        <vt:lpwstr>_Data_considerations_for_3</vt:lpwstr>
      </vt:variant>
      <vt:variant>
        <vt:i4>3407924</vt:i4>
      </vt:variant>
      <vt:variant>
        <vt:i4>1034</vt:i4>
      </vt:variant>
      <vt:variant>
        <vt:i4>0</vt:i4>
      </vt:variant>
      <vt:variant>
        <vt:i4>5</vt:i4>
      </vt:variant>
      <vt:variant>
        <vt:lpwstr>https://www.legislation.nsw.gov.au/</vt:lpwstr>
      </vt:variant>
      <vt:variant>
        <vt:lpwstr>/view/act/1998/17</vt:lpwstr>
      </vt:variant>
      <vt:variant>
        <vt:i4>5242974</vt:i4>
      </vt:variant>
      <vt:variant>
        <vt:i4>1031</vt:i4>
      </vt:variant>
      <vt:variant>
        <vt:i4>0</vt:i4>
      </vt:variant>
      <vt:variant>
        <vt:i4>5</vt:i4>
      </vt:variant>
      <vt:variant>
        <vt:lpwstr>https://www.standards.org.au/</vt:lpwstr>
      </vt:variant>
      <vt:variant>
        <vt:lpwstr/>
      </vt:variant>
      <vt:variant>
        <vt:i4>8257585</vt:i4>
      </vt:variant>
      <vt:variant>
        <vt:i4>1028</vt:i4>
      </vt:variant>
      <vt:variant>
        <vt:i4>0</vt:i4>
      </vt:variant>
      <vt:variant>
        <vt:i4>5</vt:i4>
      </vt:variant>
      <vt:variant>
        <vt:lpwstr>https://www.australiansmartcommunities.org.au/</vt:lpwstr>
      </vt:variant>
      <vt:variant>
        <vt:lpwstr/>
      </vt:variant>
      <vt:variant>
        <vt:i4>65546</vt:i4>
      </vt:variant>
      <vt:variant>
        <vt:i4>1025</vt:i4>
      </vt:variant>
      <vt:variant>
        <vt:i4>0</vt:i4>
      </vt:variant>
      <vt:variant>
        <vt:i4>5</vt:i4>
      </vt:variant>
      <vt:variant>
        <vt:lpwstr>https://designfuturescouncil.com/</vt:lpwstr>
      </vt:variant>
      <vt:variant>
        <vt:lpwstr/>
      </vt:variant>
      <vt:variant>
        <vt:i4>6226012</vt:i4>
      </vt:variant>
      <vt:variant>
        <vt:i4>1022</vt:i4>
      </vt:variant>
      <vt:variant>
        <vt:i4>0</vt:i4>
      </vt:variant>
      <vt:variant>
        <vt:i4>5</vt:i4>
      </vt:variant>
      <vt:variant>
        <vt:lpwstr>https://www.commsalliance.com.au/</vt:lpwstr>
      </vt:variant>
      <vt:variant>
        <vt:lpwstr/>
      </vt:variant>
      <vt:variant>
        <vt:i4>7864425</vt:i4>
      </vt:variant>
      <vt:variant>
        <vt:i4>1019</vt:i4>
      </vt:variant>
      <vt:variant>
        <vt:i4>0</vt:i4>
      </vt:variant>
      <vt:variant>
        <vt:i4>5</vt:i4>
      </vt:variant>
      <vt:variant>
        <vt:lpwstr>https://au.opencities.com/Home</vt:lpwstr>
      </vt:variant>
      <vt:variant>
        <vt:lpwstr/>
      </vt:variant>
      <vt:variant>
        <vt:i4>2097204</vt:i4>
      </vt:variant>
      <vt:variant>
        <vt:i4>1016</vt:i4>
      </vt:variant>
      <vt:variant>
        <vt:i4>0</vt:i4>
      </vt:variant>
      <vt:variant>
        <vt:i4>5</vt:i4>
      </vt:variant>
      <vt:variant>
        <vt:lpwstr>https://www.iot.org.au/</vt:lpwstr>
      </vt:variant>
      <vt:variant>
        <vt:lpwstr/>
      </vt:variant>
      <vt:variant>
        <vt:i4>1572870</vt:i4>
      </vt:variant>
      <vt:variant>
        <vt:i4>1013</vt:i4>
      </vt:variant>
      <vt:variant>
        <vt:i4>0</vt:i4>
      </vt:variant>
      <vt:variant>
        <vt:i4>5</vt:i4>
      </vt:variant>
      <vt:variant>
        <vt:lpwstr>https://www.comprac.nsw.gov.au/join-a-community-of-practice/register-here</vt:lpwstr>
      </vt:variant>
      <vt:variant>
        <vt:lpwstr/>
      </vt:variant>
      <vt:variant>
        <vt:i4>1376293</vt:i4>
      </vt:variant>
      <vt:variant>
        <vt:i4>1010</vt:i4>
      </vt:variant>
      <vt:variant>
        <vt:i4>0</vt:i4>
      </vt:variant>
      <vt:variant>
        <vt:i4>5</vt:i4>
      </vt:variant>
      <vt:variant>
        <vt:lpwstr>mailto:datansw@customerservice.nsw.gov.au</vt:lpwstr>
      </vt:variant>
      <vt:variant>
        <vt:lpwstr/>
      </vt:variant>
      <vt:variant>
        <vt:i4>1048611</vt:i4>
      </vt:variant>
      <vt:variant>
        <vt:i4>1007</vt:i4>
      </vt:variant>
      <vt:variant>
        <vt:i4>0</vt:i4>
      </vt:variant>
      <vt:variant>
        <vt:i4>5</vt:i4>
      </vt:variant>
      <vt:variant>
        <vt:lpwstr>mailto:cybersecuritypolicy@customerservice.nsw.gov.au</vt:lpwstr>
      </vt:variant>
      <vt:variant>
        <vt:lpwstr/>
      </vt:variant>
      <vt:variant>
        <vt:i4>6815857</vt:i4>
      </vt:variant>
      <vt:variant>
        <vt:i4>1004</vt:i4>
      </vt:variant>
      <vt:variant>
        <vt:i4>0</vt:i4>
      </vt:variant>
      <vt:variant>
        <vt:i4>5</vt:i4>
      </vt:variant>
      <vt:variant>
        <vt:lpwstr/>
      </vt:variant>
      <vt:variant>
        <vt:lpwstr>_Stakeholder_engagement</vt:lpwstr>
      </vt:variant>
      <vt:variant>
        <vt:i4>7864356</vt:i4>
      </vt:variant>
      <vt:variant>
        <vt:i4>1001</vt:i4>
      </vt:variant>
      <vt:variant>
        <vt:i4>0</vt:i4>
      </vt:variant>
      <vt:variant>
        <vt:i4>5</vt:i4>
      </vt:variant>
      <vt:variant>
        <vt:lpwstr/>
      </vt:variant>
      <vt:variant>
        <vt:lpwstr>_Spatial_data_requirements_2</vt:lpwstr>
      </vt:variant>
      <vt:variant>
        <vt:i4>196642</vt:i4>
      </vt:variant>
      <vt:variant>
        <vt:i4>998</vt:i4>
      </vt:variant>
      <vt:variant>
        <vt:i4>0</vt:i4>
      </vt:variant>
      <vt:variant>
        <vt:i4>5</vt:i4>
      </vt:variant>
      <vt:variant>
        <vt:lpwstr>https://www.spatial.nsw.gov.au/what_we_do/projects/digital_twin</vt:lpwstr>
      </vt:variant>
      <vt:variant>
        <vt:lpwstr/>
      </vt:variant>
      <vt:variant>
        <vt:i4>2031708</vt:i4>
      </vt:variant>
      <vt:variant>
        <vt:i4>995</vt:i4>
      </vt:variant>
      <vt:variant>
        <vt:i4>0</vt:i4>
      </vt:variant>
      <vt:variant>
        <vt:i4>5</vt:i4>
      </vt:variant>
      <vt:variant>
        <vt:lpwstr>https://data.nsw.gov.au/information-management-framework</vt:lpwstr>
      </vt:variant>
      <vt:variant>
        <vt:lpwstr/>
      </vt:variant>
      <vt:variant>
        <vt:i4>5570579</vt:i4>
      </vt:variant>
      <vt:variant>
        <vt:i4>992</vt:i4>
      </vt:variant>
      <vt:variant>
        <vt:i4>0</vt:i4>
      </vt:variant>
      <vt:variant>
        <vt:i4>5</vt:i4>
      </vt:variant>
      <vt:variant>
        <vt:lpwstr>https://data.nsw.gov.au/IDMF</vt:lpwstr>
      </vt:variant>
      <vt:variant>
        <vt:lpwstr/>
      </vt:variant>
      <vt:variant>
        <vt:i4>4128884</vt:i4>
      </vt:variant>
      <vt:variant>
        <vt:i4>989</vt:i4>
      </vt:variant>
      <vt:variant>
        <vt:i4>0</vt:i4>
      </vt:variant>
      <vt:variant>
        <vt:i4>5</vt:i4>
      </vt:variant>
      <vt:variant>
        <vt:lpwstr>https://www.digital.nsw.gov.au/policy/artificial-intelligence-ai/user-guide</vt:lpwstr>
      </vt:variant>
      <vt:variant>
        <vt:lpwstr/>
      </vt:variant>
      <vt:variant>
        <vt:i4>5636096</vt:i4>
      </vt:variant>
      <vt:variant>
        <vt:i4>986</vt:i4>
      </vt:variant>
      <vt:variant>
        <vt:i4>0</vt:i4>
      </vt:variant>
      <vt:variant>
        <vt:i4>5</vt:i4>
      </vt:variant>
      <vt:variant>
        <vt:lpwstr>https://www.digital.nsw.gov.au/policy/artificial-intelligence-ai/ai-strategy</vt:lpwstr>
      </vt:variant>
      <vt:variant>
        <vt:lpwstr/>
      </vt:variant>
      <vt:variant>
        <vt:i4>1900614</vt:i4>
      </vt:variant>
      <vt:variant>
        <vt:i4>983</vt:i4>
      </vt:variant>
      <vt:variant>
        <vt:i4>0</vt:i4>
      </vt:variant>
      <vt:variant>
        <vt:i4>5</vt:i4>
      </vt:variant>
      <vt:variant>
        <vt:lpwstr>https://www.digital.nsw.gov.au/policy/smart-infrastructure-policy</vt:lpwstr>
      </vt:variant>
      <vt:variant>
        <vt:lpwstr/>
      </vt:variant>
      <vt:variant>
        <vt:i4>1048610</vt:i4>
      </vt:variant>
      <vt:variant>
        <vt:i4>979</vt:i4>
      </vt:variant>
      <vt:variant>
        <vt:i4>0</vt:i4>
      </vt:variant>
      <vt:variant>
        <vt:i4>5</vt:i4>
      </vt:variant>
      <vt:variant>
        <vt:lpwstr>https://www.dpie.nsw.gov.au/__data/assets/pdf_file/0009/334359/Smart-Places-Strategy-11-2020.pdf</vt:lpwstr>
      </vt:variant>
      <vt:variant>
        <vt:lpwstr/>
      </vt:variant>
      <vt:variant>
        <vt:i4>1048610</vt:i4>
      </vt:variant>
      <vt:variant>
        <vt:i4>977</vt:i4>
      </vt:variant>
      <vt:variant>
        <vt:i4>0</vt:i4>
      </vt:variant>
      <vt:variant>
        <vt:i4>5</vt:i4>
      </vt:variant>
      <vt:variant>
        <vt:lpwstr>https://www.dpie.nsw.gov.au/__data/assets/pdf_file/0009/334359/Smart-Places-Strategy-11-2020.pdf</vt:lpwstr>
      </vt:variant>
      <vt:variant>
        <vt:lpwstr/>
      </vt:variant>
      <vt:variant>
        <vt:i4>1048653</vt:i4>
      </vt:variant>
      <vt:variant>
        <vt:i4>974</vt:i4>
      </vt:variant>
      <vt:variant>
        <vt:i4>0</vt:i4>
      </vt:variant>
      <vt:variant>
        <vt:i4>5</vt:i4>
      </vt:variant>
      <vt:variant>
        <vt:lpwstr>https://www.gartner.com/en/newsroom/press-releases/2018-11-07-gartner-identifies-top-10-strategic-iot-technologies-and-trends</vt:lpwstr>
      </vt:variant>
      <vt:variant>
        <vt:lpwstr/>
      </vt:variant>
      <vt:variant>
        <vt:i4>1310808</vt:i4>
      </vt:variant>
      <vt:variant>
        <vt:i4>971</vt:i4>
      </vt:variant>
      <vt:variant>
        <vt:i4>0</vt:i4>
      </vt:variant>
      <vt:variant>
        <vt:i4>5</vt:i4>
      </vt:variant>
      <vt:variant>
        <vt:lpwstr>https://www.pwc.com.au/consulting/assets/publications/acs-pwc-iot-report-web.pdf</vt:lpwstr>
      </vt:variant>
      <vt:variant>
        <vt:lpwstr/>
      </vt:variant>
      <vt:variant>
        <vt:i4>3080238</vt:i4>
      </vt:variant>
      <vt:variant>
        <vt:i4>968</vt:i4>
      </vt:variant>
      <vt:variant>
        <vt:i4>0</vt:i4>
      </vt:variant>
      <vt:variant>
        <vt:i4>5</vt:i4>
      </vt:variant>
      <vt:variant>
        <vt:lpwstr>https://www.idc.com/getdoc.jsp?containerId=prUS45213219</vt:lpwstr>
      </vt:variant>
      <vt:variant>
        <vt:lpwstr/>
      </vt:variant>
      <vt:variant>
        <vt:i4>7733352</vt:i4>
      </vt:variant>
      <vt:variant>
        <vt:i4>965</vt:i4>
      </vt:variant>
      <vt:variant>
        <vt:i4>0</vt:i4>
      </vt:variant>
      <vt:variant>
        <vt:i4>5</vt:i4>
      </vt:variant>
      <vt:variant>
        <vt:lpwstr>https://www.homeaffairs.gov.au/reports-and-pubs/files/code-of-practice.pdf</vt:lpwstr>
      </vt:variant>
      <vt:variant>
        <vt:lpwstr/>
      </vt:variant>
      <vt:variant>
        <vt:i4>1769541</vt:i4>
      </vt:variant>
      <vt:variant>
        <vt:i4>962</vt:i4>
      </vt:variant>
      <vt:variant>
        <vt:i4>0</vt:i4>
      </vt:variant>
      <vt:variant>
        <vt:i4>5</vt:i4>
      </vt:variant>
      <vt:variant>
        <vt:lpwstr>Framework  https:/www.iot.org.au/wp/wp-content/uploads/2016/12/IoT-Reference-Framework-Application-Guide-v1.0.pdf</vt:lpwstr>
      </vt:variant>
      <vt:variant>
        <vt:lpwstr/>
      </vt:variant>
      <vt:variant>
        <vt:i4>1310808</vt:i4>
      </vt:variant>
      <vt:variant>
        <vt:i4>959</vt:i4>
      </vt:variant>
      <vt:variant>
        <vt:i4>0</vt:i4>
      </vt:variant>
      <vt:variant>
        <vt:i4>5</vt:i4>
      </vt:variant>
      <vt:variant>
        <vt:lpwstr>https://www.pwc.com.au/consulting/assets/publications/acs-pwc-iot-report-web.pdf</vt:lpwstr>
      </vt:variant>
      <vt:variant>
        <vt:lpwstr/>
      </vt:variant>
      <vt:variant>
        <vt:i4>2555930</vt:i4>
      </vt:variant>
      <vt:variant>
        <vt:i4>956</vt:i4>
      </vt:variant>
      <vt:variant>
        <vt:i4>0</vt:i4>
      </vt:variant>
      <vt:variant>
        <vt:i4>5</vt:i4>
      </vt:variant>
      <vt:variant>
        <vt:lpwstr/>
      </vt:variant>
      <vt:variant>
        <vt:lpwstr>_What_is_IoT?</vt:lpwstr>
      </vt:variant>
      <vt:variant>
        <vt:i4>2949154</vt:i4>
      </vt:variant>
      <vt:variant>
        <vt:i4>953</vt:i4>
      </vt:variant>
      <vt:variant>
        <vt:i4>0</vt:i4>
      </vt:variant>
      <vt:variant>
        <vt:i4>5</vt:i4>
      </vt:variant>
      <vt:variant>
        <vt:lpwstr/>
      </vt:variant>
      <vt:variant>
        <vt:lpwstr>_Technology_for_IoT_2</vt:lpwstr>
      </vt:variant>
      <vt:variant>
        <vt:i4>1441842</vt:i4>
      </vt:variant>
      <vt:variant>
        <vt:i4>950</vt:i4>
      </vt:variant>
      <vt:variant>
        <vt:i4>0</vt:i4>
      </vt:variant>
      <vt:variant>
        <vt:i4>5</vt:i4>
      </vt:variant>
      <vt:variant>
        <vt:lpwstr/>
      </vt:variant>
      <vt:variant>
        <vt:lpwstr>_Appendix_D_–</vt:lpwstr>
      </vt:variant>
      <vt:variant>
        <vt:i4>4915272</vt:i4>
      </vt:variant>
      <vt:variant>
        <vt:i4>947</vt:i4>
      </vt:variant>
      <vt:variant>
        <vt:i4>0</vt:i4>
      </vt:variant>
      <vt:variant>
        <vt:i4>5</vt:i4>
      </vt:variant>
      <vt:variant>
        <vt:lpwstr>https://wiki.european-iot-pilots.eu/index.php?title=HANDBOOK_TO_THE_IOT_LARGE-SCALE_PILOTS_PROGRAMME</vt:lpwstr>
      </vt:variant>
      <vt:variant>
        <vt:lpwstr/>
      </vt:variant>
      <vt:variant>
        <vt:i4>1376304</vt:i4>
      </vt:variant>
      <vt:variant>
        <vt:i4>937</vt:i4>
      </vt:variant>
      <vt:variant>
        <vt:i4>0</vt:i4>
      </vt:variant>
      <vt:variant>
        <vt:i4>5</vt:i4>
      </vt:variant>
      <vt:variant>
        <vt:lpwstr/>
      </vt:variant>
      <vt:variant>
        <vt:lpwstr>_Toc65760617</vt:lpwstr>
      </vt:variant>
      <vt:variant>
        <vt:i4>1310768</vt:i4>
      </vt:variant>
      <vt:variant>
        <vt:i4>931</vt:i4>
      </vt:variant>
      <vt:variant>
        <vt:i4>0</vt:i4>
      </vt:variant>
      <vt:variant>
        <vt:i4>5</vt:i4>
      </vt:variant>
      <vt:variant>
        <vt:lpwstr/>
      </vt:variant>
      <vt:variant>
        <vt:lpwstr>_Toc65760616</vt:lpwstr>
      </vt:variant>
      <vt:variant>
        <vt:i4>1507376</vt:i4>
      </vt:variant>
      <vt:variant>
        <vt:i4>925</vt:i4>
      </vt:variant>
      <vt:variant>
        <vt:i4>0</vt:i4>
      </vt:variant>
      <vt:variant>
        <vt:i4>5</vt:i4>
      </vt:variant>
      <vt:variant>
        <vt:lpwstr/>
      </vt:variant>
      <vt:variant>
        <vt:lpwstr>_Toc65760615</vt:lpwstr>
      </vt:variant>
      <vt:variant>
        <vt:i4>1441840</vt:i4>
      </vt:variant>
      <vt:variant>
        <vt:i4>919</vt:i4>
      </vt:variant>
      <vt:variant>
        <vt:i4>0</vt:i4>
      </vt:variant>
      <vt:variant>
        <vt:i4>5</vt:i4>
      </vt:variant>
      <vt:variant>
        <vt:lpwstr/>
      </vt:variant>
      <vt:variant>
        <vt:lpwstr>_Toc65760614</vt:lpwstr>
      </vt:variant>
      <vt:variant>
        <vt:i4>1114160</vt:i4>
      </vt:variant>
      <vt:variant>
        <vt:i4>913</vt:i4>
      </vt:variant>
      <vt:variant>
        <vt:i4>0</vt:i4>
      </vt:variant>
      <vt:variant>
        <vt:i4>5</vt:i4>
      </vt:variant>
      <vt:variant>
        <vt:lpwstr/>
      </vt:variant>
      <vt:variant>
        <vt:lpwstr>_Toc65760613</vt:lpwstr>
      </vt:variant>
      <vt:variant>
        <vt:i4>1048624</vt:i4>
      </vt:variant>
      <vt:variant>
        <vt:i4>907</vt:i4>
      </vt:variant>
      <vt:variant>
        <vt:i4>0</vt:i4>
      </vt:variant>
      <vt:variant>
        <vt:i4>5</vt:i4>
      </vt:variant>
      <vt:variant>
        <vt:lpwstr/>
      </vt:variant>
      <vt:variant>
        <vt:lpwstr>_Toc65760612</vt:lpwstr>
      </vt:variant>
      <vt:variant>
        <vt:i4>1245232</vt:i4>
      </vt:variant>
      <vt:variant>
        <vt:i4>901</vt:i4>
      </vt:variant>
      <vt:variant>
        <vt:i4>0</vt:i4>
      </vt:variant>
      <vt:variant>
        <vt:i4>5</vt:i4>
      </vt:variant>
      <vt:variant>
        <vt:lpwstr/>
      </vt:variant>
      <vt:variant>
        <vt:lpwstr>_Toc65760611</vt:lpwstr>
      </vt:variant>
      <vt:variant>
        <vt:i4>1179696</vt:i4>
      </vt:variant>
      <vt:variant>
        <vt:i4>895</vt:i4>
      </vt:variant>
      <vt:variant>
        <vt:i4>0</vt:i4>
      </vt:variant>
      <vt:variant>
        <vt:i4>5</vt:i4>
      </vt:variant>
      <vt:variant>
        <vt:lpwstr/>
      </vt:variant>
      <vt:variant>
        <vt:lpwstr>_Toc65760610</vt:lpwstr>
      </vt:variant>
      <vt:variant>
        <vt:i4>1769521</vt:i4>
      </vt:variant>
      <vt:variant>
        <vt:i4>889</vt:i4>
      </vt:variant>
      <vt:variant>
        <vt:i4>0</vt:i4>
      </vt:variant>
      <vt:variant>
        <vt:i4>5</vt:i4>
      </vt:variant>
      <vt:variant>
        <vt:lpwstr/>
      </vt:variant>
      <vt:variant>
        <vt:lpwstr>_Toc65760609</vt:lpwstr>
      </vt:variant>
      <vt:variant>
        <vt:i4>1703985</vt:i4>
      </vt:variant>
      <vt:variant>
        <vt:i4>883</vt:i4>
      </vt:variant>
      <vt:variant>
        <vt:i4>0</vt:i4>
      </vt:variant>
      <vt:variant>
        <vt:i4>5</vt:i4>
      </vt:variant>
      <vt:variant>
        <vt:lpwstr/>
      </vt:variant>
      <vt:variant>
        <vt:lpwstr>_Toc65760608</vt:lpwstr>
      </vt:variant>
      <vt:variant>
        <vt:i4>1376305</vt:i4>
      </vt:variant>
      <vt:variant>
        <vt:i4>877</vt:i4>
      </vt:variant>
      <vt:variant>
        <vt:i4>0</vt:i4>
      </vt:variant>
      <vt:variant>
        <vt:i4>5</vt:i4>
      </vt:variant>
      <vt:variant>
        <vt:lpwstr/>
      </vt:variant>
      <vt:variant>
        <vt:lpwstr>_Toc65760607</vt:lpwstr>
      </vt:variant>
      <vt:variant>
        <vt:i4>1310769</vt:i4>
      </vt:variant>
      <vt:variant>
        <vt:i4>871</vt:i4>
      </vt:variant>
      <vt:variant>
        <vt:i4>0</vt:i4>
      </vt:variant>
      <vt:variant>
        <vt:i4>5</vt:i4>
      </vt:variant>
      <vt:variant>
        <vt:lpwstr/>
      </vt:variant>
      <vt:variant>
        <vt:lpwstr>_Toc65760606</vt:lpwstr>
      </vt:variant>
      <vt:variant>
        <vt:i4>1507377</vt:i4>
      </vt:variant>
      <vt:variant>
        <vt:i4>865</vt:i4>
      </vt:variant>
      <vt:variant>
        <vt:i4>0</vt:i4>
      </vt:variant>
      <vt:variant>
        <vt:i4>5</vt:i4>
      </vt:variant>
      <vt:variant>
        <vt:lpwstr/>
      </vt:variant>
      <vt:variant>
        <vt:lpwstr>_Toc65760605</vt:lpwstr>
      </vt:variant>
      <vt:variant>
        <vt:i4>1441841</vt:i4>
      </vt:variant>
      <vt:variant>
        <vt:i4>859</vt:i4>
      </vt:variant>
      <vt:variant>
        <vt:i4>0</vt:i4>
      </vt:variant>
      <vt:variant>
        <vt:i4>5</vt:i4>
      </vt:variant>
      <vt:variant>
        <vt:lpwstr/>
      </vt:variant>
      <vt:variant>
        <vt:lpwstr>_Toc65760604</vt:lpwstr>
      </vt:variant>
      <vt:variant>
        <vt:i4>1114161</vt:i4>
      </vt:variant>
      <vt:variant>
        <vt:i4>853</vt:i4>
      </vt:variant>
      <vt:variant>
        <vt:i4>0</vt:i4>
      </vt:variant>
      <vt:variant>
        <vt:i4>5</vt:i4>
      </vt:variant>
      <vt:variant>
        <vt:lpwstr/>
      </vt:variant>
      <vt:variant>
        <vt:lpwstr>_Toc65760603</vt:lpwstr>
      </vt:variant>
      <vt:variant>
        <vt:i4>1048625</vt:i4>
      </vt:variant>
      <vt:variant>
        <vt:i4>847</vt:i4>
      </vt:variant>
      <vt:variant>
        <vt:i4>0</vt:i4>
      </vt:variant>
      <vt:variant>
        <vt:i4>5</vt:i4>
      </vt:variant>
      <vt:variant>
        <vt:lpwstr/>
      </vt:variant>
      <vt:variant>
        <vt:lpwstr>_Toc65760602</vt:lpwstr>
      </vt:variant>
      <vt:variant>
        <vt:i4>1245233</vt:i4>
      </vt:variant>
      <vt:variant>
        <vt:i4>841</vt:i4>
      </vt:variant>
      <vt:variant>
        <vt:i4>0</vt:i4>
      </vt:variant>
      <vt:variant>
        <vt:i4>5</vt:i4>
      </vt:variant>
      <vt:variant>
        <vt:lpwstr/>
      </vt:variant>
      <vt:variant>
        <vt:lpwstr>_Toc65760601</vt:lpwstr>
      </vt:variant>
      <vt:variant>
        <vt:i4>1179697</vt:i4>
      </vt:variant>
      <vt:variant>
        <vt:i4>835</vt:i4>
      </vt:variant>
      <vt:variant>
        <vt:i4>0</vt:i4>
      </vt:variant>
      <vt:variant>
        <vt:i4>5</vt:i4>
      </vt:variant>
      <vt:variant>
        <vt:lpwstr/>
      </vt:variant>
      <vt:variant>
        <vt:lpwstr>_Toc65760600</vt:lpwstr>
      </vt:variant>
      <vt:variant>
        <vt:i4>1572920</vt:i4>
      </vt:variant>
      <vt:variant>
        <vt:i4>829</vt:i4>
      </vt:variant>
      <vt:variant>
        <vt:i4>0</vt:i4>
      </vt:variant>
      <vt:variant>
        <vt:i4>5</vt:i4>
      </vt:variant>
      <vt:variant>
        <vt:lpwstr/>
      </vt:variant>
      <vt:variant>
        <vt:lpwstr>_Toc65760599</vt:lpwstr>
      </vt:variant>
      <vt:variant>
        <vt:i4>1638456</vt:i4>
      </vt:variant>
      <vt:variant>
        <vt:i4>823</vt:i4>
      </vt:variant>
      <vt:variant>
        <vt:i4>0</vt:i4>
      </vt:variant>
      <vt:variant>
        <vt:i4>5</vt:i4>
      </vt:variant>
      <vt:variant>
        <vt:lpwstr/>
      </vt:variant>
      <vt:variant>
        <vt:lpwstr>_Toc65760598</vt:lpwstr>
      </vt:variant>
      <vt:variant>
        <vt:i4>1441848</vt:i4>
      </vt:variant>
      <vt:variant>
        <vt:i4>817</vt:i4>
      </vt:variant>
      <vt:variant>
        <vt:i4>0</vt:i4>
      </vt:variant>
      <vt:variant>
        <vt:i4>5</vt:i4>
      </vt:variant>
      <vt:variant>
        <vt:lpwstr/>
      </vt:variant>
      <vt:variant>
        <vt:lpwstr>_Toc65760597</vt:lpwstr>
      </vt:variant>
      <vt:variant>
        <vt:i4>1507384</vt:i4>
      </vt:variant>
      <vt:variant>
        <vt:i4>811</vt:i4>
      </vt:variant>
      <vt:variant>
        <vt:i4>0</vt:i4>
      </vt:variant>
      <vt:variant>
        <vt:i4>5</vt:i4>
      </vt:variant>
      <vt:variant>
        <vt:lpwstr/>
      </vt:variant>
      <vt:variant>
        <vt:lpwstr>_Toc65760596</vt:lpwstr>
      </vt:variant>
      <vt:variant>
        <vt:i4>1310776</vt:i4>
      </vt:variant>
      <vt:variant>
        <vt:i4>805</vt:i4>
      </vt:variant>
      <vt:variant>
        <vt:i4>0</vt:i4>
      </vt:variant>
      <vt:variant>
        <vt:i4>5</vt:i4>
      </vt:variant>
      <vt:variant>
        <vt:lpwstr/>
      </vt:variant>
      <vt:variant>
        <vt:lpwstr>_Toc65760595</vt:lpwstr>
      </vt:variant>
      <vt:variant>
        <vt:i4>1376312</vt:i4>
      </vt:variant>
      <vt:variant>
        <vt:i4>799</vt:i4>
      </vt:variant>
      <vt:variant>
        <vt:i4>0</vt:i4>
      </vt:variant>
      <vt:variant>
        <vt:i4>5</vt:i4>
      </vt:variant>
      <vt:variant>
        <vt:lpwstr/>
      </vt:variant>
      <vt:variant>
        <vt:lpwstr>_Toc65760594</vt:lpwstr>
      </vt:variant>
      <vt:variant>
        <vt:i4>1179704</vt:i4>
      </vt:variant>
      <vt:variant>
        <vt:i4>793</vt:i4>
      </vt:variant>
      <vt:variant>
        <vt:i4>0</vt:i4>
      </vt:variant>
      <vt:variant>
        <vt:i4>5</vt:i4>
      </vt:variant>
      <vt:variant>
        <vt:lpwstr/>
      </vt:variant>
      <vt:variant>
        <vt:lpwstr>_Toc65760593</vt:lpwstr>
      </vt:variant>
      <vt:variant>
        <vt:i4>1245240</vt:i4>
      </vt:variant>
      <vt:variant>
        <vt:i4>787</vt:i4>
      </vt:variant>
      <vt:variant>
        <vt:i4>0</vt:i4>
      </vt:variant>
      <vt:variant>
        <vt:i4>5</vt:i4>
      </vt:variant>
      <vt:variant>
        <vt:lpwstr/>
      </vt:variant>
      <vt:variant>
        <vt:lpwstr>_Toc65760592</vt:lpwstr>
      </vt:variant>
      <vt:variant>
        <vt:i4>1048632</vt:i4>
      </vt:variant>
      <vt:variant>
        <vt:i4>781</vt:i4>
      </vt:variant>
      <vt:variant>
        <vt:i4>0</vt:i4>
      </vt:variant>
      <vt:variant>
        <vt:i4>5</vt:i4>
      </vt:variant>
      <vt:variant>
        <vt:lpwstr/>
      </vt:variant>
      <vt:variant>
        <vt:lpwstr>_Toc65760591</vt:lpwstr>
      </vt:variant>
      <vt:variant>
        <vt:i4>1114168</vt:i4>
      </vt:variant>
      <vt:variant>
        <vt:i4>775</vt:i4>
      </vt:variant>
      <vt:variant>
        <vt:i4>0</vt:i4>
      </vt:variant>
      <vt:variant>
        <vt:i4>5</vt:i4>
      </vt:variant>
      <vt:variant>
        <vt:lpwstr/>
      </vt:variant>
      <vt:variant>
        <vt:lpwstr>_Toc65760590</vt:lpwstr>
      </vt:variant>
      <vt:variant>
        <vt:i4>1638457</vt:i4>
      </vt:variant>
      <vt:variant>
        <vt:i4>769</vt:i4>
      </vt:variant>
      <vt:variant>
        <vt:i4>0</vt:i4>
      </vt:variant>
      <vt:variant>
        <vt:i4>5</vt:i4>
      </vt:variant>
      <vt:variant>
        <vt:lpwstr/>
      </vt:variant>
      <vt:variant>
        <vt:lpwstr>_Toc65760588</vt:lpwstr>
      </vt:variant>
      <vt:variant>
        <vt:i4>1441849</vt:i4>
      </vt:variant>
      <vt:variant>
        <vt:i4>763</vt:i4>
      </vt:variant>
      <vt:variant>
        <vt:i4>0</vt:i4>
      </vt:variant>
      <vt:variant>
        <vt:i4>5</vt:i4>
      </vt:variant>
      <vt:variant>
        <vt:lpwstr/>
      </vt:variant>
      <vt:variant>
        <vt:lpwstr>_Toc65760587</vt:lpwstr>
      </vt:variant>
      <vt:variant>
        <vt:i4>1507385</vt:i4>
      </vt:variant>
      <vt:variant>
        <vt:i4>757</vt:i4>
      </vt:variant>
      <vt:variant>
        <vt:i4>0</vt:i4>
      </vt:variant>
      <vt:variant>
        <vt:i4>5</vt:i4>
      </vt:variant>
      <vt:variant>
        <vt:lpwstr/>
      </vt:variant>
      <vt:variant>
        <vt:lpwstr>_Toc65760586</vt:lpwstr>
      </vt:variant>
      <vt:variant>
        <vt:i4>1310777</vt:i4>
      </vt:variant>
      <vt:variant>
        <vt:i4>751</vt:i4>
      </vt:variant>
      <vt:variant>
        <vt:i4>0</vt:i4>
      </vt:variant>
      <vt:variant>
        <vt:i4>5</vt:i4>
      </vt:variant>
      <vt:variant>
        <vt:lpwstr/>
      </vt:variant>
      <vt:variant>
        <vt:lpwstr>_Toc65760585</vt:lpwstr>
      </vt:variant>
      <vt:variant>
        <vt:i4>1376313</vt:i4>
      </vt:variant>
      <vt:variant>
        <vt:i4>745</vt:i4>
      </vt:variant>
      <vt:variant>
        <vt:i4>0</vt:i4>
      </vt:variant>
      <vt:variant>
        <vt:i4>5</vt:i4>
      </vt:variant>
      <vt:variant>
        <vt:lpwstr/>
      </vt:variant>
      <vt:variant>
        <vt:lpwstr>_Toc65760584</vt:lpwstr>
      </vt:variant>
      <vt:variant>
        <vt:i4>1179705</vt:i4>
      </vt:variant>
      <vt:variant>
        <vt:i4>739</vt:i4>
      </vt:variant>
      <vt:variant>
        <vt:i4>0</vt:i4>
      </vt:variant>
      <vt:variant>
        <vt:i4>5</vt:i4>
      </vt:variant>
      <vt:variant>
        <vt:lpwstr/>
      </vt:variant>
      <vt:variant>
        <vt:lpwstr>_Toc65760583</vt:lpwstr>
      </vt:variant>
      <vt:variant>
        <vt:i4>1245241</vt:i4>
      </vt:variant>
      <vt:variant>
        <vt:i4>733</vt:i4>
      </vt:variant>
      <vt:variant>
        <vt:i4>0</vt:i4>
      </vt:variant>
      <vt:variant>
        <vt:i4>5</vt:i4>
      </vt:variant>
      <vt:variant>
        <vt:lpwstr/>
      </vt:variant>
      <vt:variant>
        <vt:lpwstr>_Toc65760582</vt:lpwstr>
      </vt:variant>
      <vt:variant>
        <vt:i4>1048633</vt:i4>
      </vt:variant>
      <vt:variant>
        <vt:i4>727</vt:i4>
      </vt:variant>
      <vt:variant>
        <vt:i4>0</vt:i4>
      </vt:variant>
      <vt:variant>
        <vt:i4>5</vt:i4>
      </vt:variant>
      <vt:variant>
        <vt:lpwstr/>
      </vt:variant>
      <vt:variant>
        <vt:lpwstr>_Toc65760581</vt:lpwstr>
      </vt:variant>
      <vt:variant>
        <vt:i4>1572918</vt:i4>
      </vt:variant>
      <vt:variant>
        <vt:i4>721</vt:i4>
      </vt:variant>
      <vt:variant>
        <vt:i4>0</vt:i4>
      </vt:variant>
      <vt:variant>
        <vt:i4>5</vt:i4>
      </vt:variant>
      <vt:variant>
        <vt:lpwstr/>
      </vt:variant>
      <vt:variant>
        <vt:lpwstr>_Toc65760579</vt:lpwstr>
      </vt:variant>
      <vt:variant>
        <vt:i4>1638454</vt:i4>
      </vt:variant>
      <vt:variant>
        <vt:i4>715</vt:i4>
      </vt:variant>
      <vt:variant>
        <vt:i4>0</vt:i4>
      </vt:variant>
      <vt:variant>
        <vt:i4>5</vt:i4>
      </vt:variant>
      <vt:variant>
        <vt:lpwstr/>
      </vt:variant>
      <vt:variant>
        <vt:lpwstr>_Toc65760578</vt:lpwstr>
      </vt:variant>
      <vt:variant>
        <vt:i4>1441846</vt:i4>
      </vt:variant>
      <vt:variant>
        <vt:i4>709</vt:i4>
      </vt:variant>
      <vt:variant>
        <vt:i4>0</vt:i4>
      </vt:variant>
      <vt:variant>
        <vt:i4>5</vt:i4>
      </vt:variant>
      <vt:variant>
        <vt:lpwstr/>
      </vt:variant>
      <vt:variant>
        <vt:lpwstr>_Toc65760577</vt:lpwstr>
      </vt:variant>
      <vt:variant>
        <vt:i4>1507382</vt:i4>
      </vt:variant>
      <vt:variant>
        <vt:i4>703</vt:i4>
      </vt:variant>
      <vt:variant>
        <vt:i4>0</vt:i4>
      </vt:variant>
      <vt:variant>
        <vt:i4>5</vt:i4>
      </vt:variant>
      <vt:variant>
        <vt:lpwstr/>
      </vt:variant>
      <vt:variant>
        <vt:lpwstr>_Toc65760576</vt:lpwstr>
      </vt:variant>
      <vt:variant>
        <vt:i4>1310774</vt:i4>
      </vt:variant>
      <vt:variant>
        <vt:i4>697</vt:i4>
      </vt:variant>
      <vt:variant>
        <vt:i4>0</vt:i4>
      </vt:variant>
      <vt:variant>
        <vt:i4>5</vt:i4>
      </vt:variant>
      <vt:variant>
        <vt:lpwstr/>
      </vt:variant>
      <vt:variant>
        <vt:lpwstr>_Toc65760575</vt:lpwstr>
      </vt:variant>
      <vt:variant>
        <vt:i4>1376310</vt:i4>
      </vt:variant>
      <vt:variant>
        <vt:i4>691</vt:i4>
      </vt:variant>
      <vt:variant>
        <vt:i4>0</vt:i4>
      </vt:variant>
      <vt:variant>
        <vt:i4>5</vt:i4>
      </vt:variant>
      <vt:variant>
        <vt:lpwstr/>
      </vt:variant>
      <vt:variant>
        <vt:lpwstr>_Toc65760574</vt:lpwstr>
      </vt:variant>
      <vt:variant>
        <vt:i4>1179702</vt:i4>
      </vt:variant>
      <vt:variant>
        <vt:i4>685</vt:i4>
      </vt:variant>
      <vt:variant>
        <vt:i4>0</vt:i4>
      </vt:variant>
      <vt:variant>
        <vt:i4>5</vt:i4>
      </vt:variant>
      <vt:variant>
        <vt:lpwstr/>
      </vt:variant>
      <vt:variant>
        <vt:lpwstr>_Toc65760573</vt:lpwstr>
      </vt:variant>
      <vt:variant>
        <vt:i4>1245238</vt:i4>
      </vt:variant>
      <vt:variant>
        <vt:i4>679</vt:i4>
      </vt:variant>
      <vt:variant>
        <vt:i4>0</vt:i4>
      </vt:variant>
      <vt:variant>
        <vt:i4>5</vt:i4>
      </vt:variant>
      <vt:variant>
        <vt:lpwstr/>
      </vt:variant>
      <vt:variant>
        <vt:lpwstr>_Toc65760572</vt:lpwstr>
      </vt:variant>
      <vt:variant>
        <vt:i4>1048630</vt:i4>
      </vt:variant>
      <vt:variant>
        <vt:i4>673</vt:i4>
      </vt:variant>
      <vt:variant>
        <vt:i4>0</vt:i4>
      </vt:variant>
      <vt:variant>
        <vt:i4>5</vt:i4>
      </vt:variant>
      <vt:variant>
        <vt:lpwstr/>
      </vt:variant>
      <vt:variant>
        <vt:lpwstr>_Toc65760571</vt:lpwstr>
      </vt:variant>
      <vt:variant>
        <vt:i4>1114166</vt:i4>
      </vt:variant>
      <vt:variant>
        <vt:i4>667</vt:i4>
      </vt:variant>
      <vt:variant>
        <vt:i4>0</vt:i4>
      </vt:variant>
      <vt:variant>
        <vt:i4>5</vt:i4>
      </vt:variant>
      <vt:variant>
        <vt:lpwstr/>
      </vt:variant>
      <vt:variant>
        <vt:lpwstr>_Toc65760570</vt:lpwstr>
      </vt:variant>
      <vt:variant>
        <vt:i4>1572919</vt:i4>
      </vt:variant>
      <vt:variant>
        <vt:i4>661</vt:i4>
      </vt:variant>
      <vt:variant>
        <vt:i4>0</vt:i4>
      </vt:variant>
      <vt:variant>
        <vt:i4>5</vt:i4>
      </vt:variant>
      <vt:variant>
        <vt:lpwstr/>
      </vt:variant>
      <vt:variant>
        <vt:lpwstr>_Toc65760569</vt:lpwstr>
      </vt:variant>
      <vt:variant>
        <vt:i4>1638455</vt:i4>
      </vt:variant>
      <vt:variant>
        <vt:i4>655</vt:i4>
      </vt:variant>
      <vt:variant>
        <vt:i4>0</vt:i4>
      </vt:variant>
      <vt:variant>
        <vt:i4>5</vt:i4>
      </vt:variant>
      <vt:variant>
        <vt:lpwstr/>
      </vt:variant>
      <vt:variant>
        <vt:lpwstr>_Toc65760568</vt:lpwstr>
      </vt:variant>
      <vt:variant>
        <vt:i4>1441847</vt:i4>
      </vt:variant>
      <vt:variant>
        <vt:i4>649</vt:i4>
      </vt:variant>
      <vt:variant>
        <vt:i4>0</vt:i4>
      </vt:variant>
      <vt:variant>
        <vt:i4>5</vt:i4>
      </vt:variant>
      <vt:variant>
        <vt:lpwstr/>
      </vt:variant>
      <vt:variant>
        <vt:lpwstr>_Toc65760567</vt:lpwstr>
      </vt:variant>
      <vt:variant>
        <vt:i4>1507383</vt:i4>
      </vt:variant>
      <vt:variant>
        <vt:i4>643</vt:i4>
      </vt:variant>
      <vt:variant>
        <vt:i4>0</vt:i4>
      </vt:variant>
      <vt:variant>
        <vt:i4>5</vt:i4>
      </vt:variant>
      <vt:variant>
        <vt:lpwstr/>
      </vt:variant>
      <vt:variant>
        <vt:lpwstr>_Toc65760566</vt:lpwstr>
      </vt:variant>
      <vt:variant>
        <vt:i4>1310775</vt:i4>
      </vt:variant>
      <vt:variant>
        <vt:i4>637</vt:i4>
      </vt:variant>
      <vt:variant>
        <vt:i4>0</vt:i4>
      </vt:variant>
      <vt:variant>
        <vt:i4>5</vt:i4>
      </vt:variant>
      <vt:variant>
        <vt:lpwstr/>
      </vt:variant>
      <vt:variant>
        <vt:lpwstr>_Toc65760565</vt:lpwstr>
      </vt:variant>
      <vt:variant>
        <vt:i4>1376311</vt:i4>
      </vt:variant>
      <vt:variant>
        <vt:i4>631</vt:i4>
      </vt:variant>
      <vt:variant>
        <vt:i4>0</vt:i4>
      </vt:variant>
      <vt:variant>
        <vt:i4>5</vt:i4>
      </vt:variant>
      <vt:variant>
        <vt:lpwstr/>
      </vt:variant>
      <vt:variant>
        <vt:lpwstr>_Toc65760564</vt:lpwstr>
      </vt:variant>
      <vt:variant>
        <vt:i4>1179703</vt:i4>
      </vt:variant>
      <vt:variant>
        <vt:i4>625</vt:i4>
      </vt:variant>
      <vt:variant>
        <vt:i4>0</vt:i4>
      </vt:variant>
      <vt:variant>
        <vt:i4>5</vt:i4>
      </vt:variant>
      <vt:variant>
        <vt:lpwstr/>
      </vt:variant>
      <vt:variant>
        <vt:lpwstr>_Toc65760563</vt:lpwstr>
      </vt:variant>
      <vt:variant>
        <vt:i4>1245239</vt:i4>
      </vt:variant>
      <vt:variant>
        <vt:i4>619</vt:i4>
      </vt:variant>
      <vt:variant>
        <vt:i4>0</vt:i4>
      </vt:variant>
      <vt:variant>
        <vt:i4>5</vt:i4>
      </vt:variant>
      <vt:variant>
        <vt:lpwstr/>
      </vt:variant>
      <vt:variant>
        <vt:lpwstr>_Toc65760562</vt:lpwstr>
      </vt:variant>
      <vt:variant>
        <vt:i4>1048631</vt:i4>
      </vt:variant>
      <vt:variant>
        <vt:i4>613</vt:i4>
      </vt:variant>
      <vt:variant>
        <vt:i4>0</vt:i4>
      </vt:variant>
      <vt:variant>
        <vt:i4>5</vt:i4>
      </vt:variant>
      <vt:variant>
        <vt:lpwstr/>
      </vt:variant>
      <vt:variant>
        <vt:lpwstr>_Toc65760561</vt:lpwstr>
      </vt:variant>
      <vt:variant>
        <vt:i4>1114167</vt:i4>
      </vt:variant>
      <vt:variant>
        <vt:i4>607</vt:i4>
      </vt:variant>
      <vt:variant>
        <vt:i4>0</vt:i4>
      </vt:variant>
      <vt:variant>
        <vt:i4>5</vt:i4>
      </vt:variant>
      <vt:variant>
        <vt:lpwstr/>
      </vt:variant>
      <vt:variant>
        <vt:lpwstr>_Toc65760560</vt:lpwstr>
      </vt:variant>
      <vt:variant>
        <vt:i4>1572916</vt:i4>
      </vt:variant>
      <vt:variant>
        <vt:i4>601</vt:i4>
      </vt:variant>
      <vt:variant>
        <vt:i4>0</vt:i4>
      </vt:variant>
      <vt:variant>
        <vt:i4>5</vt:i4>
      </vt:variant>
      <vt:variant>
        <vt:lpwstr/>
      </vt:variant>
      <vt:variant>
        <vt:lpwstr>_Toc65760559</vt:lpwstr>
      </vt:variant>
      <vt:variant>
        <vt:i4>1638452</vt:i4>
      </vt:variant>
      <vt:variant>
        <vt:i4>595</vt:i4>
      </vt:variant>
      <vt:variant>
        <vt:i4>0</vt:i4>
      </vt:variant>
      <vt:variant>
        <vt:i4>5</vt:i4>
      </vt:variant>
      <vt:variant>
        <vt:lpwstr/>
      </vt:variant>
      <vt:variant>
        <vt:lpwstr>_Toc65760558</vt:lpwstr>
      </vt:variant>
      <vt:variant>
        <vt:i4>1441844</vt:i4>
      </vt:variant>
      <vt:variant>
        <vt:i4>589</vt:i4>
      </vt:variant>
      <vt:variant>
        <vt:i4>0</vt:i4>
      </vt:variant>
      <vt:variant>
        <vt:i4>5</vt:i4>
      </vt:variant>
      <vt:variant>
        <vt:lpwstr/>
      </vt:variant>
      <vt:variant>
        <vt:lpwstr>_Toc65760557</vt:lpwstr>
      </vt:variant>
      <vt:variant>
        <vt:i4>1507380</vt:i4>
      </vt:variant>
      <vt:variant>
        <vt:i4>583</vt:i4>
      </vt:variant>
      <vt:variant>
        <vt:i4>0</vt:i4>
      </vt:variant>
      <vt:variant>
        <vt:i4>5</vt:i4>
      </vt:variant>
      <vt:variant>
        <vt:lpwstr/>
      </vt:variant>
      <vt:variant>
        <vt:lpwstr>_Toc65760556</vt:lpwstr>
      </vt:variant>
      <vt:variant>
        <vt:i4>1310772</vt:i4>
      </vt:variant>
      <vt:variant>
        <vt:i4>577</vt:i4>
      </vt:variant>
      <vt:variant>
        <vt:i4>0</vt:i4>
      </vt:variant>
      <vt:variant>
        <vt:i4>5</vt:i4>
      </vt:variant>
      <vt:variant>
        <vt:lpwstr/>
      </vt:variant>
      <vt:variant>
        <vt:lpwstr>_Toc65760555</vt:lpwstr>
      </vt:variant>
      <vt:variant>
        <vt:i4>1376308</vt:i4>
      </vt:variant>
      <vt:variant>
        <vt:i4>571</vt:i4>
      </vt:variant>
      <vt:variant>
        <vt:i4>0</vt:i4>
      </vt:variant>
      <vt:variant>
        <vt:i4>5</vt:i4>
      </vt:variant>
      <vt:variant>
        <vt:lpwstr/>
      </vt:variant>
      <vt:variant>
        <vt:lpwstr>_Toc65760554</vt:lpwstr>
      </vt:variant>
      <vt:variant>
        <vt:i4>1179700</vt:i4>
      </vt:variant>
      <vt:variant>
        <vt:i4>565</vt:i4>
      </vt:variant>
      <vt:variant>
        <vt:i4>0</vt:i4>
      </vt:variant>
      <vt:variant>
        <vt:i4>5</vt:i4>
      </vt:variant>
      <vt:variant>
        <vt:lpwstr/>
      </vt:variant>
      <vt:variant>
        <vt:lpwstr>_Toc65760553</vt:lpwstr>
      </vt:variant>
      <vt:variant>
        <vt:i4>1245236</vt:i4>
      </vt:variant>
      <vt:variant>
        <vt:i4>559</vt:i4>
      </vt:variant>
      <vt:variant>
        <vt:i4>0</vt:i4>
      </vt:variant>
      <vt:variant>
        <vt:i4>5</vt:i4>
      </vt:variant>
      <vt:variant>
        <vt:lpwstr/>
      </vt:variant>
      <vt:variant>
        <vt:lpwstr>_Toc65760552</vt:lpwstr>
      </vt:variant>
      <vt:variant>
        <vt:i4>1048628</vt:i4>
      </vt:variant>
      <vt:variant>
        <vt:i4>553</vt:i4>
      </vt:variant>
      <vt:variant>
        <vt:i4>0</vt:i4>
      </vt:variant>
      <vt:variant>
        <vt:i4>5</vt:i4>
      </vt:variant>
      <vt:variant>
        <vt:lpwstr/>
      </vt:variant>
      <vt:variant>
        <vt:lpwstr>_Toc65760551</vt:lpwstr>
      </vt:variant>
      <vt:variant>
        <vt:i4>1114164</vt:i4>
      </vt:variant>
      <vt:variant>
        <vt:i4>547</vt:i4>
      </vt:variant>
      <vt:variant>
        <vt:i4>0</vt:i4>
      </vt:variant>
      <vt:variant>
        <vt:i4>5</vt:i4>
      </vt:variant>
      <vt:variant>
        <vt:lpwstr/>
      </vt:variant>
      <vt:variant>
        <vt:lpwstr>_Toc65760550</vt:lpwstr>
      </vt:variant>
      <vt:variant>
        <vt:i4>1572917</vt:i4>
      </vt:variant>
      <vt:variant>
        <vt:i4>541</vt:i4>
      </vt:variant>
      <vt:variant>
        <vt:i4>0</vt:i4>
      </vt:variant>
      <vt:variant>
        <vt:i4>5</vt:i4>
      </vt:variant>
      <vt:variant>
        <vt:lpwstr/>
      </vt:variant>
      <vt:variant>
        <vt:lpwstr>_Toc65760549</vt:lpwstr>
      </vt:variant>
      <vt:variant>
        <vt:i4>1638453</vt:i4>
      </vt:variant>
      <vt:variant>
        <vt:i4>535</vt:i4>
      </vt:variant>
      <vt:variant>
        <vt:i4>0</vt:i4>
      </vt:variant>
      <vt:variant>
        <vt:i4>5</vt:i4>
      </vt:variant>
      <vt:variant>
        <vt:lpwstr/>
      </vt:variant>
      <vt:variant>
        <vt:lpwstr>_Toc65760548</vt:lpwstr>
      </vt:variant>
      <vt:variant>
        <vt:i4>1441845</vt:i4>
      </vt:variant>
      <vt:variant>
        <vt:i4>529</vt:i4>
      </vt:variant>
      <vt:variant>
        <vt:i4>0</vt:i4>
      </vt:variant>
      <vt:variant>
        <vt:i4>5</vt:i4>
      </vt:variant>
      <vt:variant>
        <vt:lpwstr/>
      </vt:variant>
      <vt:variant>
        <vt:lpwstr>_Toc65760547</vt:lpwstr>
      </vt:variant>
      <vt:variant>
        <vt:i4>1507381</vt:i4>
      </vt:variant>
      <vt:variant>
        <vt:i4>523</vt:i4>
      </vt:variant>
      <vt:variant>
        <vt:i4>0</vt:i4>
      </vt:variant>
      <vt:variant>
        <vt:i4>5</vt:i4>
      </vt:variant>
      <vt:variant>
        <vt:lpwstr/>
      </vt:variant>
      <vt:variant>
        <vt:lpwstr>_Toc65760546</vt:lpwstr>
      </vt:variant>
      <vt:variant>
        <vt:i4>1310773</vt:i4>
      </vt:variant>
      <vt:variant>
        <vt:i4>517</vt:i4>
      </vt:variant>
      <vt:variant>
        <vt:i4>0</vt:i4>
      </vt:variant>
      <vt:variant>
        <vt:i4>5</vt:i4>
      </vt:variant>
      <vt:variant>
        <vt:lpwstr/>
      </vt:variant>
      <vt:variant>
        <vt:lpwstr>_Toc65760545</vt:lpwstr>
      </vt:variant>
      <vt:variant>
        <vt:i4>1376309</vt:i4>
      </vt:variant>
      <vt:variant>
        <vt:i4>511</vt:i4>
      </vt:variant>
      <vt:variant>
        <vt:i4>0</vt:i4>
      </vt:variant>
      <vt:variant>
        <vt:i4>5</vt:i4>
      </vt:variant>
      <vt:variant>
        <vt:lpwstr/>
      </vt:variant>
      <vt:variant>
        <vt:lpwstr>_Toc65760544</vt:lpwstr>
      </vt:variant>
      <vt:variant>
        <vt:i4>1179701</vt:i4>
      </vt:variant>
      <vt:variant>
        <vt:i4>505</vt:i4>
      </vt:variant>
      <vt:variant>
        <vt:i4>0</vt:i4>
      </vt:variant>
      <vt:variant>
        <vt:i4>5</vt:i4>
      </vt:variant>
      <vt:variant>
        <vt:lpwstr/>
      </vt:variant>
      <vt:variant>
        <vt:lpwstr>_Toc65760543</vt:lpwstr>
      </vt:variant>
      <vt:variant>
        <vt:i4>1245237</vt:i4>
      </vt:variant>
      <vt:variant>
        <vt:i4>499</vt:i4>
      </vt:variant>
      <vt:variant>
        <vt:i4>0</vt:i4>
      </vt:variant>
      <vt:variant>
        <vt:i4>5</vt:i4>
      </vt:variant>
      <vt:variant>
        <vt:lpwstr/>
      </vt:variant>
      <vt:variant>
        <vt:lpwstr>_Toc65760542</vt:lpwstr>
      </vt:variant>
      <vt:variant>
        <vt:i4>1048629</vt:i4>
      </vt:variant>
      <vt:variant>
        <vt:i4>493</vt:i4>
      </vt:variant>
      <vt:variant>
        <vt:i4>0</vt:i4>
      </vt:variant>
      <vt:variant>
        <vt:i4>5</vt:i4>
      </vt:variant>
      <vt:variant>
        <vt:lpwstr/>
      </vt:variant>
      <vt:variant>
        <vt:lpwstr>_Toc65760541</vt:lpwstr>
      </vt:variant>
      <vt:variant>
        <vt:i4>1114165</vt:i4>
      </vt:variant>
      <vt:variant>
        <vt:i4>487</vt:i4>
      </vt:variant>
      <vt:variant>
        <vt:i4>0</vt:i4>
      </vt:variant>
      <vt:variant>
        <vt:i4>5</vt:i4>
      </vt:variant>
      <vt:variant>
        <vt:lpwstr/>
      </vt:variant>
      <vt:variant>
        <vt:lpwstr>_Toc65760540</vt:lpwstr>
      </vt:variant>
      <vt:variant>
        <vt:i4>1638450</vt:i4>
      </vt:variant>
      <vt:variant>
        <vt:i4>481</vt:i4>
      </vt:variant>
      <vt:variant>
        <vt:i4>0</vt:i4>
      </vt:variant>
      <vt:variant>
        <vt:i4>5</vt:i4>
      </vt:variant>
      <vt:variant>
        <vt:lpwstr/>
      </vt:variant>
      <vt:variant>
        <vt:lpwstr>_Toc65760538</vt:lpwstr>
      </vt:variant>
      <vt:variant>
        <vt:i4>1441842</vt:i4>
      </vt:variant>
      <vt:variant>
        <vt:i4>475</vt:i4>
      </vt:variant>
      <vt:variant>
        <vt:i4>0</vt:i4>
      </vt:variant>
      <vt:variant>
        <vt:i4>5</vt:i4>
      </vt:variant>
      <vt:variant>
        <vt:lpwstr/>
      </vt:variant>
      <vt:variant>
        <vt:lpwstr>_Toc65760537</vt:lpwstr>
      </vt:variant>
      <vt:variant>
        <vt:i4>1376306</vt:i4>
      </vt:variant>
      <vt:variant>
        <vt:i4>469</vt:i4>
      </vt:variant>
      <vt:variant>
        <vt:i4>0</vt:i4>
      </vt:variant>
      <vt:variant>
        <vt:i4>5</vt:i4>
      </vt:variant>
      <vt:variant>
        <vt:lpwstr/>
      </vt:variant>
      <vt:variant>
        <vt:lpwstr>_Toc65760534</vt:lpwstr>
      </vt:variant>
      <vt:variant>
        <vt:i4>1179698</vt:i4>
      </vt:variant>
      <vt:variant>
        <vt:i4>463</vt:i4>
      </vt:variant>
      <vt:variant>
        <vt:i4>0</vt:i4>
      </vt:variant>
      <vt:variant>
        <vt:i4>5</vt:i4>
      </vt:variant>
      <vt:variant>
        <vt:lpwstr/>
      </vt:variant>
      <vt:variant>
        <vt:lpwstr>_Toc65760533</vt:lpwstr>
      </vt:variant>
      <vt:variant>
        <vt:i4>1245234</vt:i4>
      </vt:variant>
      <vt:variant>
        <vt:i4>457</vt:i4>
      </vt:variant>
      <vt:variant>
        <vt:i4>0</vt:i4>
      </vt:variant>
      <vt:variant>
        <vt:i4>5</vt:i4>
      </vt:variant>
      <vt:variant>
        <vt:lpwstr/>
      </vt:variant>
      <vt:variant>
        <vt:lpwstr>_Toc65760532</vt:lpwstr>
      </vt:variant>
      <vt:variant>
        <vt:i4>1048626</vt:i4>
      </vt:variant>
      <vt:variant>
        <vt:i4>451</vt:i4>
      </vt:variant>
      <vt:variant>
        <vt:i4>0</vt:i4>
      </vt:variant>
      <vt:variant>
        <vt:i4>5</vt:i4>
      </vt:variant>
      <vt:variant>
        <vt:lpwstr/>
      </vt:variant>
      <vt:variant>
        <vt:lpwstr>_Toc65760531</vt:lpwstr>
      </vt:variant>
      <vt:variant>
        <vt:i4>1114162</vt:i4>
      </vt:variant>
      <vt:variant>
        <vt:i4>445</vt:i4>
      </vt:variant>
      <vt:variant>
        <vt:i4>0</vt:i4>
      </vt:variant>
      <vt:variant>
        <vt:i4>5</vt:i4>
      </vt:variant>
      <vt:variant>
        <vt:lpwstr/>
      </vt:variant>
      <vt:variant>
        <vt:lpwstr>_Toc65760530</vt:lpwstr>
      </vt:variant>
      <vt:variant>
        <vt:i4>1572915</vt:i4>
      </vt:variant>
      <vt:variant>
        <vt:i4>439</vt:i4>
      </vt:variant>
      <vt:variant>
        <vt:i4>0</vt:i4>
      </vt:variant>
      <vt:variant>
        <vt:i4>5</vt:i4>
      </vt:variant>
      <vt:variant>
        <vt:lpwstr/>
      </vt:variant>
      <vt:variant>
        <vt:lpwstr>_Toc65760529</vt:lpwstr>
      </vt:variant>
      <vt:variant>
        <vt:i4>1638451</vt:i4>
      </vt:variant>
      <vt:variant>
        <vt:i4>433</vt:i4>
      </vt:variant>
      <vt:variant>
        <vt:i4>0</vt:i4>
      </vt:variant>
      <vt:variant>
        <vt:i4>5</vt:i4>
      </vt:variant>
      <vt:variant>
        <vt:lpwstr/>
      </vt:variant>
      <vt:variant>
        <vt:lpwstr>_Toc65760528</vt:lpwstr>
      </vt:variant>
      <vt:variant>
        <vt:i4>1441843</vt:i4>
      </vt:variant>
      <vt:variant>
        <vt:i4>427</vt:i4>
      </vt:variant>
      <vt:variant>
        <vt:i4>0</vt:i4>
      </vt:variant>
      <vt:variant>
        <vt:i4>5</vt:i4>
      </vt:variant>
      <vt:variant>
        <vt:lpwstr/>
      </vt:variant>
      <vt:variant>
        <vt:lpwstr>_Toc65760527</vt:lpwstr>
      </vt:variant>
      <vt:variant>
        <vt:i4>1507379</vt:i4>
      </vt:variant>
      <vt:variant>
        <vt:i4>421</vt:i4>
      </vt:variant>
      <vt:variant>
        <vt:i4>0</vt:i4>
      </vt:variant>
      <vt:variant>
        <vt:i4>5</vt:i4>
      </vt:variant>
      <vt:variant>
        <vt:lpwstr/>
      </vt:variant>
      <vt:variant>
        <vt:lpwstr>_Toc65760526</vt:lpwstr>
      </vt:variant>
      <vt:variant>
        <vt:i4>1310771</vt:i4>
      </vt:variant>
      <vt:variant>
        <vt:i4>415</vt:i4>
      </vt:variant>
      <vt:variant>
        <vt:i4>0</vt:i4>
      </vt:variant>
      <vt:variant>
        <vt:i4>5</vt:i4>
      </vt:variant>
      <vt:variant>
        <vt:lpwstr/>
      </vt:variant>
      <vt:variant>
        <vt:lpwstr>_Toc65760525</vt:lpwstr>
      </vt:variant>
      <vt:variant>
        <vt:i4>1376307</vt:i4>
      </vt:variant>
      <vt:variant>
        <vt:i4>409</vt:i4>
      </vt:variant>
      <vt:variant>
        <vt:i4>0</vt:i4>
      </vt:variant>
      <vt:variant>
        <vt:i4>5</vt:i4>
      </vt:variant>
      <vt:variant>
        <vt:lpwstr/>
      </vt:variant>
      <vt:variant>
        <vt:lpwstr>_Toc65760524</vt:lpwstr>
      </vt:variant>
      <vt:variant>
        <vt:i4>1179699</vt:i4>
      </vt:variant>
      <vt:variant>
        <vt:i4>403</vt:i4>
      </vt:variant>
      <vt:variant>
        <vt:i4>0</vt:i4>
      </vt:variant>
      <vt:variant>
        <vt:i4>5</vt:i4>
      </vt:variant>
      <vt:variant>
        <vt:lpwstr/>
      </vt:variant>
      <vt:variant>
        <vt:lpwstr>_Toc65760523</vt:lpwstr>
      </vt:variant>
      <vt:variant>
        <vt:i4>1245235</vt:i4>
      </vt:variant>
      <vt:variant>
        <vt:i4>397</vt:i4>
      </vt:variant>
      <vt:variant>
        <vt:i4>0</vt:i4>
      </vt:variant>
      <vt:variant>
        <vt:i4>5</vt:i4>
      </vt:variant>
      <vt:variant>
        <vt:lpwstr/>
      </vt:variant>
      <vt:variant>
        <vt:lpwstr>_Toc65760522</vt:lpwstr>
      </vt:variant>
      <vt:variant>
        <vt:i4>1048627</vt:i4>
      </vt:variant>
      <vt:variant>
        <vt:i4>391</vt:i4>
      </vt:variant>
      <vt:variant>
        <vt:i4>0</vt:i4>
      </vt:variant>
      <vt:variant>
        <vt:i4>5</vt:i4>
      </vt:variant>
      <vt:variant>
        <vt:lpwstr/>
      </vt:variant>
      <vt:variant>
        <vt:lpwstr>_Toc65760521</vt:lpwstr>
      </vt:variant>
      <vt:variant>
        <vt:i4>1114163</vt:i4>
      </vt:variant>
      <vt:variant>
        <vt:i4>385</vt:i4>
      </vt:variant>
      <vt:variant>
        <vt:i4>0</vt:i4>
      </vt:variant>
      <vt:variant>
        <vt:i4>5</vt:i4>
      </vt:variant>
      <vt:variant>
        <vt:lpwstr/>
      </vt:variant>
      <vt:variant>
        <vt:lpwstr>_Toc65760520</vt:lpwstr>
      </vt:variant>
      <vt:variant>
        <vt:i4>1572912</vt:i4>
      </vt:variant>
      <vt:variant>
        <vt:i4>379</vt:i4>
      </vt:variant>
      <vt:variant>
        <vt:i4>0</vt:i4>
      </vt:variant>
      <vt:variant>
        <vt:i4>5</vt:i4>
      </vt:variant>
      <vt:variant>
        <vt:lpwstr/>
      </vt:variant>
      <vt:variant>
        <vt:lpwstr>_Toc65760519</vt:lpwstr>
      </vt:variant>
      <vt:variant>
        <vt:i4>1638448</vt:i4>
      </vt:variant>
      <vt:variant>
        <vt:i4>373</vt:i4>
      </vt:variant>
      <vt:variant>
        <vt:i4>0</vt:i4>
      </vt:variant>
      <vt:variant>
        <vt:i4>5</vt:i4>
      </vt:variant>
      <vt:variant>
        <vt:lpwstr/>
      </vt:variant>
      <vt:variant>
        <vt:lpwstr>_Toc65760518</vt:lpwstr>
      </vt:variant>
      <vt:variant>
        <vt:i4>1441840</vt:i4>
      </vt:variant>
      <vt:variant>
        <vt:i4>367</vt:i4>
      </vt:variant>
      <vt:variant>
        <vt:i4>0</vt:i4>
      </vt:variant>
      <vt:variant>
        <vt:i4>5</vt:i4>
      </vt:variant>
      <vt:variant>
        <vt:lpwstr/>
      </vt:variant>
      <vt:variant>
        <vt:lpwstr>_Toc65760517</vt:lpwstr>
      </vt:variant>
      <vt:variant>
        <vt:i4>1507376</vt:i4>
      </vt:variant>
      <vt:variant>
        <vt:i4>361</vt:i4>
      </vt:variant>
      <vt:variant>
        <vt:i4>0</vt:i4>
      </vt:variant>
      <vt:variant>
        <vt:i4>5</vt:i4>
      </vt:variant>
      <vt:variant>
        <vt:lpwstr/>
      </vt:variant>
      <vt:variant>
        <vt:lpwstr>_Toc65760516</vt:lpwstr>
      </vt:variant>
      <vt:variant>
        <vt:i4>1310768</vt:i4>
      </vt:variant>
      <vt:variant>
        <vt:i4>355</vt:i4>
      </vt:variant>
      <vt:variant>
        <vt:i4>0</vt:i4>
      </vt:variant>
      <vt:variant>
        <vt:i4>5</vt:i4>
      </vt:variant>
      <vt:variant>
        <vt:lpwstr/>
      </vt:variant>
      <vt:variant>
        <vt:lpwstr>_Toc65760515</vt:lpwstr>
      </vt:variant>
      <vt:variant>
        <vt:i4>1376304</vt:i4>
      </vt:variant>
      <vt:variant>
        <vt:i4>349</vt:i4>
      </vt:variant>
      <vt:variant>
        <vt:i4>0</vt:i4>
      </vt:variant>
      <vt:variant>
        <vt:i4>5</vt:i4>
      </vt:variant>
      <vt:variant>
        <vt:lpwstr/>
      </vt:variant>
      <vt:variant>
        <vt:lpwstr>_Toc65760514</vt:lpwstr>
      </vt:variant>
      <vt:variant>
        <vt:i4>1179696</vt:i4>
      </vt:variant>
      <vt:variant>
        <vt:i4>343</vt:i4>
      </vt:variant>
      <vt:variant>
        <vt:i4>0</vt:i4>
      </vt:variant>
      <vt:variant>
        <vt:i4>5</vt:i4>
      </vt:variant>
      <vt:variant>
        <vt:lpwstr/>
      </vt:variant>
      <vt:variant>
        <vt:lpwstr>_Toc65760513</vt:lpwstr>
      </vt:variant>
      <vt:variant>
        <vt:i4>1245232</vt:i4>
      </vt:variant>
      <vt:variant>
        <vt:i4>337</vt:i4>
      </vt:variant>
      <vt:variant>
        <vt:i4>0</vt:i4>
      </vt:variant>
      <vt:variant>
        <vt:i4>5</vt:i4>
      </vt:variant>
      <vt:variant>
        <vt:lpwstr/>
      </vt:variant>
      <vt:variant>
        <vt:lpwstr>_Toc65760512</vt:lpwstr>
      </vt:variant>
      <vt:variant>
        <vt:i4>1048624</vt:i4>
      </vt:variant>
      <vt:variant>
        <vt:i4>331</vt:i4>
      </vt:variant>
      <vt:variant>
        <vt:i4>0</vt:i4>
      </vt:variant>
      <vt:variant>
        <vt:i4>5</vt:i4>
      </vt:variant>
      <vt:variant>
        <vt:lpwstr/>
      </vt:variant>
      <vt:variant>
        <vt:lpwstr>_Toc65760511</vt:lpwstr>
      </vt:variant>
      <vt:variant>
        <vt:i4>1114160</vt:i4>
      </vt:variant>
      <vt:variant>
        <vt:i4>325</vt:i4>
      </vt:variant>
      <vt:variant>
        <vt:i4>0</vt:i4>
      </vt:variant>
      <vt:variant>
        <vt:i4>5</vt:i4>
      </vt:variant>
      <vt:variant>
        <vt:lpwstr/>
      </vt:variant>
      <vt:variant>
        <vt:lpwstr>_Toc65760510</vt:lpwstr>
      </vt:variant>
      <vt:variant>
        <vt:i4>1572913</vt:i4>
      </vt:variant>
      <vt:variant>
        <vt:i4>319</vt:i4>
      </vt:variant>
      <vt:variant>
        <vt:i4>0</vt:i4>
      </vt:variant>
      <vt:variant>
        <vt:i4>5</vt:i4>
      </vt:variant>
      <vt:variant>
        <vt:lpwstr/>
      </vt:variant>
      <vt:variant>
        <vt:lpwstr>_Toc65760509</vt:lpwstr>
      </vt:variant>
      <vt:variant>
        <vt:i4>1638449</vt:i4>
      </vt:variant>
      <vt:variant>
        <vt:i4>313</vt:i4>
      </vt:variant>
      <vt:variant>
        <vt:i4>0</vt:i4>
      </vt:variant>
      <vt:variant>
        <vt:i4>5</vt:i4>
      </vt:variant>
      <vt:variant>
        <vt:lpwstr/>
      </vt:variant>
      <vt:variant>
        <vt:lpwstr>_Toc65760508</vt:lpwstr>
      </vt:variant>
      <vt:variant>
        <vt:i4>1441841</vt:i4>
      </vt:variant>
      <vt:variant>
        <vt:i4>307</vt:i4>
      </vt:variant>
      <vt:variant>
        <vt:i4>0</vt:i4>
      </vt:variant>
      <vt:variant>
        <vt:i4>5</vt:i4>
      </vt:variant>
      <vt:variant>
        <vt:lpwstr/>
      </vt:variant>
      <vt:variant>
        <vt:lpwstr>_Toc65760507</vt:lpwstr>
      </vt:variant>
      <vt:variant>
        <vt:i4>1507377</vt:i4>
      </vt:variant>
      <vt:variant>
        <vt:i4>301</vt:i4>
      </vt:variant>
      <vt:variant>
        <vt:i4>0</vt:i4>
      </vt:variant>
      <vt:variant>
        <vt:i4>5</vt:i4>
      </vt:variant>
      <vt:variant>
        <vt:lpwstr/>
      </vt:variant>
      <vt:variant>
        <vt:lpwstr>_Toc65760506</vt:lpwstr>
      </vt:variant>
      <vt:variant>
        <vt:i4>1310769</vt:i4>
      </vt:variant>
      <vt:variant>
        <vt:i4>295</vt:i4>
      </vt:variant>
      <vt:variant>
        <vt:i4>0</vt:i4>
      </vt:variant>
      <vt:variant>
        <vt:i4>5</vt:i4>
      </vt:variant>
      <vt:variant>
        <vt:lpwstr/>
      </vt:variant>
      <vt:variant>
        <vt:lpwstr>_Toc65760505</vt:lpwstr>
      </vt:variant>
      <vt:variant>
        <vt:i4>1376305</vt:i4>
      </vt:variant>
      <vt:variant>
        <vt:i4>289</vt:i4>
      </vt:variant>
      <vt:variant>
        <vt:i4>0</vt:i4>
      </vt:variant>
      <vt:variant>
        <vt:i4>5</vt:i4>
      </vt:variant>
      <vt:variant>
        <vt:lpwstr/>
      </vt:variant>
      <vt:variant>
        <vt:lpwstr>_Toc65760504</vt:lpwstr>
      </vt:variant>
      <vt:variant>
        <vt:i4>1179697</vt:i4>
      </vt:variant>
      <vt:variant>
        <vt:i4>283</vt:i4>
      </vt:variant>
      <vt:variant>
        <vt:i4>0</vt:i4>
      </vt:variant>
      <vt:variant>
        <vt:i4>5</vt:i4>
      </vt:variant>
      <vt:variant>
        <vt:lpwstr/>
      </vt:variant>
      <vt:variant>
        <vt:lpwstr>_Toc65760503</vt:lpwstr>
      </vt:variant>
      <vt:variant>
        <vt:i4>1245233</vt:i4>
      </vt:variant>
      <vt:variant>
        <vt:i4>277</vt:i4>
      </vt:variant>
      <vt:variant>
        <vt:i4>0</vt:i4>
      </vt:variant>
      <vt:variant>
        <vt:i4>5</vt:i4>
      </vt:variant>
      <vt:variant>
        <vt:lpwstr/>
      </vt:variant>
      <vt:variant>
        <vt:lpwstr>_Toc65760502</vt:lpwstr>
      </vt:variant>
      <vt:variant>
        <vt:i4>1048625</vt:i4>
      </vt:variant>
      <vt:variant>
        <vt:i4>271</vt:i4>
      </vt:variant>
      <vt:variant>
        <vt:i4>0</vt:i4>
      </vt:variant>
      <vt:variant>
        <vt:i4>5</vt:i4>
      </vt:variant>
      <vt:variant>
        <vt:lpwstr/>
      </vt:variant>
      <vt:variant>
        <vt:lpwstr>_Toc65760501</vt:lpwstr>
      </vt:variant>
      <vt:variant>
        <vt:i4>1114161</vt:i4>
      </vt:variant>
      <vt:variant>
        <vt:i4>265</vt:i4>
      </vt:variant>
      <vt:variant>
        <vt:i4>0</vt:i4>
      </vt:variant>
      <vt:variant>
        <vt:i4>5</vt:i4>
      </vt:variant>
      <vt:variant>
        <vt:lpwstr/>
      </vt:variant>
      <vt:variant>
        <vt:lpwstr>_Toc65760500</vt:lpwstr>
      </vt:variant>
      <vt:variant>
        <vt:i4>1638456</vt:i4>
      </vt:variant>
      <vt:variant>
        <vt:i4>259</vt:i4>
      </vt:variant>
      <vt:variant>
        <vt:i4>0</vt:i4>
      </vt:variant>
      <vt:variant>
        <vt:i4>5</vt:i4>
      </vt:variant>
      <vt:variant>
        <vt:lpwstr/>
      </vt:variant>
      <vt:variant>
        <vt:lpwstr>_Toc65760499</vt:lpwstr>
      </vt:variant>
      <vt:variant>
        <vt:i4>1572920</vt:i4>
      </vt:variant>
      <vt:variant>
        <vt:i4>253</vt:i4>
      </vt:variant>
      <vt:variant>
        <vt:i4>0</vt:i4>
      </vt:variant>
      <vt:variant>
        <vt:i4>5</vt:i4>
      </vt:variant>
      <vt:variant>
        <vt:lpwstr/>
      </vt:variant>
      <vt:variant>
        <vt:lpwstr>_Toc65760498</vt:lpwstr>
      </vt:variant>
      <vt:variant>
        <vt:i4>1507384</vt:i4>
      </vt:variant>
      <vt:variant>
        <vt:i4>247</vt:i4>
      </vt:variant>
      <vt:variant>
        <vt:i4>0</vt:i4>
      </vt:variant>
      <vt:variant>
        <vt:i4>5</vt:i4>
      </vt:variant>
      <vt:variant>
        <vt:lpwstr/>
      </vt:variant>
      <vt:variant>
        <vt:lpwstr>_Toc65760497</vt:lpwstr>
      </vt:variant>
      <vt:variant>
        <vt:i4>1441848</vt:i4>
      </vt:variant>
      <vt:variant>
        <vt:i4>241</vt:i4>
      </vt:variant>
      <vt:variant>
        <vt:i4>0</vt:i4>
      </vt:variant>
      <vt:variant>
        <vt:i4>5</vt:i4>
      </vt:variant>
      <vt:variant>
        <vt:lpwstr/>
      </vt:variant>
      <vt:variant>
        <vt:lpwstr>_Toc65760496</vt:lpwstr>
      </vt:variant>
      <vt:variant>
        <vt:i4>1376312</vt:i4>
      </vt:variant>
      <vt:variant>
        <vt:i4>235</vt:i4>
      </vt:variant>
      <vt:variant>
        <vt:i4>0</vt:i4>
      </vt:variant>
      <vt:variant>
        <vt:i4>5</vt:i4>
      </vt:variant>
      <vt:variant>
        <vt:lpwstr/>
      </vt:variant>
      <vt:variant>
        <vt:lpwstr>_Toc65760495</vt:lpwstr>
      </vt:variant>
      <vt:variant>
        <vt:i4>1310776</vt:i4>
      </vt:variant>
      <vt:variant>
        <vt:i4>229</vt:i4>
      </vt:variant>
      <vt:variant>
        <vt:i4>0</vt:i4>
      </vt:variant>
      <vt:variant>
        <vt:i4>5</vt:i4>
      </vt:variant>
      <vt:variant>
        <vt:lpwstr/>
      </vt:variant>
      <vt:variant>
        <vt:lpwstr>_Toc65760494</vt:lpwstr>
      </vt:variant>
      <vt:variant>
        <vt:i4>1245240</vt:i4>
      </vt:variant>
      <vt:variant>
        <vt:i4>223</vt:i4>
      </vt:variant>
      <vt:variant>
        <vt:i4>0</vt:i4>
      </vt:variant>
      <vt:variant>
        <vt:i4>5</vt:i4>
      </vt:variant>
      <vt:variant>
        <vt:lpwstr/>
      </vt:variant>
      <vt:variant>
        <vt:lpwstr>_Toc65760493</vt:lpwstr>
      </vt:variant>
      <vt:variant>
        <vt:i4>1179704</vt:i4>
      </vt:variant>
      <vt:variant>
        <vt:i4>217</vt:i4>
      </vt:variant>
      <vt:variant>
        <vt:i4>0</vt:i4>
      </vt:variant>
      <vt:variant>
        <vt:i4>5</vt:i4>
      </vt:variant>
      <vt:variant>
        <vt:lpwstr/>
      </vt:variant>
      <vt:variant>
        <vt:lpwstr>_Toc65760492</vt:lpwstr>
      </vt:variant>
      <vt:variant>
        <vt:i4>1114168</vt:i4>
      </vt:variant>
      <vt:variant>
        <vt:i4>211</vt:i4>
      </vt:variant>
      <vt:variant>
        <vt:i4>0</vt:i4>
      </vt:variant>
      <vt:variant>
        <vt:i4>5</vt:i4>
      </vt:variant>
      <vt:variant>
        <vt:lpwstr/>
      </vt:variant>
      <vt:variant>
        <vt:lpwstr>_Toc65760491</vt:lpwstr>
      </vt:variant>
      <vt:variant>
        <vt:i4>1048632</vt:i4>
      </vt:variant>
      <vt:variant>
        <vt:i4>205</vt:i4>
      </vt:variant>
      <vt:variant>
        <vt:i4>0</vt:i4>
      </vt:variant>
      <vt:variant>
        <vt:i4>5</vt:i4>
      </vt:variant>
      <vt:variant>
        <vt:lpwstr/>
      </vt:variant>
      <vt:variant>
        <vt:lpwstr>_Toc65760490</vt:lpwstr>
      </vt:variant>
      <vt:variant>
        <vt:i4>1638457</vt:i4>
      </vt:variant>
      <vt:variant>
        <vt:i4>199</vt:i4>
      </vt:variant>
      <vt:variant>
        <vt:i4>0</vt:i4>
      </vt:variant>
      <vt:variant>
        <vt:i4>5</vt:i4>
      </vt:variant>
      <vt:variant>
        <vt:lpwstr/>
      </vt:variant>
      <vt:variant>
        <vt:lpwstr>_Toc65760489</vt:lpwstr>
      </vt:variant>
      <vt:variant>
        <vt:i4>1572921</vt:i4>
      </vt:variant>
      <vt:variant>
        <vt:i4>193</vt:i4>
      </vt:variant>
      <vt:variant>
        <vt:i4>0</vt:i4>
      </vt:variant>
      <vt:variant>
        <vt:i4>5</vt:i4>
      </vt:variant>
      <vt:variant>
        <vt:lpwstr/>
      </vt:variant>
      <vt:variant>
        <vt:lpwstr>_Toc65760488</vt:lpwstr>
      </vt:variant>
      <vt:variant>
        <vt:i4>1507385</vt:i4>
      </vt:variant>
      <vt:variant>
        <vt:i4>187</vt:i4>
      </vt:variant>
      <vt:variant>
        <vt:i4>0</vt:i4>
      </vt:variant>
      <vt:variant>
        <vt:i4>5</vt:i4>
      </vt:variant>
      <vt:variant>
        <vt:lpwstr/>
      </vt:variant>
      <vt:variant>
        <vt:lpwstr>_Toc65760487</vt:lpwstr>
      </vt:variant>
      <vt:variant>
        <vt:i4>1441849</vt:i4>
      </vt:variant>
      <vt:variant>
        <vt:i4>181</vt:i4>
      </vt:variant>
      <vt:variant>
        <vt:i4>0</vt:i4>
      </vt:variant>
      <vt:variant>
        <vt:i4>5</vt:i4>
      </vt:variant>
      <vt:variant>
        <vt:lpwstr/>
      </vt:variant>
      <vt:variant>
        <vt:lpwstr>_Toc65760486</vt:lpwstr>
      </vt:variant>
      <vt:variant>
        <vt:i4>1376313</vt:i4>
      </vt:variant>
      <vt:variant>
        <vt:i4>175</vt:i4>
      </vt:variant>
      <vt:variant>
        <vt:i4>0</vt:i4>
      </vt:variant>
      <vt:variant>
        <vt:i4>5</vt:i4>
      </vt:variant>
      <vt:variant>
        <vt:lpwstr/>
      </vt:variant>
      <vt:variant>
        <vt:lpwstr>_Toc65760485</vt:lpwstr>
      </vt:variant>
      <vt:variant>
        <vt:i4>1310777</vt:i4>
      </vt:variant>
      <vt:variant>
        <vt:i4>169</vt:i4>
      </vt:variant>
      <vt:variant>
        <vt:i4>0</vt:i4>
      </vt:variant>
      <vt:variant>
        <vt:i4>5</vt:i4>
      </vt:variant>
      <vt:variant>
        <vt:lpwstr/>
      </vt:variant>
      <vt:variant>
        <vt:lpwstr>_Toc65760484</vt:lpwstr>
      </vt:variant>
      <vt:variant>
        <vt:i4>1245241</vt:i4>
      </vt:variant>
      <vt:variant>
        <vt:i4>163</vt:i4>
      </vt:variant>
      <vt:variant>
        <vt:i4>0</vt:i4>
      </vt:variant>
      <vt:variant>
        <vt:i4>5</vt:i4>
      </vt:variant>
      <vt:variant>
        <vt:lpwstr/>
      </vt:variant>
      <vt:variant>
        <vt:lpwstr>_Toc65760483</vt:lpwstr>
      </vt:variant>
      <vt:variant>
        <vt:i4>1179705</vt:i4>
      </vt:variant>
      <vt:variant>
        <vt:i4>157</vt:i4>
      </vt:variant>
      <vt:variant>
        <vt:i4>0</vt:i4>
      </vt:variant>
      <vt:variant>
        <vt:i4>5</vt:i4>
      </vt:variant>
      <vt:variant>
        <vt:lpwstr/>
      </vt:variant>
      <vt:variant>
        <vt:lpwstr>_Toc65760482</vt:lpwstr>
      </vt:variant>
      <vt:variant>
        <vt:i4>1114169</vt:i4>
      </vt:variant>
      <vt:variant>
        <vt:i4>151</vt:i4>
      </vt:variant>
      <vt:variant>
        <vt:i4>0</vt:i4>
      </vt:variant>
      <vt:variant>
        <vt:i4>5</vt:i4>
      </vt:variant>
      <vt:variant>
        <vt:lpwstr/>
      </vt:variant>
      <vt:variant>
        <vt:lpwstr>_Toc65760481</vt:lpwstr>
      </vt:variant>
      <vt:variant>
        <vt:i4>1048633</vt:i4>
      </vt:variant>
      <vt:variant>
        <vt:i4>145</vt:i4>
      </vt:variant>
      <vt:variant>
        <vt:i4>0</vt:i4>
      </vt:variant>
      <vt:variant>
        <vt:i4>5</vt:i4>
      </vt:variant>
      <vt:variant>
        <vt:lpwstr/>
      </vt:variant>
      <vt:variant>
        <vt:lpwstr>_Toc65760480</vt:lpwstr>
      </vt:variant>
      <vt:variant>
        <vt:i4>1638454</vt:i4>
      </vt:variant>
      <vt:variant>
        <vt:i4>139</vt:i4>
      </vt:variant>
      <vt:variant>
        <vt:i4>0</vt:i4>
      </vt:variant>
      <vt:variant>
        <vt:i4>5</vt:i4>
      </vt:variant>
      <vt:variant>
        <vt:lpwstr/>
      </vt:variant>
      <vt:variant>
        <vt:lpwstr>_Toc65760479</vt:lpwstr>
      </vt:variant>
      <vt:variant>
        <vt:i4>1572918</vt:i4>
      </vt:variant>
      <vt:variant>
        <vt:i4>133</vt:i4>
      </vt:variant>
      <vt:variant>
        <vt:i4>0</vt:i4>
      </vt:variant>
      <vt:variant>
        <vt:i4>5</vt:i4>
      </vt:variant>
      <vt:variant>
        <vt:lpwstr/>
      </vt:variant>
      <vt:variant>
        <vt:lpwstr>_Toc65760478</vt:lpwstr>
      </vt:variant>
      <vt:variant>
        <vt:i4>1507382</vt:i4>
      </vt:variant>
      <vt:variant>
        <vt:i4>127</vt:i4>
      </vt:variant>
      <vt:variant>
        <vt:i4>0</vt:i4>
      </vt:variant>
      <vt:variant>
        <vt:i4>5</vt:i4>
      </vt:variant>
      <vt:variant>
        <vt:lpwstr/>
      </vt:variant>
      <vt:variant>
        <vt:lpwstr>_Toc65760477</vt:lpwstr>
      </vt:variant>
      <vt:variant>
        <vt:i4>1441846</vt:i4>
      </vt:variant>
      <vt:variant>
        <vt:i4>121</vt:i4>
      </vt:variant>
      <vt:variant>
        <vt:i4>0</vt:i4>
      </vt:variant>
      <vt:variant>
        <vt:i4>5</vt:i4>
      </vt:variant>
      <vt:variant>
        <vt:lpwstr/>
      </vt:variant>
      <vt:variant>
        <vt:lpwstr>_Toc65760476</vt:lpwstr>
      </vt:variant>
      <vt:variant>
        <vt:i4>1376310</vt:i4>
      </vt:variant>
      <vt:variant>
        <vt:i4>115</vt:i4>
      </vt:variant>
      <vt:variant>
        <vt:i4>0</vt:i4>
      </vt:variant>
      <vt:variant>
        <vt:i4>5</vt:i4>
      </vt:variant>
      <vt:variant>
        <vt:lpwstr/>
      </vt:variant>
      <vt:variant>
        <vt:lpwstr>_Toc65760475</vt:lpwstr>
      </vt:variant>
      <vt:variant>
        <vt:i4>1310774</vt:i4>
      </vt:variant>
      <vt:variant>
        <vt:i4>109</vt:i4>
      </vt:variant>
      <vt:variant>
        <vt:i4>0</vt:i4>
      </vt:variant>
      <vt:variant>
        <vt:i4>5</vt:i4>
      </vt:variant>
      <vt:variant>
        <vt:lpwstr/>
      </vt:variant>
      <vt:variant>
        <vt:lpwstr>_Toc65760474</vt:lpwstr>
      </vt:variant>
      <vt:variant>
        <vt:i4>1245238</vt:i4>
      </vt:variant>
      <vt:variant>
        <vt:i4>103</vt:i4>
      </vt:variant>
      <vt:variant>
        <vt:i4>0</vt:i4>
      </vt:variant>
      <vt:variant>
        <vt:i4>5</vt:i4>
      </vt:variant>
      <vt:variant>
        <vt:lpwstr/>
      </vt:variant>
      <vt:variant>
        <vt:lpwstr>_Toc65760473</vt:lpwstr>
      </vt:variant>
      <vt:variant>
        <vt:i4>1179702</vt:i4>
      </vt:variant>
      <vt:variant>
        <vt:i4>97</vt:i4>
      </vt:variant>
      <vt:variant>
        <vt:i4>0</vt:i4>
      </vt:variant>
      <vt:variant>
        <vt:i4>5</vt:i4>
      </vt:variant>
      <vt:variant>
        <vt:lpwstr/>
      </vt:variant>
      <vt:variant>
        <vt:lpwstr>_Toc65760472</vt:lpwstr>
      </vt:variant>
      <vt:variant>
        <vt:i4>1114166</vt:i4>
      </vt:variant>
      <vt:variant>
        <vt:i4>91</vt:i4>
      </vt:variant>
      <vt:variant>
        <vt:i4>0</vt:i4>
      </vt:variant>
      <vt:variant>
        <vt:i4>5</vt:i4>
      </vt:variant>
      <vt:variant>
        <vt:lpwstr/>
      </vt:variant>
      <vt:variant>
        <vt:lpwstr>_Toc65760471</vt:lpwstr>
      </vt:variant>
      <vt:variant>
        <vt:i4>1048630</vt:i4>
      </vt:variant>
      <vt:variant>
        <vt:i4>85</vt:i4>
      </vt:variant>
      <vt:variant>
        <vt:i4>0</vt:i4>
      </vt:variant>
      <vt:variant>
        <vt:i4>5</vt:i4>
      </vt:variant>
      <vt:variant>
        <vt:lpwstr/>
      </vt:variant>
      <vt:variant>
        <vt:lpwstr>_Toc65760470</vt:lpwstr>
      </vt:variant>
      <vt:variant>
        <vt:i4>1638455</vt:i4>
      </vt:variant>
      <vt:variant>
        <vt:i4>79</vt:i4>
      </vt:variant>
      <vt:variant>
        <vt:i4>0</vt:i4>
      </vt:variant>
      <vt:variant>
        <vt:i4>5</vt:i4>
      </vt:variant>
      <vt:variant>
        <vt:lpwstr/>
      </vt:variant>
      <vt:variant>
        <vt:lpwstr>_Toc65760469</vt:lpwstr>
      </vt:variant>
      <vt:variant>
        <vt:i4>1572919</vt:i4>
      </vt:variant>
      <vt:variant>
        <vt:i4>73</vt:i4>
      </vt:variant>
      <vt:variant>
        <vt:i4>0</vt:i4>
      </vt:variant>
      <vt:variant>
        <vt:i4>5</vt:i4>
      </vt:variant>
      <vt:variant>
        <vt:lpwstr/>
      </vt:variant>
      <vt:variant>
        <vt:lpwstr>_Toc65760468</vt:lpwstr>
      </vt:variant>
      <vt:variant>
        <vt:i4>1507383</vt:i4>
      </vt:variant>
      <vt:variant>
        <vt:i4>67</vt:i4>
      </vt:variant>
      <vt:variant>
        <vt:i4>0</vt:i4>
      </vt:variant>
      <vt:variant>
        <vt:i4>5</vt:i4>
      </vt:variant>
      <vt:variant>
        <vt:lpwstr/>
      </vt:variant>
      <vt:variant>
        <vt:lpwstr>_Toc65760467</vt:lpwstr>
      </vt:variant>
      <vt:variant>
        <vt:i4>1441847</vt:i4>
      </vt:variant>
      <vt:variant>
        <vt:i4>61</vt:i4>
      </vt:variant>
      <vt:variant>
        <vt:i4>0</vt:i4>
      </vt:variant>
      <vt:variant>
        <vt:i4>5</vt:i4>
      </vt:variant>
      <vt:variant>
        <vt:lpwstr/>
      </vt:variant>
      <vt:variant>
        <vt:lpwstr>_Toc65760466</vt:lpwstr>
      </vt:variant>
      <vt:variant>
        <vt:i4>1376311</vt:i4>
      </vt:variant>
      <vt:variant>
        <vt:i4>55</vt:i4>
      </vt:variant>
      <vt:variant>
        <vt:i4>0</vt:i4>
      </vt:variant>
      <vt:variant>
        <vt:i4>5</vt:i4>
      </vt:variant>
      <vt:variant>
        <vt:lpwstr/>
      </vt:variant>
      <vt:variant>
        <vt:lpwstr>_Toc65760465</vt:lpwstr>
      </vt:variant>
      <vt:variant>
        <vt:i4>1310775</vt:i4>
      </vt:variant>
      <vt:variant>
        <vt:i4>49</vt:i4>
      </vt:variant>
      <vt:variant>
        <vt:i4>0</vt:i4>
      </vt:variant>
      <vt:variant>
        <vt:i4>5</vt:i4>
      </vt:variant>
      <vt:variant>
        <vt:lpwstr/>
      </vt:variant>
      <vt:variant>
        <vt:lpwstr>_Toc65760464</vt:lpwstr>
      </vt:variant>
      <vt:variant>
        <vt:i4>1245239</vt:i4>
      </vt:variant>
      <vt:variant>
        <vt:i4>43</vt:i4>
      </vt:variant>
      <vt:variant>
        <vt:i4>0</vt:i4>
      </vt:variant>
      <vt:variant>
        <vt:i4>5</vt:i4>
      </vt:variant>
      <vt:variant>
        <vt:lpwstr/>
      </vt:variant>
      <vt:variant>
        <vt:lpwstr>_Toc65760463</vt:lpwstr>
      </vt:variant>
      <vt:variant>
        <vt:i4>1179703</vt:i4>
      </vt:variant>
      <vt:variant>
        <vt:i4>37</vt:i4>
      </vt:variant>
      <vt:variant>
        <vt:i4>0</vt:i4>
      </vt:variant>
      <vt:variant>
        <vt:i4>5</vt:i4>
      </vt:variant>
      <vt:variant>
        <vt:lpwstr/>
      </vt:variant>
      <vt:variant>
        <vt:lpwstr>_Toc65760462</vt:lpwstr>
      </vt:variant>
      <vt:variant>
        <vt:i4>1114167</vt:i4>
      </vt:variant>
      <vt:variant>
        <vt:i4>31</vt:i4>
      </vt:variant>
      <vt:variant>
        <vt:i4>0</vt:i4>
      </vt:variant>
      <vt:variant>
        <vt:i4>5</vt:i4>
      </vt:variant>
      <vt:variant>
        <vt:lpwstr/>
      </vt:variant>
      <vt:variant>
        <vt:lpwstr>_Toc65760461</vt:lpwstr>
      </vt:variant>
      <vt:variant>
        <vt:i4>1048631</vt:i4>
      </vt:variant>
      <vt:variant>
        <vt:i4>25</vt:i4>
      </vt:variant>
      <vt:variant>
        <vt:i4>0</vt:i4>
      </vt:variant>
      <vt:variant>
        <vt:i4>5</vt:i4>
      </vt:variant>
      <vt:variant>
        <vt:lpwstr/>
      </vt:variant>
      <vt:variant>
        <vt:lpwstr>_Toc65760460</vt:lpwstr>
      </vt:variant>
      <vt:variant>
        <vt:i4>1638452</vt:i4>
      </vt:variant>
      <vt:variant>
        <vt:i4>19</vt:i4>
      </vt:variant>
      <vt:variant>
        <vt:i4>0</vt:i4>
      </vt:variant>
      <vt:variant>
        <vt:i4>5</vt:i4>
      </vt:variant>
      <vt:variant>
        <vt:lpwstr/>
      </vt:variant>
      <vt:variant>
        <vt:lpwstr>_Toc65760459</vt:lpwstr>
      </vt:variant>
      <vt:variant>
        <vt:i4>1572916</vt:i4>
      </vt:variant>
      <vt:variant>
        <vt:i4>13</vt:i4>
      </vt:variant>
      <vt:variant>
        <vt:i4>0</vt:i4>
      </vt:variant>
      <vt:variant>
        <vt:i4>5</vt:i4>
      </vt:variant>
      <vt:variant>
        <vt:lpwstr/>
      </vt:variant>
      <vt:variant>
        <vt:lpwstr>_Toc65760458</vt:lpwstr>
      </vt:variant>
      <vt:variant>
        <vt:i4>1507380</vt:i4>
      </vt:variant>
      <vt:variant>
        <vt:i4>7</vt:i4>
      </vt:variant>
      <vt:variant>
        <vt:i4>0</vt:i4>
      </vt:variant>
      <vt:variant>
        <vt:i4>5</vt:i4>
      </vt:variant>
      <vt:variant>
        <vt:lpwstr/>
      </vt:variant>
      <vt:variant>
        <vt:lpwstr>_Toc65760457</vt:lpwstr>
      </vt:variant>
      <vt:variant>
        <vt:i4>7995513</vt:i4>
      </vt:variant>
      <vt:variant>
        <vt:i4>18</vt:i4>
      </vt:variant>
      <vt:variant>
        <vt:i4>0</vt:i4>
      </vt:variant>
      <vt:variant>
        <vt:i4>5</vt:i4>
      </vt:variant>
      <vt:variant>
        <vt:lpwstr>https://www.treasury.nsw.gov.au/finance-resource/asset-management-policies</vt:lpwstr>
      </vt:variant>
      <vt:variant>
        <vt:lpwstr/>
      </vt:variant>
      <vt:variant>
        <vt:i4>196610</vt:i4>
      </vt:variant>
      <vt:variant>
        <vt:i4>15</vt:i4>
      </vt:variant>
      <vt:variant>
        <vt:i4>0</vt:i4>
      </vt:variant>
      <vt:variant>
        <vt:i4>5</vt:i4>
      </vt:variant>
      <vt:variant>
        <vt:lpwstr>https://www.switchyourthinking.com/smart-cities/</vt:lpwstr>
      </vt:variant>
      <vt:variant>
        <vt:lpwstr/>
      </vt:variant>
      <vt:variant>
        <vt:i4>7864441</vt:i4>
      </vt:variant>
      <vt:variant>
        <vt:i4>12</vt:i4>
      </vt:variant>
      <vt:variant>
        <vt:i4>0</vt:i4>
      </vt:variant>
      <vt:variant>
        <vt:i4>5</vt:i4>
      </vt:variant>
      <vt:variant>
        <vt:lpwstr>https://www.wired.com/2016/10/internet-outage-ddos-dns-dyn/</vt:lpwstr>
      </vt:variant>
      <vt:variant>
        <vt:lpwstr/>
      </vt:variant>
      <vt:variant>
        <vt:i4>5701715</vt:i4>
      </vt:variant>
      <vt:variant>
        <vt:i4>9</vt:i4>
      </vt:variant>
      <vt:variant>
        <vt:i4>0</vt:i4>
      </vt:variant>
      <vt:variant>
        <vt:i4>5</vt:i4>
      </vt:variant>
      <vt:variant>
        <vt:lpwstr>https://www.usenix.org/system/files/conference/usenixsecurity18/sec18-soltan.pdf</vt:lpwstr>
      </vt:variant>
      <vt:variant>
        <vt:lpwstr/>
      </vt:variant>
      <vt:variant>
        <vt:i4>5439493</vt:i4>
      </vt:variant>
      <vt:variant>
        <vt:i4>6</vt:i4>
      </vt:variant>
      <vt:variant>
        <vt:i4>0</vt:i4>
      </vt:variant>
      <vt:variant>
        <vt:i4>5</vt:i4>
      </vt:variant>
      <vt:variant>
        <vt:lpwstr>https://www.caselaw.nsw.gov.au/decision/58dd93a7e4b0e71e17f58564</vt:lpwstr>
      </vt:variant>
      <vt:variant>
        <vt:lpwstr/>
      </vt:variant>
      <vt:variant>
        <vt:i4>5242960</vt:i4>
      </vt:variant>
      <vt:variant>
        <vt:i4>3</vt:i4>
      </vt:variant>
      <vt:variant>
        <vt:i4>0</vt:i4>
      </vt:variant>
      <vt:variant>
        <vt:i4>5</vt:i4>
      </vt:variant>
      <vt:variant>
        <vt:lpwstr>https://www.oaic.gov.au/updates/news-and-media/australian-information-commissioner-and-privacy-commissioners-investigation-into-published-mbs-pbs-dataset-finalised/</vt:lpwstr>
      </vt:variant>
      <vt:variant>
        <vt:lpwstr/>
      </vt:variant>
      <vt:variant>
        <vt:i4>3801133</vt:i4>
      </vt:variant>
      <vt:variant>
        <vt:i4>0</vt:i4>
      </vt:variant>
      <vt:variant>
        <vt:i4>0</vt:i4>
      </vt:variant>
      <vt:variant>
        <vt:i4>5</vt:i4>
      </vt:variant>
      <vt:variant>
        <vt:lpwstr>https://xo.xello.com.au/blog/iot-australia-innovative-use-cases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Kisic</dc:creator>
  <cp:keywords/>
  <cp:lastModifiedBy>Aruni Babhoota</cp:lastModifiedBy>
  <cp:revision>14</cp:revision>
  <cp:lastPrinted>2020-01-20T03:53:00Z</cp:lastPrinted>
  <dcterms:created xsi:type="dcterms:W3CDTF">2021-03-08T00:57:00Z</dcterms:created>
  <dcterms:modified xsi:type="dcterms:W3CDTF">2021-03-08T01:11:00Z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0x01010037DFF2E0050551488E40232F57030EF4</vt:lpwstr>
  </property>
</Properties>
</file>